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贵局拟征收“砚山县平远镇水城扇子山石场采矿权”2006年9月30日至评估基准日动用资源量对应的采矿权出让收益，按国家有关规定，需对该矿采矿权出让收益进行评估。</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砚山县平远镇水城扇子山石场（动用资源量）采矿权出让收益评估报告</w:t>
      </w:r>
      <w:r>
        <w:rPr>
          <w:rFonts w:hint="eastAsia" w:ascii="仿宋_GB2312" w:hAnsi="仿宋_GB2312" w:eastAsia="仿宋_GB2312" w:cs="仿宋_GB2312"/>
          <w:spacing w:val="-2"/>
          <w:sz w:val="32"/>
          <w:szCs w:val="32"/>
        </w:rPr>
        <w:t>》</w:t>
      </w:r>
      <w:r>
        <w:rPr>
          <w:rFonts w:ascii="仿宋_GB2312" w:hAnsi="宋体" w:eastAsia="仿宋_GB2312" w:cs="仿宋_GB2312"/>
          <w:i w:val="0"/>
          <w:iCs w:val="0"/>
          <w:caps w:val="0"/>
          <w:color w:val="000000"/>
          <w:spacing w:val="0"/>
          <w:sz w:val="31"/>
          <w:szCs w:val="31"/>
        </w:rPr>
        <w:t>（</w:t>
      </w:r>
      <w:r>
        <w:rPr>
          <w:rFonts w:hint="eastAsia" w:ascii="仿宋_GB2312" w:hAnsi="宋体" w:eastAsia="仿宋_GB2312" w:cs="仿宋_GB2312"/>
          <w:i w:val="0"/>
          <w:iCs w:val="0"/>
          <w:caps w:val="0"/>
          <w:color w:val="000000"/>
          <w:spacing w:val="0"/>
          <w:sz w:val="31"/>
          <w:szCs w:val="31"/>
        </w:rPr>
        <w:t>云陆矿采评报〔2024〕第112号）。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w:t>
      </w:r>
      <w:bookmarkStart w:id="0" w:name="_GoBack"/>
      <w:bookmarkEnd w:id="0"/>
      <w:r>
        <w:rPr>
          <w:rFonts w:hint="eastAsia" w:ascii="仿宋_GB2312" w:hAnsi="仿宋_GB2312" w:eastAsia="仿宋_GB2312" w:cs="仿宋_GB2312"/>
          <w:sz w:val="32"/>
          <w:szCs w:val="32"/>
        </w:rPr>
        <w:t>、廉洁自律的原则，严格按照矿业权评估有关准则技术标准规范和工作程序开展工作，没有损害国家利益、公共利益和其他组织、公民的合法权益，能够确保评估结果客观公正。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val="en-US" w:eastAsia="zh-CN"/>
        </w:rPr>
        <w:t>善在仁</w:t>
      </w:r>
    </w:p>
    <w:p>
      <w:pPr>
        <w:spacing w:line="360" w:lineRule="auto"/>
        <w:ind w:right="640"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wordWrap/>
        <w:spacing w:line="360" w:lineRule="auto"/>
        <w:ind w:right="640"/>
        <w:jc w:val="right"/>
        <w:rPr>
          <w:rFonts w:hint="default" w:ascii="仿宋_GB2312" w:hAnsi="仿宋_GB2312" w:eastAsia="仿宋_GB2312" w:cs="仿宋_GB2312"/>
          <w:sz w:val="32"/>
          <w:szCs w:val="32"/>
          <w:lang w:val="en-US" w:eastAsia="zh-CN"/>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尹亚伟、叶桂红</w:t>
      </w:r>
      <w:r>
        <w:rPr>
          <w:rFonts w:hint="eastAsia" w:ascii="仿宋_GB2312" w:hAnsi="仿宋_GB2312" w:eastAsia="仿宋_GB2312" w:cs="仿宋_GB2312"/>
          <w:sz w:val="32"/>
          <w:szCs w:val="32"/>
          <w:lang w:val="en-US" w:eastAsia="zh-CN"/>
        </w:rPr>
        <w:t xml:space="preserve">             </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 w:name="KSO_WPS_MARK_KEY" w:val="7803e484-6566-4e1f-8795-7d0d06053d36"/>
  </w:docVars>
  <w:rsids>
    <w:rsidRoot w:val="00526309"/>
    <w:rsid w:val="00036A90"/>
    <w:rsid w:val="000944C2"/>
    <w:rsid w:val="000E39DA"/>
    <w:rsid w:val="0010337F"/>
    <w:rsid w:val="00157C89"/>
    <w:rsid w:val="001E7310"/>
    <w:rsid w:val="00226B67"/>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F13178"/>
    <w:rsid w:val="00FD08BA"/>
    <w:rsid w:val="03331789"/>
    <w:rsid w:val="055C70C8"/>
    <w:rsid w:val="0C76701A"/>
    <w:rsid w:val="167F0D63"/>
    <w:rsid w:val="228E271C"/>
    <w:rsid w:val="270A2A19"/>
    <w:rsid w:val="36B96E1C"/>
    <w:rsid w:val="41126F52"/>
    <w:rsid w:val="42EC3090"/>
    <w:rsid w:val="470253C6"/>
    <w:rsid w:val="51F15069"/>
    <w:rsid w:val="58AD1F73"/>
    <w:rsid w:val="5B6669A4"/>
    <w:rsid w:val="72DD1542"/>
    <w:rsid w:val="79263F48"/>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371</Words>
  <Characters>385</Characters>
  <Lines>2</Lines>
  <Paragraphs>1</Paragraphs>
  <TotalTime>2</TotalTime>
  <ScaleCrop>false</ScaleCrop>
  <LinksUpToDate>false</LinksUpToDate>
  <CharactersWithSpaces>398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雯雯</cp:lastModifiedBy>
  <cp:lastPrinted>2024-12-19T07:12:00Z</cp:lastPrinted>
  <dcterms:modified xsi:type="dcterms:W3CDTF">2024-12-23T08:52:10Z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A9C484B2E907469683674410FF6638B2</vt:lpwstr>
  </property>
</Properties>
</file>