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Style w:val="52"/>
          <w:bCs w:val="0"/>
          <w:i w:val="0"/>
          <w:iCs w:val="0"/>
          <w:color w:val="000000" w:themeColor="text1"/>
          <w:sz w:val="32"/>
          <w:szCs w:val="32"/>
        </w:rPr>
      </w:pPr>
      <w:r>
        <w:rPr>
          <w:rStyle w:val="52"/>
          <w:rFonts w:hint="eastAsia"/>
          <w:bCs w:val="0"/>
          <w:i w:val="0"/>
          <w:iCs w:val="0"/>
          <w:color w:val="000000" w:themeColor="text1"/>
          <w:sz w:val="32"/>
          <w:szCs w:val="32"/>
        </w:rPr>
        <w:t xml:space="preserve"> </w:t>
      </w:r>
      <w:r>
        <w:rPr>
          <w:rStyle w:val="52"/>
          <w:bCs w:val="0"/>
          <w:i w:val="0"/>
          <w:iCs w:val="0"/>
          <w:color w:val="000000" w:themeColor="text1"/>
          <w:sz w:val="32"/>
          <w:szCs w:val="32"/>
        </w:rPr>
        <w:t>概</w:t>
      </w:r>
      <w:r>
        <w:rPr>
          <w:rStyle w:val="52"/>
          <w:rFonts w:hint="eastAsia"/>
          <w:bCs w:val="0"/>
          <w:i w:val="0"/>
          <w:iCs w:val="0"/>
          <w:color w:val="000000" w:themeColor="text1"/>
          <w:sz w:val="32"/>
          <w:szCs w:val="32"/>
        </w:rPr>
        <w:t xml:space="preserve">    </w:t>
      </w:r>
      <w:r>
        <w:rPr>
          <w:rStyle w:val="52"/>
          <w:bCs w:val="0"/>
          <w:i w:val="0"/>
          <w:iCs w:val="0"/>
          <w:color w:val="000000" w:themeColor="text1"/>
          <w:sz w:val="32"/>
          <w:szCs w:val="32"/>
        </w:rPr>
        <w:t>述</w:t>
      </w:r>
    </w:p>
    <w:p>
      <w:pPr>
        <w:ind w:firstLine="482"/>
        <w:rPr>
          <w:rStyle w:val="52"/>
          <w:bCs w:val="0"/>
          <w:i w:val="0"/>
          <w:iCs w:val="0"/>
          <w:color w:val="000000" w:themeColor="text1"/>
          <w:szCs w:val="24"/>
        </w:rPr>
      </w:pPr>
      <w:r>
        <w:rPr>
          <w:rStyle w:val="52"/>
          <w:bCs w:val="0"/>
          <w:i w:val="0"/>
          <w:iCs w:val="0"/>
          <w:color w:val="000000" w:themeColor="text1"/>
          <w:szCs w:val="24"/>
        </w:rPr>
        <w:t>一</w:t>
      </w:r>
      <w:r>
        <w:rPr>
          <w:rStyle w:val="52"/>
          <w:rFonts w:hint="eastAsia"/>
          <w:bCs w:val="0"/>
          <w:i w:val="0"/>
          <w:iCs w:val="0"/>
          <w:color w:val="000000" w:themeColor="text1"/>
          <w:szCs w:val="24"/>
        </w:rPr>
        <w:t>、建设项目的特点</w:t>
      </w:r>
    </w:p>
    <w:p>
      <w:pPr>
        <w:ind w:firstLine="480"/>
        <w:rPr>
          <w:rStyle w:val="52"/>
          <w:b w:val="0"/>
          <w:bCs w:val="0"/>
          <w:i w:val="0"/>
          <w:iCs w:val="0"/>
          <w:color w:val="000000" w:themeColor="text1"/>
          <w:szCs w:val="24"/>
        </w:rPr>
      </w:pPr>
      <w:r>
        <w:rPr>
          <w:rStyle w:val="52"/>
          <w:rFonts w:hint="eastAsia"/>
          <w:b w:val="0"/>
          <w:bCs w:val="0"/>
          <w:i w:val="0"/>
          <w:iCs w:val="0"/>
          <w:color w:val="000000" w:themeColor="text1"/>
          <w:szCs w:val="24"/>
        </w:rPr>
        <w:t>随着社会的发展，人民生活水平的不断提高，消费者对肉食品的需求量将会越来越大。在肉食结构以猪肉为主的中国，猪肉消费总量日益增加，消费结构不断改善，猪肉的销售将有更大的市场空间。由此，生猪的屠宰场所的卫生环境及标准化升级是防止和避免肉产品注水及病害猪流入市场，让老百姓吃上“放心肉”</w:t>
      </w:r>
      <w:bookmarkStart w:id="440" w:name="_GoBack"/>
      <w:bookmarkEnd w:id="440"/>
      <w:r>
        <w:rPr>
          <w:rStyle w:val="52"/>
          <w:rFonts w:hint="eastAsia"/>
          <w:b w:val="0"/>
          <w:bCs w:val="0"/>
          <w:i w:val="0"/>
          <w:iCs w:val="0"/>
          <w:color w:val="000000" w:themeColor="text1"/>
          <w:szCs w:val="24"/>
        </w:rPr>
        <w:t>的一道屏障。</w:t>
      </w:r>
    </w:p>
    <w:p>
      <w:pPr>
        <w:ind w:firstLine="480"/>
        <w:rPr>
          <w:rStyle w:val="52"/>
          <w:b w:val="0"/>
          <w:bCs w:val="0"/>
          <w:i w:val="0"/>
          <w:iCs w:val="0"/>
          <w:color w:val="000000" w:themeColor="text1"/>
          <w:szCs w:val="24"/>
        </w:rPr>
      </w:pPr>
      <w:r>
        <w:rPr>
          <w:rStyle w:val="52"/>
          <w:rFonts w:hint="eastAsia"/>
          <w:b w:val="0"/>
          <w:bCs w:val="0"/>
          <w:i w:val="0"/>
          <w:iCs w:val="0"/>
          <w:color w:val="000000" w:themeColor="text1"/>
          <w:szCs w:val="24"/>
        </w:rPr>
        <w:t>根据《生猪屠宰管理条例》(国务院第525号)相关规定，国家实行生猪定点屠宰、集中检疫制度。未经定点，任何单位和个人不得从事生猪屠宰活动，但是农村地区个人自宰自食的除外。</w:t>
      </w:r>
    </w:p>
    <w:p>
      <w:pPr>
        <w:ind w:firstLine="480"/>
        <w:rPr>
          <w:rStyle w:val="52"/>
          <w:b w:val="0"/>
          <w:bCs w:val="0"/>
          <w:i w:val="0"/>
          <w:iCs w:val="0"/>
          <w:color w:val="000000" w:themeColor="text1"/>
          <w:szCs w:val="24"/>
        </w:rPr>
      </w:pPr>
      <w:r>
        <w:rPr>
          <w:rStyle w:val="52"/>
          <w:rFonts w:hint="eastAsia"/>
          <w:b w:val="0"/>
          <w:bCs w:val="0"/>
          <w:i w:val="0"/>
          <w:iCs w:val="0"/>
          <w:color w:val="000000" w:themeColor="text1"/>
          <w:szCs w:val="24"/>
        </w:rPr>
        <w:t>砚山县康乐生猪屠宰场现地处砚山县江那镇七乡大道旁，其前称是砚山国有食品公司，2006年以前公司位于县委旁花雨巷街，随着城市发展，2006年搬到现处位置(七乡大道与323国道交界处)生产经营，公司门口并无公路，周围3000平方米以内没有居民与单位，后2014年七乡大道修通连接323国道，逐渐有部分居民搬到康乐屠宰场附近居住。为了不影响附近居民正常生活，也为促进砚山县生猪屠宰管理工作的落实，提高生猪肉品质安全质量，砚山县康乐生猪屠宰场拟重新选址，建设标准化生产厂房及屠宰设备，在扩建生猪屠宰规模、增加</w:t>
      </w:r>
      <w:r>
        <w:rPr>
          <w:rStyle w:val="52"/>
          <w:rFonts w:hint="eastAsia"/>
          <w:b w:val="0"/>
          <w:bCs w:val="0"/>
          <w:i w:val="0"/>
          <w:iCs w:val="0"/>
          <w:color w:val="FF0000"/>
          <w:szCs w:val="24"/>
        </w:rPr>
        <w:t>家禽屠宰生产线</w:t>
      </w:r>
      <w:r>
        <w:rPr>
          <w:rStyle w:val="52"/>
          <w:rFonts w:hint="eastAsia"/>
          <w:b w:val="0"/>
          <w:bCs w:val="0"/>
          <w:i w:val="0"/>
          <w:iCs w:val="0"/>
          <w:color w:val="000000" w:themeColor="text1"/>
          <w:szCs w:val="24"/>
        </w:rPr>
        <w:t>的同时，进一步改善屠宰卫生环境，提高职工的基本素质，保证肉类食品出厂的质量安全。</w:t>
      </w:r>
    </w:p>
    <w:p>
      <w:pPr>
        <w:ind w:firstLine="480"/>
        <w:rPr>
          <w:rStyle w:val="52"/>
          <w:b w:val="0"/>
          <w:bCs w:val="0"/>
          <w:i w:val="0"/>
          <w:iCs w:val="0"/>
          <w:color w:val="000000" w:themeColor="text1"/>
          <w:szCs w:val="24"/>
        </w:rPr>
      </w:pPr>
      <w:r>
        <w:rPr>
          <w:rStyle w:val="52"/>
          <w:rFonts w:hint="eastAsia"/>
          <w:b w:val="0"/>
          <w:bCs w:val="0"/>
          <w:i w:val="0"/>
          <w:iCs w:val="0"/>
          <w:color w:val="000000" w:themeColor="text1"/>
          <w:szCs w:val="24"/>
        </w:rPr>
        <w:t>砚山县康乐生猪屠宰场拟在砚山县干河乡小龙白村西北侧500m处，永红公路西侧空地建设砚山县康乐生猪屠宰场搬迁项目(以下简称“本项目”)，建设工期约为6个月。项目总投资2000万元，占地约14.42亩(约9613.84m</w:t>
      </w:r>
      <w:r>
        <w:rPr>
          <w:rStyle w:val="52"/>
          <w:rFonts w:hint="eastAsia"/>
          <w:b w:val="0"/>
          <w:bCs w:val="0"/>
          <w:i w:val="0"/>
          <w:iCs w:val="0"/>
          <w:color w:val="000000" w:themeColor="text1"/>
          <w:szCs w:val="24"/>
          <w:vertAlign w:val="superscript"/>
        </w:rPr>
        <w:t>2</w:t>
      </w:r>
      <w:r>
        <w:rPr>
          <w:rStyle w:val="52"/>
          <w:rFonts w:hint="eastAsia"/>
          <w:b w:val="0"/>
          <w:bCs w:val="0"/>
          <w:i w:val="0"/>
          <w:iCs w:val="0"/>
          <w:color w:val="000000" w:themeColor="text1"/>
          <w:szCs w:val="24"/>
        </w:rPr>
        <w:t>)，总建筑面积4115.29m</w:t>
      </w:r>
      <w:r>
        <w:rPr>
          <w:rStyle w:val="52"/>
          <w:rFonts w:hint="eastAsia"/>
          <w:b w:val="0"/>
          <w:bCs w:val="0"/>
          <w:i w:val="0"/>
          <w:iCs w:val="0"/>
          <w:color w:val="000000" w:themeColor="text1"/>
          <w:szCs w:val="24"/>
          <w:vertAlign w:val="superscript"/>
        </w:rPr>
        <w:t>2</w:t>
      </w:r>
      <w:r>
        <w:rPr>
          <w:rStyle w:val="52"/>
          <w:rFonts w:hint="eastAsia"/>
          <w:b w:val="0"/>
          <w:bCs w:val="0"/>
          <w:i w:val="0"/>
          <w:iCs w:val="0"/>
          <w:color w:val="000000" w:themeColor="text1"/>
          <w:szCs w:val="24"/>
        </w:rPr>
        <w:t>。主要新建构筑物为生猪待宰圈、生猪屠宰间、生鸡待宰圈、宰鸡场、冷库、办公生活用房、辅助用房、值班室等，同时建设配套污水处理站、废气处理设施、焚烧炉等环保设施。</w:t>
      </w:r>
    </w:p>
    <w:p>
      <w:pPr>
        <w:ind w:firstLine="480"/>
        <w:rPr>
          <w:rStyle w:val="52"/>
          <w:b w:val="0"/>
          <w:bCs w:val="0"/>
          <w:i w:val="0"/>
          <w:iCs w:val="0"/>
          <w:color w:val="000000" w:themeColor="text1"/>
          <w:szCs w:val="24"/>
        </w:rPr>
      </w:pPr>
      <w:r>
        <w:rPr>
          <w:rStyle w:val="52"/>
          <w:rFonts w:hint="eastAsia"/>
          <w:b w:val="0"/>
          <w:bCs w:val="0"/>
          <w:i w:val="0"/>
          <w:iCs w:val="0"/>
          <w:color w:val="000000" w:themeColor="text1"/>
          <w:szCs w:val="24"/>
        </w:rPr>
        <w:t>由于该项目在建设期及运营期间将不可避免地产生大气、水、固体废物等污染，根据《中华人民共和国环境保护法》、《中华人民共和国环境影响评价法》、《建设项目环境保护管理条例》的有关要求，该项目需执行环境影响评价制度，由《建设项目环境影响评价分类管理名录》可知，本项目年屠宰生猪15万头，年屠宰生鸡80万只，属于“二、农副食品加工业、5、屠宰、年屠宰生猪10万头、肉牛1万头、肉羊15万只、禽类1000万只及以上”，因此本项目需编制环境影响报告书。</w:t>
      </w:r>
    </w:p>
    <w:p>
      <w:pPr>
        <w:ind w:firstLine="482"/>
        <w:rPr>
          <w:rStyle w:val="52"/>
          <w:bCs w:val="0"/>
          <w:i w:val="0"/>
          <w:iCs w:val="0"/>
          <w:color w:val="000000" w:themeColor="text1"/>
          <w:szCs w:val="24"/>
        </w:rPr>
      </w:pPr>
      <w:r>
        <w:rPr>
          <w:rStyle w:val="52"/>
          <w:rFonts w:hint="eastAsia"/>
          <w:bCs w:val="0"/>
          <w:i w:val="0"/>
          <w:iCs w:val="0"/>
          <w:color w:val="000000" w:themeColor="text1"/>
          <w:szCs w:val="24"/>
        </w:rPr>
        <w:t>二、环境影响评价工作历程</w:t>
      </w:r>
    </w:p>
    <w:p>
      <w:pPr>
        <w:ind w:firstLine="480"/>
        <w:rPr>
          <w:rStyle w:val="52"/>
          <w:b w:val="0"/>
          <w:bCs w:val="0"/>
          <w:i w:val="0"/>
          <w:iCs w:val="0"/>
          <w:color w:val="000000" w:themeColor="text1"/>
          <w:szCs w:val="24"/>
        </w:rPr>
      </w:pPr>
      <w:r>
        <w:rPr>
          <w:rStyle w:val="52"/>
          <w:rFonts w:hint="eastAsia"/>
          <w:b w:val="0"/>
          <w:bCs w:val="0"/>
          <w:i w:val="0"/>
          <w:iCs w:val="0"/>
          <w:color w:val="000000" w:themeColor="text1"/>
          <w:szCs w:val="24"/>
        </w:rPr>
        <w:t>砚山县康乐生猪屠宰场于2020年4月28日委托云南长沐环保科技有限公司承担本项目的环境影响评价工作。项目组接受委托后组织人员到工程建设所在地进行了现场踏勘与实地调查，收集了有关资料及区域环境质量现状资料，对本工程的改扩建地点进行了实地调查，并委托云南环清环境检测技术有限公司于2020年5月9日~15日对项目所在区域环境进行了现状监测。根据项目排污特点及周边地区的环境特征，确定以大气、地表水、地下水影响为评价工作重点，开展环境现状调查监测与评价工作，工程分析，对各环境要素进行影响预测与评价。</w:t>
      </w:r>
    </w:p>
    <w:p>
      <w:pPr>
        <w:ind w:firstLine="480"/>
        <w:rPr>
          <w:rStyle w:val="52"/>
          <w:b w:val="0"/>
          <w:bCs w:val="0"/>
          <w:i w:val="0"/>
          <w:iCs w:val="0"/>
          <w:color w:val="000000" w:themeColor="text1"/>
          <w:szCs w:val="24"/>
        </w:rPr>
      </w:pPr>
      <w:r>
        <w:rPr>
          <w:rStyle w:val="52"/>
          <w:rFonts w:hint="eastAsia"/>
          <w:b w:val="0"/>
          <w:bCs w:val="0"/>
          <w:i w:val="0"/>
          <w:iCs w:val="0"/>
          <w:color w:val="000000" w:themeColor="text1"/>
          <w:szCs w:val="24"/>
        </w:rPr>
        <w:t>本次环评期间，建设单位依据《环境影响评价公众参与办法》（生态环境部部令第4号，2019年1月1日起施行），进行了环境影响评价公众参与。项目于</w:t>
      </w:r>
      <w:r>
        <w:rPr>
          <w:rFonts w:hint="eastAsia"/>
          <w:color w:val="000000" w:themeColor="text1"/>
        </w:rPr>
        <w:t>2020年5月6日在砚山县人民政府网站进行了</w:t>
      </w:r>
      <w:r>
        <w:rPr>
          <w:rFonts w:hint="eastAsia"/>
          <w:color w:val="000000" w:themeColor="text1"/>
          <w:szCs w:val="24"/>
        </w:rPr>
        <w:t>环境影响评价第一次</w:t>
      </w:r>
      <w:r>
        <w:rPr>
          <w:rFonts w:hint="eastAsia"/>
          <w:color w:val="000000" w:themeColor="text1"/>
        </w:rPr>
        <w:t>公示，于2020年5月7日开始进行报告书的编制工作，于2020年7月21日形成了</w:t>
      </w:r>
      <w:r>
        <w:rPr>
          <w:rStyle w:val="52"/>
          <w:rFonts w:hint="eastAsia"/>
          <w:b w:val="0"/>
          <w:bCs w:val="0"/>
          <w:i w:val="0"/>
          <w:iCs w:val="0"/>
          <w:color w:val="000000" w:themeColor="text1"/>
          <w:szCs w:val="24"/>
        </w:rPr>
        <w:t>《砚山县康乐生猪屠宰场搬迁项目环境影响报告书》（征求意见稿），并在</w:t>
      </w:r>
      <w:r>
        <w:rPr>
          <w:rFonts w:hint="eastAsia"/>
          <w:bCs/>
          <w:color w:val="000000" w:themeColor="text1"/>
          <w:kern w:val="0"/>
        </w:rPr>
        <w:t>2020年7月22日在砚山县人民政府网站网上公示、2020年7月23日及7月28日在云南信息报两次登报公示、2020年7月22日于砚山县七都广场告示栏张贴公示，三个途径同期进行</w:t>
      </w:r>
      <w:r>
        <w:rPr>
          <w:rFonts w:hint="eastAsia"/>
          <w:color w:val="000000" w:themeColor="text1"/>
          <w:szCs w:val="24"/>
        </w:rPr>
        <w:t>环境影响评价第二次</w:t>
      </w:r>
      <w:r>
        <w:rPr>
          <w:rFonts w:hint="eastAsia"/>
          <w:color w:val="000000" w:themeColor="text1"/>
        </w:rPr>
        <w:t>公示。</w:t>
      </w:r>
      <w:r>
        <w:rPr>
          <w:rStyle w:val="52"/>
          <w:rFonts w:hint="eastAsia"/>
          <w:b w:val="0"/>
          <w:bCs w:val="0"/>
          <w:i w:val="0"/>
          <w:iCs w:val="0"/>
          <w:color w:val="000000" w:themeColor="text1"/>
          <w:szCs w:val="24"/>
        </w:rPr>
        <w:t>在公示期间，均未收到公众意见。</w:t>
      </w:r>
    </w:p>
    <w:p>
      <w:pPr>
        <w:ind w:firstLine="480"/>
        <w:rPr>
          <w:rStyle w:val="52"/>
          <w:b w:val="0"/>
          <w:bCs w:val="0"/>
          <w:i w:val="0"/>
          <w:iCs w:val="0"/>
          <w:color w:val="000000" w:themeColor="text1"/>
          <w:szCs w:val="24"/>
        </w:rPr>
      </w:pPr>
      <w:r>
        <w:rPr>
          <w:rStyle w:val="52"/>
          <w:rFonts w:hint="eastAsia"/>
          <w:b w:val="0"/>
          <w:bCs w:val="0"/>
          <w:i w:val="0"/>
          <w:iCs w:val="0"/>
          <w:color w:val="000000" w:themeColor="text1"/>
          <w:szCs w:val="24"/>
        </w:rPr>
        <w:t>项目组在以上工作的基础上完成了环境影响报告书的编制工作。2020年8月13日，在砚山县主持召开了《砚山县康乐生猪屠宰场搬迁项目环境影响报告书》技术评审会。邀请文山州生态环境局砚山县分局、评价单位-云南长沐环保科技有限公司、监测单位-云南环清环境检测技术有限公司等单位的代表参会，并特邀5位专家（名单附后）负责报告书的技术审查工作，给出了报告书审查意见。目前环评单位结合企业提供资料已经进行了对应的修改并上报。</w:t>
      </w:r>
    </w:p>
    <w:p>
      <w:pPr>
        <w:ind w:firstLine="482"/>
        <w:rPr>
          <w:rStyle w:val="52"/>
          <w:bCs w:val="0"/>
          <w:i w:val="0"/>
          <w:iCs w:val="0"/>
          <w:color w:val="000000" w:themeColor="text1"/>
          <w:szCs w:val="24"/>
        </w:rPr>
      </w:pPr>
      <w:r>
        <w:rPr>
          <w:rStyle w:val="52"/>
          <w:rFonts w:hint="eastAsia"/>
          <w:bCs w:val="0"/>
          <w:i w:val="0"/>
          <w:iCs w:val="0"/>
          <w:color w:val="000000" w:themeColor="text1"/>
          <w:szCs w:val="24"/>
        </w:rPr>
        <w:t>三、分析判定相关情况</w:t>
      </w:r>
    </w:p>
    <w:p>
      <w:pPr>
        <w:ind w:firstLine="480"/>
        <w:rPr>
          <w:rStyle w:val="52"/>
          <w:b w:val="0"/>
          <w:bCs w:val="0"/>
          <w:i w:val="0"/>
          <w:iCs w:val="0"/>
          <w:color w:val="000000" w:themeColor="text1"/>
          <w:szCs w:val="24"/>
        </w:rPr>
      </w:pPr>
      <w:r>
        <w:rPr>
          <w:rStyle w:val="52"/>
          <w:rFonts w:hint="eastAsia"/>
          <w:b w:val="0"/>
          <w:bCs w:val="0"/>
          <w:i w:val="0"/>
          <w:iCs w:val="0"/>
          <w:color w:val="000000" w:themeColor="text1"/>
          <w:szCs w:val="24"/>
        </w:rPr>
        <w:t>（1）产业政策</w:t>
      </w:r>
    </w:p>
    <w:p>
      <w:pPr>
        <w:ind w:firstLine="480"/>
        <w:rPr>
          <w:rStyle w:val="52"/>
          <w:b w:val="0"/>
          <w:bCs w:val="0"/>
          <w:i w:val="0"/>
          <w:iCs w:val="0"/>
          <w:color w:val="000000" w:themeColor="text1"/>
          <w:szCs w:val="24"/>
        </w:rPr>
      </w:pPr>
      <w:r>
        <w:rPr>
          <w:rStyle w:val="52"/>
          <w:rFonts w:hint="eastAsia"/>
          <w:b w:val="0"/>
          <w:bCs w:val="0"/>
          <w:i w:val="0"/>
          <w:iCs w:val="0"/>
          <w:color w:val="000000" w:themeColor="text1"/>
          <w:szCs w:val="24"/>
        </w:rPr>
        <w:t>根据《产业结构调整指导目录（2019年本）》，该项目属于其中鼓励类建设项目（第一类鼓励类、“一、农林业”、“26农林牧渔产品储运、保鲜、加工及综合利用”）；</w:t>
      </w:r>
      <w:r>
        <w:rPr>
          <w:rFonts w:hint="eastAsia"/>
          <w:color w:val="000000" w:themeColor="text1"/>
          <w:kern w:val="0"/>
          <w:szCs w:val="24"/>
        </w:rPr>
        <w:t>且</w:t>
      </w:r>
      <w:r>
        <w:rPr>
          <w:rFonts w:hint="eastAsia"/>
          <w:color w:val="000000" w:themeColor="text1"/>
        </w:rPr>
        <w:t>本项目已取得了砚山县发展和改革局《投资项目备案证》（项目代码：2018-532622-05-03-013029），</w:t>
      </w:r>
      <w:r>
        <w:rPr>
          <w:rFonts w:hint="eastAsia"/>
          <w:color w:val="000000" w:themeColor="text1"/>
          <w:kern w:val="0"/>
          <w:szCs w:val="24"/>
        </w:rPr>
        <w:t>因此，本项目符合现行的国家和地方现行产业政策要求</w:t>
      </w:r>
      <w:r>
        <w:rPr>
          <w:rStyle w:val="52"/>
          <w:rFonts w:hint="eastAsia"/>
          <w:b w:val="0"/>
          <w:bCs w:val="0"/>
          <w:i w:val="0"/>
          <w:iCs w:val="0"/>
          <w:color w:val="000000" w:themeColor="text1"/>
          <w:szCs w:val="24"/>
        </w:rPr>
        <w:t>。</w:t>
      </w:r>
    </w:p>
    <w:p>
      <w:pPr>
        <w:ind w:firstLine="480"/>
        <w:rPr>
          <w:color w:val="000000" w:themeColor="text1"/>
        </w:rPr>
      </w:pPr>
      <w:r>
        <w:rPr>
          <w:rFonts w:hint="eastAsia"/>
          <w:color w:val="000000" w:themeColor="text1"/>
          <w:kern w:val="0"/>
          <w:szCs w:val="24"/>
        </w:rPr>
        <w:t>根据对比</w:t>
      </w:r>
      <w:r>
        <w:rPr>
          <w:rFonts w:hint="eastAsia"/>
          <w:color w:val="000000" w:themeColor="text1"/>
        </w:rPr>
        <w:t>《生猪屠宰管理条例》的相关要求，本项目建设符合《生猪屠宰管理条例》的相关规定。</w:t>
      </w:r>
    </w:p>
    <w:p>
      <w:pPr>
        <w:ind w:firstLine="480"/>
        <w:rPr>
          <w:rStyle w:val="52"/>
          <w:b w:val="0"/>
          <w:bCs w:val="0"/>
          <w:i w:val="0"/>
          <w:iCs w:val="0"/>
          <w:color w:val="000000" w:themeColor="text1"/>
          <w:szCs w:val="24"/>
        </w:rPr>
      </w:pPr>
      <w:r>
        <w:rPr>
          <w:rStyle w:val="52"/>
          <w:rFonts w:hint="eastAsia"/>
          <w:b w:val="0"/>
          <w:bCs w:val="0"/>
          <w:i w:val="0"/>
          <w:iCs w:val="0"/>
          <w:color w:val="000000" w:themeColor="text1"/>
          <w:szCs w:val="24"/>
        </w:rPr>
        <w:t>经对照查询，项目建设符合国家环保部发布的《关于以改善环境质量为核心加强环境影响评价管理的通知》（环环评[2016]150号）中的落实“三线一单”即落实“生态保护红线、环境质量底线、资源利用上线和环境准入负面清单”要求。</w:t>
      </w:r>
    </w:p>
    <w:p>
      <w:pPr>
        <w:ind w:firstLine="480"/>
        <w:rPr>
          <w:rStyle w:val="52"/>
          <w:b w:val="0"/>
          <w:bCs w:val="0"/>
          <w:i w:val="0"/>
          <w:iCs w:val="0"/>
          <w:color w:val="000000" w:themeColor="text1"/>
          <w:szCs w:val="24"/>
        </w:rPr>
      </w:pPr>
      <w:r>
        <w:rPr>
          <w:rStyle w:val="52"/>
          <w:rFonts w:hint="eastAsia"/>
          <w:b w:val="0"/>
          <w:bCs w:val="0"/>
          <w:i w:val="0"/>
          <w:iCs w:val="0"/>
          <w:color w:val="000000" w:themeColor="text1"/>
          <w:szCs w:val="24"/>
        </w:rPr>
        <w:t>因此，该项目建设符合国家产业政策。</w:t>
      </w:r>
    </w:p>
    <w:p>
      <w:pPr>
        <w:ind w:firstLine="480"/>
        <w:rPr>
          <w:rStyle w:val="52"/>
          <w:b w:val="0"/>
          <w:bCs w:val="0"/>
          <w:i w:val="0"/>
          <w:iCs w:val="0"/>
          <w:color w:val="000000" w:themeColor="text1"/>
          <w:szCs w:val="24"/>
        </w:rPr>
      </w:pPr>
      <w:r>
        <w:rPr>
          <w:rStyle w:val="52"/>
          <w:rFonts w:hint="eastAsia"/>
          <w:b w:val="0"/>
          <w:bCs w:val="0"/>
          <w:i w:val="0"/>
          <w:iCs w:val="0"/>
          <w:color w:val="000000" w:themeColor="text1"/>
          <w:szCs w:val="24"/>
        </w:rPr>
        <w:t>（2）规划符合性</w:t>
      </w:r>
    </w:p>
    <w:p>
      <w:pPr>
        <w:ind w:firstLine="480"/>
        <w:rPr>
          <w:color w:val="000000" w:themeColor="text1"/>
        </w:rPr>
      </w:pPr>
      <w:r>
        <w:rPr>
          <w:rFonts w:hint="eastAsia"/>
          <w:color w:val="000000" w:themeColor="text1"/>
          <w:kern w:val="0"/>
          <w:szCs w:val="24"/>
        </w:rPr>
        <w:t>根据对比</w:t>
      </w:r>
      <w:r>
        <w:rPr>
          <w:rFonts w:hint="eastAsia"/>
          <w:color w:val="000000" w:themeColor="text1"/>
        </w:rPr>
        <w:t>《国务院关于印发〈大气污染防治行动计划〉的通知》（国发〔2013〕37号）、《国务院关于印发水污染防治行动计划的通知》（国发[2015]17号）、《土壤污染防治行动计划》中的水、气、土十条中与项目建设相关的规定，本项目符合水、气、土十条相关规定。</w:t>
      </w:r>
    </w:p>
    <w:p>
      <w:pPr>
        <w:ind w:firstLine="480"/>
        <w:rPr>
          <w:color w:val="000000" w:themeColor="text1"/>
        </w:rPr>
      </w:pPr>
      <w:r>
        <w:rPr>
          <w:rFonts w:hint="eastAsia"/>
          <w:color w:val="000000" w:themeColor="text1"/>
          <w:kern w:val="0"/>
          <w:szCs w:val="24"/>
        </w:rPr>
        <w:t>根据对比</w:t>
      </w:r>
      <w:r>
        <w:rPr>
          <w:color w:val="000000" w:themeColor="text1"/>
        </w:rPr>
        <w:t>《云南省环境保护“十三五”规划纲要》（云环发[2016]68 号）</w:t>
      </w:r>
      <w:r>
        <w:rPr>
          <w:rFonts w:hint="eastAsia"/>
          <w:color w:val="000000" w:themeColor="text1"/>
        </w:rPr>
        <w:t>，</w:t>
      </w:r>
      <w:r>
        <w:rPr>
          <w:color w:val="000000" w:themeColor="text1"/>
        </w:rPr>
        <w:t>项目符合《云南省环境保护“十三五”规划纲要》</w:t>
      </w:r>
      <w:r>
        <w:rPr>
          <w:rFonts w:hint="eastAsia"/>
          <w:color w:val="000000" w:themeColor="text1"/>
        </w:rPr>
        <w:t>。</w:t>
      </w:r>
    </w:p>
    <w:p>
      <w:pPr>
        <w:ind w:firstLine="480"/>
        <w:rPr>
          <w:color w:val="000000" w:themeColor="text1"/>
        </w:rPr>
      </w:pPr>
      <w:r>
        <w:rPr>
          <w:rFonts w:hint="eastAsia"/>
          <w:color w:val="000000" w:themeColor="text1"/>
        </w:rPr>
        <w:t>根据对比《文山州</w:t>
      </w:r>
      <w:r>
        <w:rPr>
          <w:color w:val="000000" w:themeColor="text1"/>
        </w:rPr>
        <w:t>“</w:t>
      </w:r>
      <w:r>
        <w:rPr>
          <w:rFonts w:hint="eastAsia"/>
          <w:color w:val="000000" w:themeColor="text1"/>
        </w:rPr>
        <w:t>十三五</w:t>
      </w:r>
      <w:r>
        <w:rPr>
          <w:color w:val="000000" w:themeColor="text1"/>
        </w:rPr>
        <w:t>”</w:t>
      </w:r>
      <w:r>
        <w:rPr>
          <w:rFonts w:hint="eastAsia"/>
          <w:color w:val="000000" w:themeColor="text1"/>
        </w:rPr>
        <w:t>工业经济发展规划》的总体特点，本项目总体上符合《文山州</w:t>
      </w:r>
      <w:r>
        <w:rPr>
          <w:color w:val="000000" w:themeColor="text1"/>
        </w:rPr>
        <w:t>“</w:t>
      </w:r>
      <w:r>
        <w:rPr>
          <w:rFonts w:hint="eastAsia"/>
          <w:color w:val="000000" w:themeColor="text1"/>
        </w:rPr>
        <w:t>十三五</w:t>
      </w:r>
      <w:r>
        <w:rPr>
          <w:color w:val="000000" w:themeColor="text1"/>
        </w:rPr>
        <w:t>”</w:t>
      </w:r>
      <w:r>
        <w:rPr>
          <w:rFonts w:hint="eastAsia"/>
          <w:color w:val="000000" w:themeColor="text1"/>
        </w:rPr>
        <w:t>工业经济发展规划》。</w:t>
      </w:r>
    </w:p>
    <w:p>
      <w:pPr>
        <w:ind w:firstLine="480"/>
        <w:rPr>
          <w:color w:val="000000" w:themeColor="text1"/>
          <w:kern w:val="0"/>
          <w:szCs w:val="24"/>
        </w:rPr>
      </w:pPr>
      <w:r>
        <w:rPr>
          <w:rFonts w:hint="eastAsia"/>
          <w:color w:val="000000" w:themeColor="text1"/>
        </w:rPr>
        <w:t>本项目</w:t>
      </w:r>
      <w:r>
        <w:rPr>
          <w:color w:val="000000" w:themeColor="text1"/>
        </w:rPr>
        <w:t>选址位于砚山县北的干河乡</w:t>
      </w:r>
      <w:r>
        <w:rPr>
          <w:rFonts w:hint="eastAsia"/>
          <w:color w:val="000000" w:themeColor="text1"/>
        </w:rPr>
        <w:t>碧云村委会</w:t>
      </w:r>
      <w:r>
        <w:rPr>
          <w:color w:val="000000" w:themeColor="text1"/>
        </w:rPr>
        <w:t>小龙白村西北侧</w:t>
      </w:r>
      <w:r>
        <w:rPr>
          <w:rFonts w:hint="eastAsia"/>
          <w:color w:val="000000" w:themeColor="text1"/>
        </w:rPr>
        <w:t>500m处</w:t>
      </w:r>
      <w:r>
        <w:rPr>
          <w:color w:val="000000" w:themeColor="text1"/>
        </w:rPr>
        <w:t>，距离县城直线距离约</w:t>
      </w:r>
      <w:r>
        <w:rPr>
          <w:rFonts w:hint="eastAsia"/>
          <w:color w:val="000000" w:themeColor="text1"/>
        </w:rPr>
        <w:t>3</w:t>
      </w:r>
      <w:r>
        <w:rPr>
          <w:color w:val="000000" w:themeColor="text1"/>
        </w:rPr>
        <w:t>km，不在城市总规范围内，不属于规划禁止建设区和限制建设区，</w:t>
      </w:r>
      <w:r>
        <w:rPr>
          <w:rFonts w:hint="eastAsia"/>
          <w:color w:val="000000" w:themeColor="text1"/>
        </w:rPr>
        <w:t>本项目</w:t>
      </w:r>
      <w:r>
        <w:rPr>
          <w:color w:val="000000" w:themeColor="text1"/>
        </w:rPr>
        <w:t>符合《砚山县城市总体规划（2016－2030 年）》</w:t>
      </w:r>
      <w:r>
        <w:rPr>
          <w:rFonts w:hint="eastAsia"/>
          <w:color w:val="000000" w:themeColor="text1"/>
        </w:rPr>
        <w:t>。</w:t>
      </w:r>
    </w:p>
    <w:p>
      <w:pPr>
        <w:ind w:firstLine="480"/>
        <w:rPr>
          <w:rStyle w:val="52"/>
          <w:b w:val="0"/>
          <w:bCs w:val="0"/>
          <w:i w:val="0"/>
          <w:iCs w:val="0"/>
          <w:color w:val="000000" w:themeColor="text1"/>
          <w:szCs w:val="24"/>
        </w:rPr>
      </w:pPr>
      <w:r>
        <w:rPr>
          <w:rStyle w:val="52"/>
          <w:rFonts w:hint="eastAsia"/>
          <w:b w:val="0"/>
          <w:bCs w:val="0"/>
          <w:i w:val="0"/>
          <w:iCs w:val="0"/>
          <w:color w:val="000000" w:themeColor="text1"/>
          <w:szCs w:val="24"/>
        </w:rPr>
        <w:t>（3）选址</w:t>
      </w:r>
    </w:p>
    <w:p>
      <w:pPr>
        <w:ind w:firstLine="480"/>
        <w:rPr>
          <w:rStyle w:val="52"/>
          <w:b w:val="0"/>
          <w:bCs w:val="0"/>
          <w:i w:val="0"/>
          <w:iCs w:val="0"/>
          <w:color w:val="000000" w:themeColor="text1"/>
          <w:szCs w:val="24"/>
        </w:rPr>
      </w:pPr>
      <w:r>
        <w:rPr>
          <w:rFonts w:hint="eastAsia"/>
          <w:color w:val="000000" w:themeColor="text1"/>
        </w:rPr>
        <w:t>经过对照《肉类加工厂卫生规范》（</w:t>
      </w:r>
      <w:r>
        <w:rPr>
          <w:color w:val="000000" w:themeColor="text1"/>
        </w:rPr>
        <w:t>GB12694-1990</w:t>
      </w:r>
      <w:r>
        <w:rPr>
          <w:rFonts w:hint="eastAsia"/>
          <w:color w:val="000000" w:themeColor="text1"/>
        </w:rPr>
        <w:t>）、《畜类屠宰加工通用技术条件》（</w:t>
      </w:r>
      <w:r>
        <w:rPr>
          <w:color w:val="000000" w:themeColor="text1"/>
        </w:rPr>
        <w:t>GB/T17237-2008</w:t>
      </w:r>
      <w:r>
        <w:rPr>
          <w:rFonts w:hint="eastAsia"/>
          <w:color w:val="000000" w:themeColor="text1"/>
        </w:rPr>
        <w:t>）中屠宰场的选址要求，本项目</w:t>
      </w:r>
      <w:r>
        <w:rPr>
          <w:rFonts w:hint="eastAsia"/>
          <w:color w:val="000000" w:themeColor="text1"/>
          <w:kern w:val="0"/>
          <w:szCs w:val="24"/>
        </w:rPr>
        <w:t>位于</w:t>
      </w:r>
      <w:r>
        <w:rPr>
          <w:rStyle w:val="52"/>
          <w:rFonts w:hint="eastAsia"/>
          <w:b w:val="0"/>
          <w:bCs w:val="0"/>
          <w:i w:val="0"/>
          <w:iCs w:val="0"/>
          <w:color w:val="000000" w:themeColor="text1"/>
          <w:szCs w:val="24"/>
        </w:rPr>
        <w:t>砚山县干河乡小龙白村西北侧500m处</w:t>
      </w:r>
      <w:r>
        <w:rPr>
          <w:rFonts w:hint="eastAsia"/>
          <w:color w:val="000000" w:themeColor="text1"/>
          <w:kern w:val="0"/>
          <w:szCs w:val="24"/>
        </w:rPr>
        <w:t>，</w:t>
      </w:r>
      <w:r>
        <w:rPr>
          <w:rFonts w:hint="eastAsia"/>
          <w:color w:val="000000" w:themeColor="text1"/>
        </w:rPr>
        <w:t>项目所在地交通运输方便，水源电源来源于市政统一供给，环境卫生条件良好，无有害气体、粉尘、污浊水及其他污染源的地区，敏感点都位于项目区常年风向的侧风向和上风向，且项目</w:t>
      </w:r>
      <w:r>
        <w:rPr>
          <w:rFonts w:hint="eastAsia"/>
          <w:bCs/>
          <w:color w:val="000000" w:themeColor="text1"/>
          <w:kern w:val="0"/>
          <w:szCs w:val="24"/>
        </w:rPr>
        <w:t>符合砚山县城市总体规划的要求，</w:t>
      </w:r>
      <w:r>
        <w:rPr>
          <w:rFonts w:hint="eastAsia"/>
          <w:color w:val="000000" w:themeColor="text1"/>
        </w:rPr>
        <w:t>现已取得砚山县自然资源局颁发的建设用地规划许可证（砚山县地字第202000012号）</w:t>
      </w:r>
      <w:r>
        <w:rPr>
          <w:rFonts w:hint="eastAsia"/>
          <w:bCs/>
          <w:color w:val="000000" w:themeColor="text1"/>
          <w:kern w:val="0"/>
          <w:szCs w:val="24"/>
        </w:rPr>
        <w:t>。项目采取一系列措施减小了对周围大气环境，声环境，水环境的影响，不会对周围环境敏感目标产生明显影响，项目所在地</w:t>
      </w:r>
      <w:r>
        <w:rPr>
          <w:bCs/>
          <w:color w:val="000000" w:themeColor="text1"/>
          <w:kern w:val="0"/>
          <w:szCs w:val="24"/>
        </w:rPr>
        <w:t>500m</w:t>
      </w:r>
      <w:r>
        <w:rPr>
          <w:rFonts w:hint="eastAsia"/>
          <w:bCs/>
          <w:color w:val="000000" w:themeColor="text1"/>
          <w:kern w:val="0"/>
          <w:szCs w:val="24"/>
        </w:rPr>
        <w:t>范围内无自然保护区、文物景观、水源保护地，无居民饮用水取水点等环境敏感点，因此，项目选址合理</w:t>
      </w:r>
      <w:r>
        <w:rPr>
          <w:rStyle w:val="52"/>
          <w:rFonts w:hint="eastAsia"/>
          <w:b w:val="0"/>
          <w:bCs w:val="0"/>
          <w:i w:val="0"/>
          <w:iCs w:val="0"/>
          <w:color w:val="000000" w:themeColor="text1"/>
          <w:szCs w:val="24"/>
        </w:rPr>
        <w:t>。</w:t>
      </w:r>
    </w:p>
    <w:p>
      <w:pPr>
        <w:ind w:firstLine="480"/>
        <w:rPr>
          <w:rStyle w:val="52"/>
          <w:b w:val="0"/>
          <w:bCs w:val="0"/>
          <w:i w:val="0"/>
          <w:iCs w:val="0"/>
          <w:color w:val="000000" w:themeColor="text1"/>
          <w:szCs w:val="24"/>
        </w:rPr>
      </w:pPr>
      <w:r>
        <w:rPr>
          <w:rStyle w:val="52"/>
          <w:rFonts w:hint="eastAsia"/>
          <w:b w:val="0"/>
          <w:bCs w:val="0"/>
          <w:i w:val="0"/>
          <w:iCs w:val="0"/>
          <w:color w:val="000000" w:themeColor="text1"/>
          <w:szCs w:val="24"/>
        </w:rPr>
        <w:t>（4）各环境要素评价级别判定</w:t>
      </w:r>
    </w:p>
    <w:p>
      <w:pPr>
        <w:ind w:firstLine="480"/>
        <w:rPr>
          <w:rStyle w:val="52"/>
          <w:b w:val="0"/>
          <w:bCs w:val="0"/>
          <w:i w:val="0"/>
          <w:iCs w:val="0"/>
          <w:color w:val="000000" w:themeColor="text1"/>
          <w:szCs w:val="24"/>
        </w:rPr>
      </w:pPr>
      <w:r>
        <w:rPr>
          <w:rStyle w:val="52"/>
          <w:rFonts w:hint="eastAsia"/>
          <w:b w:val="0"/>
          <w:bCs w:val="0"/>
          <w:i w:val="0"/>
          <w:iCs w:val="0"/>
          <w:color w:val="000000" w:themeColor="text1"/>
          <w:szCs w:val="24"/>
        </w:rPr>
        <w:t>根据项目的工程分析，项目废气主要为待宰圈、宰杀车间和污水站的恶臭气体；废水主要为生产的废水（屠宰废水、冲洗消毒废水等）和生活污水；屠宰厂生产过程中机械设备较少，主要噪声源声级值一般为60~90dB（A），经安装在车间内、固定设备安装在减震底座上，通过厂房隔声、距离衰减后可满足标准要求。根据项目的工程分析情况及周边环境特征，确定环境空气的评价等级为二级，地表水评价等级为三级B，地下水评价等级为三级，噪声评价为二级，生态环境评价为三级，土壤环境影响评价为简单分析，环境风险评价等级为简单分析。</w:t>
      </w:r>
    </w:p>
    <w:p>
      <w:pPr>
        <w:ind w:firstLine="482"/>
        <w:rPr>
          <w:rStyle w:val="52"/>
          <w:bCs w:val="0"/>
          <w:i w:val="0"/>
          <w:iCs w:val="0"/>
          <w:color w:val="000000" w:themeColor="text1"/>
          <w:szCs w:val="24"/>
        </w:rPr>
      </w:pPr>
      <w:r>
        <w:rPr>
          <w:rStyle w:val="52"/>
          <w:rFonts w:hint="eastAsia"/>
          <w:bCs w:val="0"/>
          <w:i w:val="0"/>
          <w:iCs w:val="0"/>
          <w:color w:val="000000" w:themeColor="text1"/>
          <w:szCs w:val="24"/>
        </w:rPr>
        <w:t>四、关注的主要环境问题及环境影响</w:t>
      </w:r>
    </w:p>
    <w:p>
      <w:pPr>
        <w:ind w:firstLine="480"/>
        <w:rPr>
          <w:rStyle w:val="52"/>
          <w:b w:val="0"/>
          <w:bCs w:val="0"/>
          <w:i w:val="0"/>
          <w:iCs w:val="0"/>
          <w:color w:val="000000" w:themeColor="text1"/>
          <w:szCs w:val="24"/>
        </w:rPr>
      </w:pPr>
      <w:r>
        <w:rPr>
          <w:rStyle w:val="52"/>
          <w:rFonts w:hint="eastAsia"/>
          <w:b w:val="0"/>
          <w:bCs w:val="0"/>
          <w:i w:val="0"/>
          <w:iCs w:val="0"/>
          <w:color w:val="000000" w:themeColor="text1"/>
          <w:szCs w:val="24"/>
        </w:rPr>
        <w:t>根据项目的特点，本次评价主要关注的环境问题包括：</w:t>
      </w:r>
    </w:p>
    <w:p>
      <w:pPr>
        <w:ind w:firstLine="480"/>
        <w:rPr>
          <w:rStyle w:val="52"/>
          <w:b w:val="0"/>
          <w:bCs w:val="0"/>
          <w:i w:val="0"/>
          <w:iCs w:val="0"/>
          <w:color w:val="000000" w:themeColor="text1"/>
          <w:szCs w:val="24"/>
        </w:rPr>
      </w:pPr>
      <w:r>
        <w:rPr>
          <w:rStyle w:val="52"/>
          <w:rFonts w:hint="eastAsia"/>
          <w:b w:val="0"/>
          <w:bCs w:val="0"/>
          <w:i w:val="0"/>
          <w:iCs w:val="0"/>
          <w:color w:val="000000" w:themeColor="text1"/>
          <w:szCs w:val="24"/>
        </w:rPr>
        <w:t>（1）所有污染源均应得到有效和妥善的控制，强化技术措施和管理措施，使其对环境的影响趋于最小；</w:t>
      </w:r>
    </w:p>
    <w:p>
      <w:pPr>
        <w:ind w:firstLine="480"/>
        <w:rPr>
          <w:rStyle w:val="52"/>
          <w:b w:val="0"/>
          <w:bCs w:val="0"/>
          <w:i w:val="0"/>
          <w:iCs w:val="0"/>
          <w:color w:val="000000" w:themeColor="text1"/>
          <w:szCs w:val="24"/>
        </w:rPr>
      </w:pPr>
      <w:r>
        <w:rPr>
          <w:rStyle w:val="52"/>
          <w:rFonts w:hint="eastAsia"/>
          <w:b w:val="0"/>
          <w:bCs w:val="0"/>
          <w:i w:val="0"/>
          <w:iCs w:val="0"/>
          <w:color w:val="000000" w:themeColor="text1"/>
          <w:szCs w:val="24"/>
        </w:rPr>
        <w:t>（2）废水主要为宰杀程序产生的生产废水（生猪屠宰废水、生鸡屠宰废水、冲洗消毒废水等）和生活废水。废水经车间收集系统收集后导排入厂内污废水输送管网，从而进入厂内污水处理站。生活污水经过化粪池处理后排入污水处理站处理，和屠宰废水一起经厂内污水处理站处理达到</w:t>
      </w:r>
      <w:r>
        <w:rPr>
          <w:rFonts w:hint="eastAsia"/>
          <w:bCs/>
          <w:color w:val="000000" w:themeColor="text1"/>
          <w:kern w:val="0"/>
          <w:szCs w:val="24"/>
        </w:rPr>
        <w:t>《肉类加工工业水污染物排放标准》（GB 13457-92）中较严格的禽类屠宰加工三级标准和《污水排入城镇下水道水质标准》（GB/T 31962-2015）表1中的B级标准后</w:t>
      </w:r>
      <w:r>
        <w:rPr>
          <w:rStyle w:val="52"/>
          <w:rFonts w:hint="eastAsia"/>
          <w:b w:val="0"/>
          <w:bCs w:val="0"/>
          <w:i w:val="0"/>
          <w:iCs w:val="0"/>
          <w:color w:val="000000" w:themeColor="text1"/>
          <w:szCs w:val="24"/>
        </w:rPr>
        <w:t>，排入市政污水管网，最终进入砚山县污水处理厂进一步处理，达标汇入听湖水库。</w:t>
      </w:r>
    </w:p>
    <w:p>
      <w:pPr>
        <w:ind w:firstLine="480"/>
        <w:rPr>
          <w:rStyle w:val="52"/>
          <w:b w:val="0"/>
          <w:bCs w:val="0"/>
          <w:i w:val="0"/>
          <w:iCs w:val="0"/>
          <w:color w:val="000000" w:themeColor="text1"/>
          <w:szCs w:val="24"/>
        </w:rPr>
      </w:pPr>
      <w:r>
        <w:rPr>
          <w:rStyle w:val="52"/>
          <w:rFonts w:hint="eastAsia"/>
          <w:b w:val="0"/>
          <w:bCs w:val="0"/>
          <w:i w:val="0"/>
          <w:iCs w:val="0"/>
          <w:color w:val="000000" w:themeColor="text1"/>
          <w:szCs w:val="24"/>
        </w:rPr>
        <w:t>（3）</w:t>
      </w:r>
      <w:r>
        <w:rPr>
          <w:rFonts w:hint="eastAsia"/>
          <w:color w:val="000000" w:themeColor="text1"/>
          <w:kern w:val="0"/>
        </w:rPr>
        <w:t>项目生产过程中产生的废气主要包括待宰及屠宰过程中的恶臭、污水处理站恶臭、生物质锅炉废气、焚烧炉尾气等。项目恶臭均为无组织排放，在采取每日清理粪便、对车间等进行冲洗消毒、喷洒生物除臭剂等措施后影响较小；生物质锅炉废气经过水膜除尘系统处理后达标排放；焚烧炉尾气经过布袋除尘器处理后达标排放；汽车尾气和制冷剂逸散废气对环境的影响小。项目需严格控制废气排放，使大气环境</w:t>
      </w:r>
      <w:r>
        <w:rPr>
          <w:rStyle w:val="52"/>
          <w:rFonts w:hint="eastAsia"/>
          <w:b w:val="0"/>
          <w:bCs w:val="0"/>
          <w:i w:val="0"/>
          <w:iCs w:val="0"/>
          <w:color w:val="000000" w:themeColor="text1"/>
          <w:szCs w:val="24"/>
        </w:rPr>
        <w:t>达到所在区域的环境空气功能要求。</w:t>
      </w:r>
    </w:p>
    <w:p>
      <w:pPr>
        <w:ind w:firstLine="480"/>
        <w:rPr>
          <w:rStyle w:val="52"/>
          <w:b w:val="0"/>
          <w:bCs w:val="0"/>
          <w:i w:val="0"/>
          <w:iCs w:val="0"/>
          <w:color w:val="000000" w:themeColor="text1"/>
          <w:szCs w:val="24"/>
        </w:rPr>
      </w:pPr>
      <w:r>
        <w:rPr>
          <w:rStyle w:val="52"/>
          <w:rFonts w:hint="eastAsia"/>
          <w:b w:val="0"/>
          <w:bCs w:val="0"/>
          <w:i w:val="0"/>
          <w:iCs w:val="0"/>
          <w:color w:val="000000" w:themeColor="text1"/>
          <w:szCs w:val="24"/>
        </w:rPr>
        <w:t>（4）严格控制主要噪声源对项目所在区域可能带来的影响，使声环境质量达到所在区域的声环境功能要求。</w:t>
      </w:r>
    </w:p>
    <w:p>
      <w:pPr>
        <w:ind w:firstLine="480"/>
        <w:rPr>
          <w:rStyle w:val="52"/>
          <w:b w:val="0"/>
          <w:bCs w:val="0"/>
          <w:i w:val="0"/>
          <w:iCs w:val="0"/>
          <w:color w:val="000000" w:themeColor="text1"/>
          <w:szCs w:val="24"/>
        </w:rPr>
      </w:pPr>
      <w:r>
        <w:rPr>
          <w:rStyle w:val="52"/>
          <w:rFonts w:hint="eastAsia"/>
          <w:b w:val="0"/>
          <w:bCs w:val="0"/>
          <w:i w:val="0"/>
          <w:iCs w:val="0"/>
          <w:color w:val="000000" w:themeColor="text1"/>
          <w:szCs w:val="24"/>
        </w:rPr>
        <w:t>（5）固体废物做到合理收集、暂时贮存并按照相关规范合理处置，确保处理过程中不产生二次污染。</w:t>
      </w:r>
    </w:p>
    <w:p>
      <w:pPr>
        <w:ind w:firstLine="480"/>
        <w:rPr>
          <w:rStyle w:val="52"/>
          <w:b w:val="0"/>
          <w:bCs w:val="0"/>
          <w:i w:val="0"/>
          <w:iCs w:val="0"/>
          <w:color w:val="000000" w:themeColor="text1"/>
          <w:szCs w:val="24"/>
        </w:rPr>
      </w:pPr>
      <w:r>
        <w:rPr>
          <w:rStyle w:val="52"/>
          <w:rFonts w:hint="eastAsia"/>
          <w:b w:val="0"/>
          <w:bCs w:val="0"/>
          <w:i w:val="0"/>
          <w:iCs w:val="0"/>
          <w:color w:val="000000" w:themeColor="text1"/>
          <w:szCs w:val="24"/>
        </w:rPr>
        <w:t>（6）自建污水处理系统、污水管道、粪便暂存间、化粪池等所需做防渗处理，保证污染物不会渗入到地下水系统中。</w:t>
      </w:r>
    </w:p>
    <w:p>
      <w:pPr>
        <w:ind w:firstLine="480"/>
        <w:rPr>
          <w:rStyle w:val="52"/>
          <w:b w:val="0"/>
          <w:bCs w:val="0"/>
          <w:i w:val="0"/>
          <w:iCs w:val="0"/>
          <w:color w:val="000000" w:themeColor="text1"/>
          <w:szCs w:val="24"/>
        </w:rPr>
      </w:pPr>
      <w:r>
        <w:rPr>
          <w:rStyle w:val="52"/>
          <w:rFonts w:hint="eastAsia"/>
          <w:b w:val="0"/>
          <w:bCs w:val="0"/>
          <w:i w:val="0"/>
          <w:iCs w:val="0"/>
          <w:color w:val="000000" w:themeColor="text1"/>
          <w:szCs w:val="24"/>
        </w:rPr>
        <w:t>（7）积极推行清洁生产技术方案，达到清洁生产企业标准。</w:t>
      </w:r>
    </w:p>
    <w:p>
      <w:pPr>
        <w:ind w:firstLine="482"/>
        <w:rPr>
          <w:rStyle w:val="52"/>
          <w:bCs w:val="0"/>
          <w:i w:val="0"/>
          <w:iCs w:val="0"/>
          <w:color w:val="000000" w:themeColor="text1"/>
          <w:szCs w:val="24"/>
        </w:rPr>
      </w:pPr>
      <w:r>
        <w:rPr>
          <w:rStyle w:val="52"/>
          <w:rFonts w:hint="eastAsia"/>
          <w:bCs w:val="0"/>
          <w:i w:val="0"/>
          <w:iCs w:val="0"/>
          <w:color w:val="000000" w:themeColor="text1"/>
          <w:szCs w:val="24"/>
        </w:rPr>
        <w:t>五、项目环境影响评价结论</w:t>
      </w:r>
    </w:p>
    <w:p>
      <w:pPr>
        <w:ind w:firstLine="480"/>
        <w:rPr>
          <w:rStyle w:val="52"/>
          <w:b w:val="0"/>
          <w:bCs w:val="0"/>
          <w:i w:val="0"/>
          <w:iCs w:val="0"/>
          <w:color w:val="000000" w:themeColor="text1"/>
          <w:szCs w:val="24"/>
        </w:rPr>
      </w:pPr>
      <w:r>
        <w:rPr>
          <w:rStyle w:val="52"/>
          <w:rFonts w:hint="eastAsia"/>
          <w:b w:val="0"/>
          <w:bCs w:val="0"/>
          <w:i w:val="0"/>
          <w:iCs w:val="0"/>
          <w:color w:val="000000" w:themeColor="text1"/>
          <w:szCs w:val="24"/>
        </w:rPr>
        <w:t>本项目符合国家产业政策，采取的污染防治措施可保证污染物达标排放，技术经济可行，风险防范措施可行，对周围环境风险影响较小，在严格落实项目既定的和评价报告提出的污染防治措施和建议要求，确保污染物达标排放的前提下，严格执行“三同时”制度的基础上，项目建设从环保角度来看是可行的。</w:t>
      </w:r>
    </w:p>
    <w:p>
      <w:pPr>
        <w:ind w:firstLine="480"/>
        <w:rPr>
          <w:rStyle w:val="52"/>
          <w:b w:val="0"/>
          <w:bCs w:val="0"/>
          <w:i w:val="0"/>
          <w:iCs w:val="0"/>
          <w:color w:val="000000" w:themeColor="text1"/>
          <w:szCs w:val="24"/>
        </w:rPr>
        <w:sectPr>
          <w:headerReference r:id="rId5" w:type="first"/>
          <w:footerReference r:id="rId8" w:type="first"/>
          <w:headerReference r:id="rId3" w:type="default"/>
          <w:footerReference r:id="rId6" w:type="default"/>
          <w:headerReference r:id="rId4" w:type="even"/>
          <w:footerReference r:id="rId7" w:type="even"/>
          <w:pgSz w:w="11906" w:h="16838"/>
          <w:pgMar w:top="1440" w:right="1797" w:bottom="1440" w:left="1797" w:header="851" w:footer="992" w:gutter="0"/>
          <w:cols w:space="720" w:num="1"/>
        </w:sectPr>
      </w:pPr>
      <w:r>
        <w:rPr>
          <w:rStyle w:val="52"/>
          <w:rFonts w:hint="eastAsia"/>
          <w:b w:val="0"/>
          <w:bCs w:val="0"/>
          <w:i w:val="0"/>
          <w:iCs w:val="0"/>
          <w:color w:val="000000" w:themeColor="text1"/>
          <w:szCs w:val="24"/>
        </w:rPr>
        <w:t>在报告书编制、修改过程中，得到了文山州生态环境局砚山分局、云南环清环境检测技术有限公司等相关单位及部门的热情指导和大力支持，也得到了建设单位的积极配合，在此我们表示衷心感谢！</w:t>
      </w:r>
    </w:p>
    <w:p>
      <w:pPr>
        <w:ind w:firstLine="643"/>
        <w:jc w:val="center"/>
        <w:rPr>
          <w:rStyle w:val="52"/>
          <w:rFonts w:asciiTheme="minorEastAsia" w:hAnsiTheme="minorEastAsia" w:eastAsiaTheme="minorEastAsia"/>
          <w:bCs w:val="0"/>
          <w:i w:val="0"/>
          <w:iCs w:val="0"/>
          <w:color w:val="000000" w:themeColor="text1"/>
          <w:sz w:val="32"/>
          <w:szCs w:val="32"/>
        </w:rPr>
        <w:sectPr>
          <w:type w:val="continuous"/>
          <w:pgSz w:w="11906" w:h="16838"/>
          <w:pgMar w:top="1440" w:right="1797" w:bottom="1440" w:left="1797" w:header="851" w:footer="992" w:gutter="0"/>
          <w:cols w:space="720" w:num="1"/>
        </w:sectPr>
      </w:pPr>
    </w:p>
    <w:p>
      <w:pPr>
        <w:ind w:firstLine="643"/>
        <w:jc w:val="center"/>
        <w:rPr>
          <w:rStyle w:val="52"/>
          <w:rFonts w:asciiTheme="minorEastAsia" w:hAnsiTheme="minorEastAsia" w:eastAsiaTheme="minorEastAsia"/>
          <w:bCs w:val="0"/>
          <w:i w:val="0"/>
          <w:iCs w:val="0"/>
          <w:color w:val="000000" w:themeColor="text1"/>
          <w:sz w:val="32"/>
          <w:szCs w:val="32"/>
        </w:rPr>
      </w:pPr>
      <w:r>
        <w:rPr>
          <w:rStyle w:val="52"/>
          <w:rFonts w:hint="eastAsia" w:asciiTheme="minorEastAsia" w:hAnsiTheme="minorEastAsia" w:eastAsiaTheme="minorEastAsia"/>
          <w:bCs w:val="0"/>
          <w:i w:val="0"/>
          <w:iCs w:val="0"/>
          <w:color w:val="000000" w:themeColor="text1"/>
          <w:sz w:val="32"/>
          <w:szCs w:val="32"/>
        </w:rPr>
        <w:t>目  录</w:t>
      </w:r>
    </w:p>
    <w:p>
      <w:pPr>
        <w:pStyle w:val="27"/>
        <w:tabs>
          <w:tab w:val="right" w:leader="dot" w:pos="8302"/>
        </w:tabs>
        <w:ind w:firstLine="480"/>
        <w:rPr>
          <w:rFonts w:asciiTheme="minorHAnsi" w:hAnsiTheme="minorHAnsi" w:eastAsiaTheme="minorEastAsia"/>
          <w:color w:val="000000" w:themeColor="text1"/>
          <w:sz w:val="21"/>
        </w:rPr>
      </w:pPr>
      <w:r>
        <w:rPr>
          <w:rStyle w:val="52"/>
          <w:b w:val="0"/>
          <w:bCs w:val="0"/>
          <w:i w:val="0"/>
          <w:iCs w:val="0"/>
          <w:color w:val="000000" w:themeColor="text1"/>
          <w:szCs w:val="24"/>
        </w:rPr>
        <w:fldChar w:fldCharType="begin"/>
      </w:r>
      <w:r>
        <w:rPr>
          <w:rStyle w:val="52"/>
          <w:b w:val="0"/>
          <w:bCs w:val="0"/>
          <w:i w:val="0"/>
          <w:iCs w:val="0"/>
          <w:color w:val="000000" w:themeColor="text1"/>
          <w:szCs w:val="24"/>
        </w:rPr>
        <w:instrText xml:space="preserve"> </w:instrText>
      </w:r>
      <w:r>
        <w:rPr>
          <w:rStyle w:val="52"/>
          <w:rFonts w:hint="eastAsia"/>
          <w:b w:val="0"/>
          <w:bCs w:val="0"/>
          <w:i w:val="0"/>
          <w:iCs w:val="0"/>
          <w:color w:val="000000" w:themeColor="text1"/>
          <w:szCs w:val="24"/>
        </w:rPr>
        <w:instrText xml:space="preserve">TOC \o "1-3" \h \z \u</w:instrText>
      </w:r>
      <w:r>
        <w:rPr>
          <w:rStyle w:val="52"/>
          <w:b w:val="0"/>
          <w:bCs w:val="0"/>
          <w:i w:val="0"/>
          <w:iCs w:val="0"/>
          <w:color w:val="000000" w:themeColor="text1"/>
          <w:szCs w:val="24"/>
        </w:rPr>
        <w:instrText xml:space="preserve"> </w:instrText>
      </w:r>
      <w:r>
        <w:rPr>
          <w:rStyle w:val="52"/>
          <w:b w:val="0"/>
          <w:bCs w:val="0"/>
          <w:i w:val="0"/>
          <w:iCs w:val="0"/>
          <w:color w:val="000000" w:themeColor="text1"/>
          <w:szCs w:val="24"/>
        </w:rPr>
        <w:fldChar w:fldCharType="separate"/>
      </w:r>
      <w:r>
        <w:fldChar w:fldCharType="begin"/>
      </w:r>
      <w:r>
        <w:instrText xml:space="preserve"> HYPERLINK \l "_Toc47375765" </w:instrText>
      </w:r>
      <w:r>
        <w:fldChar w:fldCharType="separate"/>
      </w:r>
      <w:r>
        <w:rPr>
          <w:rStyle w:val="46"/>
          <w:color w:val="000000" w:themeColor="text1"/>
        </w:rPr>
        <w:t>1.</w:t>
      </w:r>
      <w:r>
        <w:rPr>
          <w:rStyle w:val="46"/>
          <w:rFonts w:hint="eastAsia"/>
          <w:color w:val="000000" w:themeColor="text1"/>
        </w:rPr>
        <w:t>总则</w:t>
      </w:r>
      <w:r>
        <w:rPr>
          <w:color w:val="000000" w:themeColor="text1"/>
        </w:rPr>
        <w:tab/>
      </w:r>
      <w:r>
        <w:rPr>
          <w:color w:val="000000" w:themeColor="text1"/>
        </w:rPr>
        <w:fldChar w:fldCharType="begin"/>
      </w:r>
      <w:r>
        <w:rPr>
          <w:color w:val="000000" w:themeColor="text1"/>
        </w:rPr>
        <w:instrText xml:space="preserve"> PAGEREF _Toc47375765 \h </w:instrText>
      </w:r>
      <w:r>
        <w:rPr>
          <w:color w:val="000000" w:themeColor="text1"/>
        </w:rPr>
        <w:fldChar w:fldCharType="separate"/>
      </w:r>
      <w:r>
        <w:rPr>
          <w:color w:val="000000" w:themeColor="text1"/>
        </w:rPr>
        <w:t>1</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"_Toc47375766" </w:instrText>
      </w:r>
      <w:r>
        <w:fldChar w:fldCharType="separate"/>
      </w:r>
      <w:r>
        <w:rPr>
          <w:rStyle w:val="46"/>
          <w:color w:val="000000" w:themeColor="text1"/>
        </w:rPr>
        <w:t>1.1</w:t>
      </w:r>
      <w:r>
        <w:rPr>
          <w:rStyle w:val="46"/>
          <w:rFonts w:hint="eastAsia"/>
          <w:color w:val="000000" w:themeColor="text1"/>
        </w:rPr>
        <w:t>编制依据</w:t>
      </w:r>
      <w:r>
        <w:rPr>
          <w:color w:val="000000" w:themeColor="text1"/>
        </w:rPr>
        <w:tab/>
      </w:r>
      <w:r>
        <w:rPr>
          <w:color w:val="000000" w:themeColor="text1"/>
        </w:rPr>
        <w:fldChar w:fldCharType="begin"/>
      </w:r>
      <w:r>
        <w:rPr>
          <w:color w:val="000000" w:themeColor="text1"/>
        </w:rPr>
        <w:instrText xml:space="preserve"> PAGEREF _Toc47375766 \h </w:instrText>
      </w:r>
      <w:r>
        <w:rPr>
          <w:color w:val="000000" w:themeColor="text1"/>
        </w:rPr>
        <w:fldChar w:fldCharType="separate"/>
      </w:r>
      <w:r>
        <w:rPr>
          <w:color w:val="000000" w:themeColor="text1"/>
        </w:rPr>
        <w:t>1</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"_Toc47375767" </w:instrText>
      </w:r>
      <w:r>
        <w:fldChar w:fldCharType="separate"/>
      </w:r>
      <w:r>
        <w:rPr>
          <w:rStyle w:val="46"/>
          <w:color w:val="000000" w:themeColor="text1"/>
        </w:rPr>
        <w:t>1.1.1</w:t>
      </w:r>
      <w:r>
        <w:rPr>
          <w:rStyle w:val="46"/>
          <w:rFonts w:hint="eastAsia"/>
          <w:color w:val="000000" w:themeColor="text1"/>
        </w:rPr>
        <w:t>国家法规及政策依据</w:t>
      </w:r>
      <w:r>
        <w:rPr>
          <w:color w:val="000000" w:themeColor="text1"/>
        </w:rPr>
        <w:tab/>
      </w:r>
      <w:r>
        <w:rPr>
          <w:color w:val="000000" w:themeColor="text1"/>
        </w:rPr>
        <w:fldChar w:fldCharType="begin"/>
      </w:r>
      <w:r>
        <w:rPr>
          <w:color w:val="000000" w:themeColor="text1"/>
        </w:rPr>
        <w:instrText xml:space="preserve"> PAGEREF _Toc47375767 \h </w:instrText>
      </w:r>
      <w:r>
        <w:rPr>
          <w:color w:val="000000" w:themeColor="text1"/>
        </w:rPr>
        <w:fldChar w:fldCharType="separate"/>
      </w:r>
      <w:r>
        <w:rPr>
          <w:color w:val="000000" w:themeColor="text1"/>
        </w:rPr>
        <w:t>1</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"_Toc47375768" </w:instrText>
      </w:r>
      <w:r>
        <w:fldChar w:fldCharType="separate"/>
      </w:r>
      <w:r>
        <w:rPr>
          <w:rStyle w:val="46"/>
          <w:color w:val="000000" w:themeColor="text1"/>
        </w:rPr>
        <w:t>1.1.2</w:t>
      </w:r>
      <w:r>
        <w:rPr>
          <w:rStyle w:val="46"/>
          <w:rFonts w:hint="eastAsia"/>
          <w:color w:val="000000" w:themeColor="text1"/>
        </w:rPr>
        <w:t>环境影响评价技术导则和技术规范</w:t>
      </w:r>
      <w:r>
        <w:rPr>
          <w:color w:val="000000" w:themeColor="text1"/>
        </w:rPr>
        <w:tab/>
      </w:r>
      <w:r>
        <w:rPr>
          <w:color w:val="000000" w:themeColor="text1"/>
        </w:rPr>
        <w:fldChar w:fldCharType="begin"/>
      </w:r>
      <w:r>
        <w:rPr>
          <w:color w:val="000000" w:themeColor="text1"/>
        </w:rPr>
        <w:instrText xml:space="preserve"> PAGEREF _Toc47375768 \h </w:instrText>
      </w:r>
      <w:r>
        <w:rPr>
          <w:color w:val="000000" w:themeColor="text1"/>
        </w:rPr>
        <w:fldChar w:fldCharType="separate"/>
      </w:r>
      <w:r>
        <w:rPr>
          <w:color w:val="000000" w:themeColor="text1"/>
        </w:rPr>
        <w:t>6</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"_Toc47375769" </w:instrText>
      </w:r>
      <w:r>
        <w:fldChar w:fldCharType="separate"/>
      </w:r>
      <w:r>
        <w:rPr>
          <w:rStyle w:val="46"/>
          <w:color w:val="000000" w:themeColor="text1"/>
        </w:rPr>
        <w:t>1.1.3</w:t>
      </w:r>
      <w:r>
        <w:rPr>
          <w:rStyle w:val="46"/>
          <w:rFonts w:hint="eastAsia"/>
          <w:color w:val="000000" w:themeColor="text1"/>
        </w:rPr>
        <w:t>评价依据</w:t>
      </w:r>
      <w:r>
        <w:rPr>
          <w:color w:val="000000" w:themeColor="text1"/>
        </w:rPr>
        <w:tab/>
      </w:r>
      <w:r>
        <w:rPr>
          <w:color w:val="000000" w:themeColor="text1"/>
        </w:rPr>
        <w:fldChar w:fldCharType="begin"/>
      </w:r>
      <w:r>
        <w:rPr>
          <w:color w:val="000000" w:themeColor="text1"/>
        </w:rPr>
        <w:instrText xml:space="preserve"> PAGEREF _Toc47375769 \h </w:instrText>
      </w:r>
      <w:r>
        <w:rPr>
          <w:color w:val="000000" w:themeColor="text1"/>
        </w:rPr>
        <w:fldChar w:fldCharType="separate"/>
      </w:r>
      <w:r>
        <w:rPr>
          <w:color w:val="000000" w:themeColor="text1"/>
        </w:rPr>
        <w:t>6</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"_Toc47375770" </w:instrText>
      </w:r>
      <w:r>
        <w:fldChar w:fldCharType="separate"/>
      </w:r>
      <w:r>
        <w:rPr>
          <w:rStyle w:val="46"/>
          <w:color w:val="000000" w:themeColor="text1"/>
        </w:rPr>
        <w:t>1.2</w:t>
      </w:r>
      <w:r>
        <w:rPr>
          <w:rStyle w:val="46"/>
          <w:rFonts w:hint="eastAsia"/>
          <w:color w:val="000000" w:themeColor="text1"/>
        </w:rPr>
        <w:t>评价原则、目的、指导思想与评价重点</w:t>
      </w:r>
      <w:r>
        <w:rPr>
          <w:color w:val="000000" w:themeColor="text1"/>
        </w:rPr>
        <w:tab/>
      </w:r>
      <w:r>
        <w:rPr>
          <w:color w:val="000000" w:themeColor="text1"/>
        </w:rPr>
        <w:fldChar w:fldCharType="begin"/>
      </w:r>
      <w:r>
        <w:rPr>
          <w:color w:val="000000" w:themeColor="text1"/>
        </w:rPr>
        <w:instrText xml:space="preserve"> PAGEREF _Toc47375770 \h </w:instrText>
      </w:r>
      <w:r>
        <w:rPr>
          <w:color w:val="000000" w:themeColor="text1"/>
        </w:rPr>
        <w:fldChar w:fldCharType="separate"/>
      </w:r>
      <w:r>
        <w:rPr>
          <w:color w:val="000000" w:themeColor="text1"/>
        </w:rPr>
        <w:t>6</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"_Toc47375771" </w:instrText>
      </w:r>
      <w:r>
        <w:fldChar w:fldCharType="separate"/>
      </w:r>
      <w:r>
        <w:rPr>
          <w:rStyle w:val="46"/>
          <w:color w:val="000000" w:themeColor="text1"/>
        </w:rPr>
        <w:t>1.2.1</w:t>
      </w:r>
      <w:r>
        <w:rPr>
          <w:rStyle w:val="46"/>
          <w:rFonts w:hint="eastAsia"/>
          <w:color w:val="000000" w:themeColor="text1"/>
        </w:rPr>
        <w:t>评价原则</w:t>
      </w:r>
      <w:r>
        <w:rPr>
          <w:color w:val="000000" w:themeColor="text1"/>
        </w:rPr>
        <w:tab/>
      </w:r>
      <w:r>
        <w:rPr>
          <w:color w:val="000000" w:themeColor="text1"/>
        </w:rPr>
        <w:fldChar w:fldCharType="begin"/>
      </w:r>
      <w:r>
        <w:rPr>
          <w:color w:val="000000" w:themeColor="text1"/>
        </w:rPr>
        <w:instrText xml:space="preserve"> PAGEREF _Toc47375771 \h </w:instrText>
      </w:r>
      <w:r>
        <w:rPr>
          <w:color w:val="000000" w:themeColor="text1"/>
        </w:rPr>
        <w:fldChar w:fldCharType="separate"/>
      </w:r>
      <w:r>
        <w:rPr>
          <w:color w:val="000000" w:themeColor="text1"/>
        </w:rPr>
        <w:t>6</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"_Toc47375772" </w:instrText>
      </w:r>
      <w:r>
        <w:fldChar w:fldCharType="separate"/>
      </w:r>
      <w:r>
        <w:rPr>
          <w:rStyle w:val="46"/>
          <w:color w:val="000000" w:themeColor="text1"/>
        </w:rPr>
        <w:t>1.2.2</w:t>
      </w:r>
      <w:r>
        <w:rPr>
          <w:rStyle w:val="46"/>
          <w:rFonts w:hint="eastAsia"/>
          <w:color w:val="000000" w:themeColor="text1"/>
        </w:rPr>
        <w:t>评价目的</w:t>
      </w:r>
      <w:r>
        <w:rPr>
          <w:color w:val="000000" w:themeColor="text1"/>
        </w:rPr>
        <w:tab/>
      </w:r>
      <w:r>
        <w:rPr>
          <w:color w:val="000000" w:themeColor="text1"/>
        </w:rPr>
        <w:fldChar w:fldCharType="begin"/>
      </w:r>
      <w:r>
        <w:rPr>
          <w:color w:val="000000" w:themeColor="text1"/>
        </w:rPr>
        <w:instrText xml:space="preserve"> PAGEREF _Toc47375772 \h </w:instrText>
      </w:r>
      <w:r>
        <w:rPr>
          <w:color w:val="000000" w:themeColor="text1"/>
        </w:rPr>
        <w:fldChar w:fldCharType="separate"/>
      </w:r>
      <w:r>
        <w:rPr>
          <w:color w:val="000000" w:themeColor="text1"/>
        </w:rPr>
        <w:t>7</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"_Toc47375773" </w:instrText>
      </w:r>
      <w:r>
        <w:fldChar w:fldCharType="separate"/>
      </w:r>
      <w:r>
        <w:rPr>
          <w:rStyle w:val="46"/>
          <w:color w:val="000000" w:themeColor="text1"/>
        </w:rPr>
        <w:t>1.2.3</w:t>
      </w:r>
      <w:r>
        <w:rPr>
          <w:rStyle w:val="46"/>
          <w:rFonts w:hint="eastAsia"/>
          <w:color w:val="000000" w:themeColor="text1"/>
        </w:rPr>
        <w:t>指导思想</w:t>
      </w:r>
      <w:r>
        <w:rPr>
          <w:color w:val="000000" w:themeColor="text1"/>
        </w:rPr>
        <w:tab/>
      </w:r>
      <w:r>
        <w:rPr>
          <w:color w:val="000000" w:themeColor="text1"/>
        </w:rPr>
        <w:fldChar w:fldCharType="begin"/>
      </w:r>
      <w:r>
        <w:rPr>
          <w:color w:val="000000" w:themeColor="text1"/>
        </w:rPr>
        <w:instrText xml:space="preserve"> PAGEREF _Toc47375773 \h </w:instrText>
      </w:r>
      <w:r>
        <w:rPr>
          <w:color w:val="000000" w:themeColor="text1"/>
        </w:rPr>
        <w:fldChar w:fldCharType="separate"/>
      </w:r>
      <w:r>
        <w:rPr>
          <w:color w:val="000000" w:themeColor="text1"/>
        </w:rPr>
        <w:t>7</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"_Toc47375774" </w:instrText>
      </w:r>
      <w:r>
        <w:fldChar w:fldCharType="separate"/>
      </w:r>
      <w:r>
        <w:rPr>
          <w:rStyle w:val="46"/>
          <w:color w:val="000000" w:themeColor="text1"/>
        </w:rPr>
        <w:t>1.2.4</w:t>
      </w:r>
      <w:r>
        <w:rPr>
          <w:rStyle w:val="46"/>
          <w:rFonts w:hint="eastAsia"/>
          <w:color w:val="000000" w:themeColor="text1"/>
        </w:rPr>
        <w:t>评价重点</w:t>
      </w:r>
      <w:r>
        <w:rPr>
          <w:color w:val="000000" w:themeColor="text1"/>
        </w:rPr>
        <w:tab/>
      </w:r>
      <w:r>
        <w:rPr>
          <w:color w:val="000000" w:themeColor="text1"/>
        </w:rPr>
        <w:fldChar w:fldCharType="begin"/>
      </w:r>
      <w:r>
        <w:rPr>
          <w:color w:val="000000" w:themeColor="text1"/>
        </w:rPr>
        <w:instrText xml:space="preserve"> PAGEREF _Toc47375774 \h </w:instrText>
      </w:r>
      <w:r>
        <w:rPr>
          <w:color w:val="000000" w:themeColor="text1"/>
        </w:rPr>
        <w:fldChar w:fldCharType="separate"/>
      </w:r>
      <w:r>
        <w:rPr>
          <w:color w:val="000000" w:themeColor="text1"/>
        </w:rPr>
        <w:t>8</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"_Toc47375775" </w:instrText>
      </w:r>
      <w:r>
        <w:fldChar w:fldCharType="separate"/>
      </w:r>
      <w:r>
        <w:rPr>
          <w:rStyle w:val="46"/>
          <w:color w:val="000000" w:themeColor="text1"/>
        </w:rPr>
        <w:t>1.3</w:t>
      </w:r>
      <w:r>
        <w:rPr>
          <w:rStyle w:val="46"/>
          <w:rFonts w:hint="eastAsia"/>
          <w:color w:val="000000" w:themeColor="text1"/>
        </w:rPr>
        <w:t>环境影响因子识别及确定</w:t>
      </w:r>
      <w:r>
        <w:rPr>
          <w:color w:val="000000" w:themeColor="text1"/>
        </w:rPr>
        <w:tab/>
      </w:r>
      <w:r>
        <w:rPr>
          <w:color w:val="000000" w:themeColor="text1"/>
        </w:rPr>
        <w:fldChar w:fldCharType="begin"/>
      </w:r>
      <w:r>
        <w:rPr>
          <w:color w:val="000000" w:themeColor="text1"/>
        </w:rPr>
        <w:instrText xml:space="preserve"> PAGEREF _Toc47375775 \h </w:instrText>
      </w:r>
      <w:r>
        <w:rPr>
          <w:color w:val="000000" w:themeColor="text1"/>
        </w:rPr>
        <w:fldChar w:fldCharType="separate"/>
      </w:r>
      <w:r>
        <w:rPr>
          <w:color w:val="000000" w:themeColor="text1"/>
        </w:rPr>
        <w:t>8</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"_Toc47375776" </w:instrText>
      </w:r>
      <w:r>
        <w:fldChar w:fldCharType="separate"/>
      </w:r>
      <w:r>
        <w:rPr>
          <w:rStyle w:val="46"/>
          <w:color w:val="000000" w:themeColor="text1"/>
        </w:rPr>
        <w:t>1.3.1</w:t>
      </w:r>
      <w:r>
        <w:rPr>
          <w:rStyle w:val="46"/>
          <w:rFonts w:hint="eastAsia"/>
          <w:color w:val="000000" w:themeColor="text1"/>
        </w:rPr>
        <w:t>环境影响因子识别</w:t>
      </w:r>
      <w:r>
        <w:rPr>
          <w:color w:val="000000" w:themeColor="text1"/>
        </w:rPr>
        <w:tab/>
      </w:r>
      <w:r>
        <w:rPr>
          <w:color w:val="000000" w:themeColor="text1"/>
        </w:rPr>
        <w:fldChar w:fldCharType="begin"/>
      </w:r>
      <w:r>
        <w:rPr>
          <w:color w:val="000000" w:themeColor="text1"/>
        </w:rPr>
        <w:instrText xml:space="preserve"> PAGEREF _Toc47375776 \h </w:instrText>
      </w:r>
      <w:r>
        <w:rPr>
          <w:color w:val="000000" w:themeColor="text1"/>
        </w:rPr>
        <w:fldChar w:fldCharType="separate"/>
      </w:r>
      <w:r>
        <w:rPr>
          <w:color w:val="000000" w:themeColor="text1"/>
        </w:rPr>
        <w:t>8</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"_Toc47375777" </w:instrText>
      </w:r>
      <w:r>
        <w:fldChar w:fldCharType="separate"/>
      </w:r>
      <w:r>
        <w:rPr>
          <w:rStyle w:val="46"/>
          <w:color w:val="000000" w:themeColor="text1"/>
        </w:rPr>
        <w:t>1.3.2</w:t>
      </w:r>
      <w:r>
        <w:rPr>
          <w:rStyle w:val="46"/>
          <w:rFonts w:hint="eastAsia"/>
          <w:color w:val="000000" w:themeColor="text1"/>
        </w:rPr>
        <w:t>评价因子的确定</w:t>
      </w:r>
      <w:r>
        <w:rPr>
          <w:color w:val="000000" w:themeColor="text1"/>
        </w:rPr>
        <w:tab/>
      </w:r>
      <w:r>
        <w:rPr>
          <w:color w:val="000000" w:themeColor="text1"/>
        </w:rPr>
        <w:fldChar w:fldCharType="begin"/>
      </w:r>
      <w:r>
        <w:rPr>
          <w:color w:val="000000" w:themeColor="text1"/>
        </w:rPr>
        <w:instrText xml:space="preserve"> PAGEREF _Toc47375777 \h </w:instrText>
      </w:r>
      <w:r>
        <w:rPr>
          <w:color w:val="000000" w:themeColor="text1"/>
        </w:rPr>
        <w:fldChar w:fldCharType="separate"/>
      </w:r>
      <w:r>
        <w:rPr>
          <w:color w:val="000000" w:themeColor="text1"/>
        </w:rPr>
        <w:t>9</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"_Toc47375778" </w:instrText>
      </w:r>
      <w:r>
        <w:fldChar w:fldCharType="separate"/>
      </w:r>
      <w:r>
        <w:rPr>
          <w:rStyle w:val="46"/>
          <w:color w:val="000000" w:themeColor="text1"/>
        </w:rPr>
        <w:t>1.4</w:t>
      </w:r>
      <w:r>
        <w:rPr>
          <w:rStyle w:val="46"/>
          <w:rFonts w:hint="eastAsia"/>
          <w:color w:val="000000" w:themeColor="text1"/>
        </w:rPr>
        <w:t>评价标准</w:t>
      </w:r>
      <w:r>
        <w:rPr>
          <w:color w:val="000000" w:themeColor="text1"/>
        </w:rPr>
        <w:tab/>
      </w:r>
      <w:r>
        <w:rPr>
          <w:color w:val="000000" w:themeColor="text1"/>
        </w:rPr>
        <w:fldChar w:fldCharType="begin"/>
      </w:r>
      <w:r>
        <w:rPr>
          <w:color w:val="000000" w:themeColor="text1"/>
        </w:rPr>
        <w:instrText xml:space="preserve"> PAGEREF _Toc47375778 \h </w:instrText>
      </w:r>
      <w:r>
        <w:rPr>
          <w:color w:val="000000" w:themeColor="text1"/>
        </w:rPr>
        <w:fldChar w:fldCharType="separate"/>
      </w:r>
      <w:r>
        <w:rPr>
          <w:color w:val="000000" w:themeColor="text1"/>
        </w:rPr>
        <w:t>9</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"_Toc47375779" </w:instrText>
      </w:r>
      <w:r>
        <w:fldChar w:fldCharType="separate"/>
      </w:r>
      <w:r>
        <w:rPr>
          <w:rStyle w:val="46"/>
          <w:color w:val="000000" w:themeColor="text1"/>
        </w:rPr>
        <w:t>1.4.1</w:t>
      </w:r>
      <w:r>
        <w:rPr>
          <w:rStyle w:val="46"/>
          <w:rFonts w:hint="eastAsia"/>
          <w:color w:val="000000" w:themeColor="text1"/>
        </w:rPr>
        <w:t>环境质量标准</w:t>
      </w:r>
      <w:r>
        <w:rPr>
          <w:color w:val="000000" w:themeColor="text1"/>
        </w:rPr>
        <w:tab/>
      </w:r>
      <w:r>
        <w:rPr>
          <w:color w:val="000000" w:themeColor="text1"/>
        </w:rPr>
        <w:fldChar w:fldCharType="begin"/>
      </w:r>
      <w:r>
        <w:rPr>
          <w:color w:val="000000" w:themeColor="text1"/>
        </w:rPr>
        <w:instrText xml:space="preserve"> PAGEREF _Toc47375779 \h </w:instrText>
      </w:r>
      <w:r>
        <w:rPr>
          <w:color w:val="000000" w:themeColor="text1"/>
        </w:rPr>
        <w:fldChar w:fldCharType="separate"/>
      </w:r>
      <w:r>
        <w:rPr>
          <w:color w:val="000000" w:themeColor="text1"/>
        </w:rPr>
        <w:t>9</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"_Toc47375780" </w:instrText>
      </w:r>
      <w:r>
        <w:fldChar w:fldCharType="separate"/>
      </w:r>
      <w:r>
        <w:rPr>
          <w:rStyle w:val="46"/>
          <w:color w:val="000000" w:themeColor="text1"/>
        </w:rPr>
        <w:t>1.4.2</w:t>
      </w:r>
      <w:r>
        <w:rPr>
          <w:rStyle w:val="46"/>
          <w:rFonts w:hint="eastAsia"/>
          <w:color w:val="000000" w:themeColor="text1"/>
        </w:rPr>
        <w:t>污染物排放标准</w:t>
      </w:r>
      <w:r>
        <w:rPr>
          <w:color w:val="000000" w:themeColor="text1"/>
        </w:rPr>
        <w:tab/>
      </w:r>
      <w:r>
        <w:rPr>
          <w:color w:val="000000" w:themeColor="text1"/>
        </w:rPr>
        <w:fldChar w:fldCharType="begin"/>
      </w:r>
      <w:r>
        <w:rPr>
          <w:color w:val="000000" w:themeColor="text1"/>
        </w:rPr>
        <w:instrText xml:space="preserve"> PAGEREF _Toc47375780 \h </w:instrText>
      </w:r>
      <w:r>
        <w:rPr>
          <w:color w:val="000000" w:themeColor="text1"/>
        </w:rPr>
        <w:fldChar w:fldCharType="separate"/>
      </w:r>
      <w:r>
        <w:rPr>
          <w:color w:val="000000" w:themeColor="text1"/>
        </w:rPr>
        <w:t>12</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"_Toc47375781" </w:instrText>
      </w:r>
      <w:r>
        <w:fldChar w:fldCharType="separate"/>
      </w:r>
      <w:r>
        <w:rPr>
          <w:rStyle w:val="46"/>
          <w:color w:val="000000" w:themeColor="text1"/>
        </w:rPr>
        <w:t>1.5</w:t>
      </w:r>
      <w:r>
        <w:rPr>
          <w:rStyle w:val="46"/>
          <w:rFonts w:hint="eastAsia"/>
          <w:color w:val="000000" w:themeColor="text1"/>
        </w:rPr>
        <w:t>评价等级、范围与重点保护目标</w:t>
      </w:r>
      <w:r>
        <w:rPr>
          <w:color w:val="000000" w:themeColor="text1"/>
        </w:rPr>
        <w:tab/>
      </w:r>
      <w:r>
        <w:rPr>
          <w:color w:val="000000" w:themeColor="text1"/>
        </w:rPr>
        <w:fldChar w:fldCharType="begin"/>
      </w:r>
      <w:r>
        <w:rPr>
          <w:color w:val="000000" w:themeColor="text1"/>
        </w:rPr>
        <w:instrText xml:space="preserve"> PAGEREF _Toc47375781 \h </w:instrText>
      </w:r>
      <w:r>
        <w:rPr>
          <w:color w:val="000000" w:themeColor="text1"/>
        </w:rPr>
        <w:fldChar w:fldCharType="separate"/>
      </w:r>
      <w:r>
        <w:rPr>
          <w:color w:val="000000" w:themeColor="text1"/>
        </w:rPr>
        <w:t>14</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"_Toc47375782" </w:instrText>
      </w:r>
      <w:r>
        <w:fldChar w:fldCharType="separate"/>
      </w:r>
      <w:r>
        <w:rPr>
          <w:rStyle w:val="46"/>
          <w:color w:val="000000" w:themeColor="text1"/>
        </w:rPr>
        <w:t>1.5.1</w:t>
      </w:r>
      <w:r>
        <w:rPr>
          <w:rStyle w:val="46"/>
          <w:rFonts w:hint="eastAsia"/>
          <w:color w:val="000000" w:themeColor="text1"/>
        </w:rPr>
        <w:t>评价等级及范围</w:t>
      </w:r>
      <w:r>
        <w:rPr>
          <w:color w:val="000000" w:themeColor="text1"/>
        </w:rPr>
        <w:tab/>
      </w:r>
      <w:r>
        <w:rPr>
          <w:color w:val="000000" w:themeColor="text1"/>
        </w:rPr>
        <w:fldChar w:fldCharType="begin"/>
      </w:r>
      <w:r>
        <w:rPr>
          <w:color w:val="000000" w:themeColor="text1"/>
        </w:rPr>
        <w:instrText xml:space="preserve"> PAGEREF _Toc47375782 \h </w:instrText>
      </w:r>
      <w:r>
        <w:rPr>
          <w:color w:val="000000" w:themeColor="text1"/>
        </w:rPr>
        <w:fldChar w:fldCharType="separate"/>
      </w:r>
      <w:r>
        <w:rPr>
          <w:color w:val="000000" w:themeColor="text1"/>
        </w:rPr>
        <w:t>14</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"_Toc47375783" </w:instrText>
      </w:r>
      <w:r>
        <w:fldChar w:fldCharType="separate"/>
      </w:r>
      <w:r>
        <w:rPr>
          <w:rStyle w:val="46"/>
          <w:color w:val="000000" w:themeColor="text1"/>
        </w:rPr>
        <w:t>1.5.2</w:t>
      </w:r>
      <w:r>
        <w:rPr>
          <w:rStyle w:val="46"/>
          <w:rFonts w:hint="eastAsia"/>
          <w:color w:val="000000" w:themeColor="text1"/>
        </w:rPr>
        <w:t>重点保护目标</w:t>
      </w:r>
      <w:r>
        <w:rPr>
          <w:color w:val="000000" w:themeColor="text1"/>
        </w:rPr>
        <w:tab/>
      </w:r>
      <w:r>
        <w:rPr>
          <w:color w:val="000000" w:themeColor="text1"/>
        </w:rPr>
        <w:fldChar w:fldCharType="begin"/>
      </w:r>
      <w:r>
        <w:rPr>
          <w:color w:val="000000" w:themeColor="text1"/>
        </w:rPr>
        <w:instrText xml:space="preserve"> PAGEREF _Toc47375783 \h </w:instrText>
      </w:r>
      <w:r>
        <w:rPr>
          <w:color w:val="000000" w:themeColor="text1"/>
        </w:rPr>
        <w:fldChar w:fldCharType="separate"/>
      </w:r>
      <w:r>
        <w:rPr>
          <w:color w:val="000000" w:themeColor="text1"/>
        </w:rPr>
        <w:t>18</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"_Toc47375784" </w:instrText>
      </w:r>
      <w:r>
        <w:fldChar w:fldCharType="separate"/>
      </w:r>
      <w:r>
        <w:rPr>
          <w:rStyle w:val="46"/>
          <w:color w:val="000000" w:themeColor="text1"/>
        </w:rPr>
        <w:t>1.6</w:t>
      </w:r>
      <w:r>
        <w:rPr>
          <w:rStyle w:val="46"/>
          <w:rFonts w:hint="eastAsia"/>
          <w:color w:val="000000" w:themeColor="text1"/>
        </w:rPr>
        <w:t>环境影响评价程序</w:t>
      </w:r>
      <w:r>
        <w:rPr>
          <w:color w:val="000000" w:themeColor="text1"/>
        </w:rPr>
        <w:tab/>
      </w:r>
      <w:r>
        <w:rPr>
          <w:color w:val="000000" w:themeColor="text1"/>
        </w:rPr>
        <w:fldChar w:fldCharType="begin"/>
      </w:r>
      <w:r>
        <w:rPr>
          <w:color w:val="000000" w:themeColor="text1"/>
        </w:rPr>
        <w:instrText xml:space="preserve"> PAGEREF _Toc47375784 \h </w:instrText>
      </w:r>
      <w:r>
        <w:rPr>
          <w:color w:val="000000" w:themeColor="text1"/>
        </w:rPr>
        <w:fldChar w:fldCharType="separate"/>
      </w:r>
      <w:r>
        <w:rPr>
          <w:color w:val="000000" w:themeColor="text1"/>
        </w:rPr>
        <w:t>18</w:t>
      </w:r>
      <w:r>
        <w:rPr>
          <w:color w:val="000000" w:themeColor="text1"/>
        </w:rPr>
        <w:fldChar w:fldCharType="end"/>
      </w:r>
      <w:r>
        <w:rPr>
          <w:color w:val="000000" w:themeColor="text1"/>
        </w:rPr>
        <w:fldChar w:fldCharType="end"/>
      </w:r>
    </w:p>
    <w:p>
      <w:pPr>
        <w:pStyle w:val="27"/>
        <w:tabs>
          <w:tab w:val="right" w:leader="dot" w:pos="8302"/>
        </w:tabs>
        <w:ind w:firstLine="480"/>
        <w:rPr>
          <w:rFonts w:asciiTheme="minorHAnsi" w:hAnsiTheme="minorHAnsi" w:eastAsiaTheme="minorEastAsia"/>
          <w:color w:val="000000" w:themeColor="text1"/>
          <w:sz w:val="21"/>
        </w:rPr>
      </w:pPr>
      <w:r>
        <w:fldChar w:fldCharType="begin"/>
      </w:r>
      <w:r>
        <w:instrText xml:space="preserve"> HYPERLINK \l "_Toc47375785" </w:instrText>
      </w:r>
      <w:r>
        <w:fldChar w:fldCharType="separate"/>
      </w:r>
      <w:r>
        <w:rPr>
          <w:rStyle w:val="46"/>
          <w:color w:val="000000" w:themeColor="text1"/>
        </w:rPr>
        <w:t>2.</w:t>
      </w:r>
      <w:r>
        <w:rPr>
          <w:rStyle w:val="46"/>
          <w:rFonts w:hint="eastAsia"/>
          <w:color w:val="000000" w:themeColor="text1"/>
        </w:rPr>
        <w:t>建设项目工程分析</w:t>
      </w:r>
      <w:r>
        <w:rPr>
          <w:color w:val="000000" w:themeColor="text1"/>
        </w:rPr>
        <w:tab/>
      </w:r>
      <w:r>
        <w:rPr>
          <w:color w:val="000000" w:themeColor="text1"/>
        </w:rPr>
        <w:fldChar w:fldCharType="begin"/>
      </w:r>
      <w:r>
        <w:rPr>
          <w:color w:val="000000" w:themeColor="text1"/>
        </w:rPr>
        <w:instrText xml:space="preserve"> PAGEREF _Toc47375785 \h </w:instrText>
      </w:r>
      <w:r>
        <w:rPr>
          <w:color w:val="000000" w:themeColor="text1"/>
        </w:rPr>
        <w:fldChar w:fldCharType="separate"/>
      </w:r>
      <w:r>
        <w:rPr>
          <w:color w:val="000000" w:themeColor="text1"/>
        </w:rPr>
        <w:t>20</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"_Toc47375786" </w:instrText>
      </w:r>
      <w:r>
        <w:fldChar w:fldCharType="separate"/>
      </w:r>
      <w:r>
        <w:rPr>
          <w:rStyle w:val="46"/>
          <w:color w:val="000000" w:themeColor="text1"/>
        </w:rPr>
        <w:t>2.1</w:t>
      </w:r>
      <w:r>
        <w:rPr>
          <w:rStyle w:val="46"/>
          <w:rFonts w:hint="eastAsia"/>
          <w:color w:val="000000" w:themeColor="text1"/>
        </w:rPr>
        <w:t>现有工程分析</w:t>
      </w:r>
      <w:r>
        <w:rPr>
          <w:color w:val="000000" w:themeColor="text1"/>
        </w:rPr>
        <w:tab/>
      </w:r>
      <w:r>
        <w:rPr>
          <w:color w:val="000000" w:themeColor="text1"/>
        </w:rPr>
        <w:fldChar w:fldCharType="begin"/>
      </w:r>
      <w:r>
        <w:rPr>
          <w:color w:val="000000" w:themeColor="text1"/>
        </w:rPr>
        <w:instrText xml:space="preserve"> PAGEREF _Toc47375786 \h </w:instrText>
      </w:r>
      <w:r>
        <w:rPr>
          <w:color w:val="000000" w:themeColor="text1"/>
        </w:rPr>
        <w:fldChar w:fldCharType="separate"/>
      </w:r>
      <w:r>
        <w:rPr>
          <w:color w:val="000000" w:themeColor="text1"/>
        </w:rPr>
        <w:t>20</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"_Toc47375787" </w:instrText>
      </w:r>
      <w:r>
        <w:fldChar w:fldCharType="separate"/>
      </w:r>
      <w:r>
        <w:rPr>
          <w:rStyle w:val="46"/>
          <w:color w:val="000000" w:themeColor="text1"/>
        </w:rPr>
        <w:t>2.1.1</w:t>
      </w:r>
      <w:r>
        <w:rPr>
          <w:rStyle w:val="46"/>
          <w:rFonts w:hint="eastAsia"/>
          <w:color w:val="000000" w:themeColor="text1"/>
        </w:rPr>
        <w:t>现有项目概述</w:t>
      </w:r>
      <w:r>
        <w:rPr>
          <w:color w:val="000000" w:themeColor="text1"/>
        </w:rPr>
        <w:tab/>
      </w:r>
      <w:r>
        <w:rPr>
          <w:color w:val="000000" w:themeColor="text1"/>
        </w:rPr>
        <w:fldChar w:fldCharType="begin"/>
      </w:r>
      <w:r>
        <w:rPr>
          <w:color w:val="000000" w:themeColor="text1"/>
        </w:rPr>
        <w:instrText xml:space="preserve"> PAGEREF _Toc47375787 \h </w:instrText>
      </w:r>
      <w:r>
        <w:rPr>
          <w:color w:val="000000" w:themeColor="text1"/>
        </w:rPr>
        <w:fldChar w:fldCharType="separate"/>
      </w:r>
      <w:r>
        <w:rPr>
          <w:color w:val="000000" w:themeColor="text1"/>
        </w:rPr>
        <w:t>20</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"_Toc47375788" </w:instrText>
      </w:r>
      <w:r>
        <w:fldChar w:fldCharType="separate"/>
      </w:r>
      <w:r>
        <w:rPr>
          <w:rStyle w:val="46"/>
          <w:color w:val="000000" w:themeColor="text1"/>
        </w:rPr>
        <w:t>2.1.2</w:t>
      </w:r>
      <w:r>
        <w:rPr>
          <w:rStyle w:val="46"/>
          <w:rFonts w:hint="eastAsia"/>
          <w:color w:val="000000" w:themeColor="text1"/>
        </w:rPr>
        <w:t>现有工程“三同时”执行情况</w:t>
      </w:r>
      <w:r>
        <w:rPr>
          <w:color w:val="000000" w:themeColor="text1"/>
        </w:rPr>
        <w:tab/>
      </w:r>
      <w:r>
        <w:rPr>
          <w:color w:val="000000" w:themeColor="text1"/>
        </w:rPr>
        <w:fldChar w:fldCharType="begin"/>
      </w:r>
      <w:r>
        <w:rPr>
          <w:color w:val="000000" w:themeColor="text1"/>
        </w:rPr>
        <w:instrText xml:space="preserve"> PAGEREF _Toc47375788 \h </w:instrText>
      </w:r>
      <w:r>
        <w:rPr>
          <w:color w:val="000000" w:themeColor="text1"/>
        </w:rPr>
        <w:fldChar w:fldCharType="separate"/>
      </w:r>
      <w:r>
        <w:rPr>
          <w:color w:val="000000" w:themeColor="text1"/>
        </w:rPr>
        <w:t>21</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"_Toc47375789" </w:instrText>
      </w:r>
      <w:r>
        <w:fldChar w:fldCharType="separate"/>
      </w:r>
      <w:r>
        <w:rPr>
          <w:rStyle w:val="46"/>
          <w:color w:val="000000" w:themeColor="text1"/>
        </w:rPr>
        <w:t>2.1.3</w:t>
      </w:r>
      <w:r>
        <w:rPr>
          <w:rStyle w:val="46"/>
          <w:rFonts w:hint="eastAsia"/>
          <w:color w:val="000000" w:themeColor="text1"/>
        </w:rPr>
        <w:t>主要建设内容</w:t>
      </w:r>
      <w:r>
        <w:rPr>
          <w:color w:val="000000" w:themeColor="text1"/>
        </w:rPr>
        <w:tab/>
      </w:r>
      <w:r>
        <w:rPr>
          <w:color w:val="000000" w:themeColor="text1"/>
        </w:rPr>
        <w:fldChar w:fldCharType="begin"/>
      </w:r>
      <w:r>
        <w:rPr>
          <w:color w:val="000000" w:themeColor="text1"/>
        </w:rPr>
        <w:instrText xml:space="preserve"> PAGEREF _Toc47375789 \h </w:instrText>
      </w:r>
      <w:r>
        <w:rPr>
          <w:color w:val="000000" w:themeColor="text1"/>
        </w:rPr>
        <w:fldChar w:fldCharType="separate"/>
      </w:r>
      <w:r>
        <w:rPr>
          <w:color w:val="000000" w:themeColor="text1"/>
        </w:rPr>
        <w:t>22</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"_Toc47375790" </w:instrText>
      </w:r>
      <w:r>
        <w:fldChar w:fldCharType="separate"/>
      </w:r>
      <w:r>
        <w:rPr>
          <w:rStyle w:val="46"/>
          <w:color w:val="000000" w:themeColor="text1"/>
        </w:rPr>
        <w:t>2.1.4</w:t>
      </w:r>
      <w:r>
        <w:rPr>
          <w:rStyle w:val="46"/>
          <w:rFonts w:hint="eastAsia"/>
          <w:color w:val="000000" w:themeColor="text1"/>
        </w:rPr>
        <w:t>生产工艺及产污环节</w:t>
      </w:r>
      <w:r>
        <w:rPr>
          <w:color w:val="000000" w:themeColor="text1"/>
        </w:rPr>
        <w:tab/>
      </w:r>
      <w:r>
        <w:rPr>
          <w:color w:val="000000" w:themeColor="text1"/>
        </w:rPr>
        <w:fldChar w:fldCharType="begin"/>
      </w:r>
      <w:r>
        <w:rPr>
          <w:color w:val="000000" w:themeColor="text1"/>
        </w:rPr>
        <w:instrText xml:space="preserve"> PAGEREF _Toc47375790 \h </w:instrText>
      </w:r>
      <w:r>
        <w:rPr>
          <w:color w:val="000000" w:themeColor="text1"/>
        </w:rPr>
        <w:fldChar w:fldCharType="separate"/>
      </w:r>
      <w:r>
        <w:rPr>
          <w:color w:val="000000" w:themeColor="text1"/>
        </w:rPr>
        <w:t>23</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"_Toc47375791" </w:instrText>
      </w:r>
      <w:r>
        <w:fldChar w:fldCharType="separate"/>
      </w:r>
      <w:r>
        <w:rPr>
          <w:rStyle w:val="46"/>
          <w:color w:val="000000" w:themeColor="text1"/>
        </w:rPr>
        <w:t>2.1.5</w:t>
      </w:r>
      <w:r>
        <w:rPr>
          <w:rStyle w:val="46"/>
          <w:rFonts w:hint="eastAsia"/>
          <w:color w:val="000000" w:themeColor="text1"/>
        </w:rPr>
        <w:t>现有项目污染物治理措施及排放情况</w:t>
      </w:r>
      <w:r>
        <w:rPr>
          <w:color w:val="000000" w:themeColor="text1"/>
        </w:rPr>
        <w:tab/>
      </w:r>
      <w:r>
        <w:rPr>
          <w:color w:val="000000" w:themeColor="text1"/>
        </w:rPr>
        <w:fldChar w:fldCharType="begin"/>
      </w:r>
      <w:r>
        <w:rPr>
          <w:color w:val="000000" w:themeColor="text1"/>
        </w:rPr>
        <w:instrText xml:space="preserve"> PAGEREF _Toc47375791 \h </w:instrText>
      </w:r>
      <w:r>
        <w:rPr>
          <w:color w:val="000000" w:themeColor="text1"/>
        </w:rPr>
        <w:fldChar w:fldCharType="separate"/>
      </w:r>
      <w:r>
        <w:rPr>
          <w:color w:val="000000" w:themeColor="text1"/>
        </w:rPr>
        <w:t>24</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"_Toc47375792" </w:instrText>
      </w:r>
      <w:r>
        <w:fldChar w:fldCharType="separate"/>
      </w:r>
      <w:r>
        <w:rPr>
          <w:rStyle w:val="46"/>
          <w:color w:val="000000" w:themeColor="text1"/>
        </w:rPr>
        <w:t>2.1.6</w:t>
      </w:r>
      <w:r>
        <w:rPr>
          <w:rStyle w:val="46"/>
          <w:rFonts w:hint="eastAsia"/>
          <w:color w:val="000000" w:themeColor="text1"/>
        </w:rPr>
        <w:t>现有项目主要环境问题</w:t>
      </w:r>
      <w:r>
        <w:rPr>
          <w:color w:val="000000" w:themeColor="text1"/>
        </w:rPr>
        <w:tab/>
      </w:r>
      <w:r>
        <w:rPr>
          <w:color w:val="000000" w:themeColor="text1"/>
        </w:rPr>
        <w:fldChar w:fldCharType="begin"/>
      </w:r>
      <w:r>
        <w:rPr>
          <w:color w:val="000000" w:themeColor="text1"/>
        </w:rPr>
        <w:instrText xml:space="preserve"> PAGEREF _Toc47375792 \h </w:instrText>
      </w:r>
      <w:r>
        <w:rPr>
          <w:color w:val="000000" w:themeColor="text1"/>
        </w:rPr>
        <w:fldChar w:fldCharType="separate"/>
      </w:r>
      <w:r>
        <w:rPr>
          <w:color w:val="000000" w:themeColor="text1"/>
        </w:rPr>
        <w:t>26</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"_Toc47375793" </w:instrText>
      </w:r>
      <w:r>
        <w:fldChar w:fldCharType="separate"/>
      </w:r>
      <w:r>
        <w:rPr>
          <w:rStyle w:val="46"/>
          <w:color w:val="000000" w:themeColor="text1"/>
        </w:rPr>
        <w:t>2.1.7</w:t>
      </w:r>
      <w:r>
        <w:rPr>
          <w:rStyle w:val="46"/>
          <w:rFonts w:hint="eastAsia"/>
          <w:color w:val="000000" w:themeColor="text1"/>
        </w:rPr>
        <w:t>搬迁计划</w:t>
      </w:r>
      <w:r>
        <w:rPr>
          <w:color w:val="000000" w:themeColor="text1"/>
        </w:rPr>
        <w:tab/>
      </w:r>
      <w:r>
        <w:rPr>
          <w:color w:val="000000" w:themeColor="text1"/>
        </w:rPr>
        <w:fldChar w:fldCharType="begin"/>
      </w:r>
      <w:r>
        <w:rPr>
          <w:color w:val="000000" w:themeColor="text1"/>
        </w:rPr>
        <w:instrText xml:space="preserve"> PAGEREF _Toc47375793 \h </w:instrText>
      </w:r>
      <w:r>
        <w:rPr>
          <w:color w:val="000000" w:themeColor="text1"/>
        </w:rPr>
        <w:fldChar w:fldCharType="separate"/>
      </w:r>
      <w:r>
        <w:rPr>
          <w:color w:val="000000" w:themeColor="text1"/>
        </w:rPr>
        <w:t>27</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"_Toc47375794" </w:instrText>
      </w:r>
      <w:r>
        <w:fldChar w:fldCharType="separate"/>
      </w:r>
      <w:r>
        <w:rPr>
          <w:rStyle w:val="46"/>
          <w:color w:val="000000" w:themeColor="text1"/>
        </w:rPr>
        <w:t>2.2</w:t>
      </w:r>
      <w:r>
        <w:rPr>
          <w:rStyle w:val="46"/>
          <w:rFonts w:hint="eastAsia"/>
          <w:color w:val="000000" w:themeColor="text1"/>
        </w:rPr>
        <w:t>新建项目工程分析</w:t>
      </w:r>
      <w:r>
        <w:rPr>
          <w:color w:val="000000" w:themeColor="text1"/>
        </w:rPr>
        <w:tab/>
      </w:r>
      <w:r>
        <w:rPr>
          <w:color w:val="000000" w:themeColor="text1"/>
        </w:rPr>
        <w:fldChar w:fldCharType="begin"/>
      </w:r>
      <w:r>
        <w:rPr>
          <w:color w:val="000000" w:themeColor="text1"/>
        </w:rPr>
        <w:instrText xml:space="preserve"> PAGEREF _Toc47375794 \h </w:instrText>
      </w:r>
      <w:r>
        <w:rPr>
          <w:color w:val="000000" w:themeColor="text1"/>
        </w:rPr>
        <w:fldChar w:fldCharType="separate"/>
      </w:r>
      <w:r>
        <w:rPr>
          <w:color w:val="000000" w:themeColor="text1"/>
        </w:rPr>
        <w:t>27</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"_Toc47375795" </w:instrText>
      </w:r>
      <w:r>
        <w:fldChar w:fldCharType="separate"/>
      </w:r>
      <w:r>
        <w:rPr>
          <w:rStyle w:val="46"/>
          <w:color w:val="000000" w:themeColor="text1"/>
        </w:rPr>
        <w:t>2.2.1</w:t>
      </w:r>
      <w:r>
        <w:rPr>
          <w:rStyle w:val="46"/>
          <w:rFonts w:hint="eastAsia"/>
          <w:color w:val="000000" w:themeColor="text1"/>
        </w:rPr>
        <w:t>项目基本情况</w:t>
      </w:r>
      <w:r>
        <w:rPr>
          <w:color w:val="000000" w:themeColor="text1"/>
        </w:rPr>
        <w:tab/>
      </w:r>
      <w:r>
        <w:rPr>
          <w:color w:val="000000" w:themeColor="text1"/>
        </w:rPr>
        <w:fldChar w:fldCharType="begin"/>
      </w:r>
      <w:r>
        <w:rPr>
          <w:color w:val="000000" w:themeColor="text1"/>
        </w:rPr>
        <w:instrText xml:space="preserve"> PAGEREF _Toc47375795 \h </w:instrText>
      </w:r>
      <w:r>
        <w:rPr>
          <w:color w:val="000000" w:themeColor="text1"/>
        </w:rPr>
        <w:fldChar w:fldCharType="separate"/>
      </w:r>
      <w:r>
        <w:rPr>
          <w:color w:val="000000" w:themeColor="text1"/>
        </w:rPr>
        <w:t>27</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"_Toc47375796" </w:instrText>
      </w:r>
      <w:r>
        <w:fldChar w:fldCharType="separate"/>
      </w:r>
      <w:r>
        <w:rPr>
          <w:rStyle w:val="46"/>
          <w:color w:val="000000" w:themeColor="text1"/>
        </w:rPr>
        <w:t>2.2.2</w:t>
      </w:r>
      <w:r>
        <w:rPr>
          <w:rStyle w:val="46"/>
          <w:rFonts w:hint="eastAsia"/>
          <w:color w:val="000000" w:themeColor="text1"/>
        </w:rPr>
        <w:t>项目组成情况</w:t>
      </w:r>
      <w:r>
        <w:rPr>
          <w:color w:val="000000" w:themeColor="text1"/>
        </w:rPr>
        <w:tab/>
      </w:r>
      <w:r>
        <w:rPr>
          <w:color w:val="000000" w:themeColor="text1"/>
        </w:rPr>
        <w:fldChar w:fldCharType="begin"/>
      </w:r>
      <w:r>
        <w:rPr>
          <w:color w:val="000000" w:themeColor="text1"/>
        </w:rPr>
        <w:instrText xml:space="preserve"> PAGEREF _Toc47375796 \h </w:instrText>
      </w:r>
      <w:r>
        <w:rPr>
          <w:color w:val="000000" w:themeColor="text1"/>
        </w:rPr>
        <w:fldChar w:fldCharType="separate"/>
      </w:r>
      <w:r>
        <w:rPr>
          <w:color w:val="000000" w:themeColor="text1"/>
        </w:rPr>
        <w:t>27</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"_Toc47375797" </w:instrText>
      </w:r>
      <w:r>
        <w:fldChar w:fldCharType="separate"/>
      </w:r>
      <w:r>
        <w:rPr>
          <w:rStyle w:val="46"/>
          <w:color w:val="000000" w:themeColor="text1"/>
        </w:rPr>
        <w:t>2.2.3</w:t>
      </w:r>
      <w:r>
        <w:rPr>
          <w:rStyle w:val="46"/>
          <w:rFonts w:hint="eastAsia"/>
          <w:color w:val="000000" w:themeColor="text1"/>
        </w:rPr>
        <w:t>项目平面布置</w:t>
      </w:r>
      <w:r>
        <w:rPr>
          <w:color w:val="000000" w:themeColor="text1"/>
        </w:rPr>
        <w:tab/>
      </w:r>
      <w:r>
        <w:rPr>
          <w:color w:val="000000" w:themeColor="text1"/>
        </w:rPr>
        <w:fldChar w:fldCharType="begin"/>
      </w:r>
      <w:r>
        <w:rPr>
          <w:color w:val="000000" w:themeColor="text1"/>
        </w:rPr>
        <w:instrText xml:space="preserve"> PAGEREF _Toc47375797 \h </w:instrText>
      </w:r>
      <w:r>
        <w:rPr>
          <w:color w:val="000000" w:themeColor="text1"/>
        </w:rPr>
        <w:fldChar w:fldCharType="separate"/>
      </w:r>
      <w:r>
        <w:rPr>
          <w:color w:val="000000" w:themeColor="text1"/>
        </w:rPr>
        <w:t>29</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"_Toc47375798" </w:instrText>
      </w:r>
      <w:r>
        <w:fldChar w:fldCharType="separate"/>
      </w:r>
      <w:r>
        <w:rPr>
          <w:rStyle w:val="46"/>
          <w:color w:val="000000" w:themeColor="text1"/>
        </w:rPr>
        <w:t>2.2.4</w:t>
      </w:r>
      <w:r>
        <w:rPr>
          <w:rStyle w:val="46"/>
          <w:rFonts w:hint="eastAsia"/>
          <w:color w:val="000000" w:themeColor="text1"/>
        </w:rPr>
        <w:t>劳动定员及工作制度</w:t>
      </w:r>
      <w:r>
        <w:rPr>
          <w:color w:val="000000" w:themeColor="text1"/>
        </w:rPr>
        <w:tab/>
      </w:r>
      <w:r>
        <w:rPr>
          <w:color w:val="000000" w:themeColor="text1"/>
        </w:rPr>
        <w:fldChar w:fldCharType="begin"/>
      </w:r>
      <w:r>
        <w:rPr>
          <w:color w:val="000000" w:themeColor="text1"/>
        </w:rPr>
        <w:instrText xml:space="preserve"> PAGEREF _Toc47375798 \h </w:instrText>
      </w:r>
      <w:r>
        <w:rPr>
          <w:color w:val="000000" w:themeColor="text1"/>
        </w:rPr>
        <w:fldChar w:fldCharType="separate"/>
      </w:r>
      <w:r>
        <w:rPr>
          <w:color w:val="000000" w:themeColor="text1"/>
        </w:rPr>
        <w:t>29</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"_Toc47375799" </w:instrText>
      </w:r>
      <w:r>
        <w:fldChar w:fldCharType="separate"/>
      </w:r>
      <w:r>
        <w:rPr>
          <w:rStyle w:val="46"/>
          <w:color w:val="000000" w:themeColor="text1"/>
        </w:rPr>
        <w:t>2.3</w:t>
      </w:r>
      <w:r>
        <w:rPr>
          <w:rStyle w:val="46"/>
          <w:rFonts w:hint="eastAsia"/>
          <w:color w:val="000000" w:themeColor="text1"/>
        </w:rPr>
        <w:t>产品方案</w:t>
      </w:r>
      <w:r>
        <w:rPr>
          <w:color w:val="000000" w:themeColor="text1"/>
        </w:rPr>
        <w:tab/>
      </w:r>
      <w:r>
        <w:rPr>
          <w:color w:val="000000" w:themeColor="text1"/>
        </w:rPr>
        <w:fldChar w:fldCharType="begin"/>
      </w:r>
      <w:r>
        <w:rPr>
          <w:color w:val="000000" w:themeColor="text1"/>
        </w:rPr>
        <w:instrText xml:space="preserve"> PAGEREF _Toc47375799 \h </w:instrText>
      </w:r>
      <w:r>
        <w:rPr>
          <w:color w:val="000000" w:themeColor="text1"/>
        </w:rPr>
        <w:fldChar w:fldCharType="separate"/>
      </w:r>
      <w:r>
        <w:rPr>
          <w:color w:val="000000" w:themeColor="text1"/>
        </w:rPr>
        <w:t>29</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"_Toc47375800" </w:instrText>
      </w:r>
      <w:r>
        <w:fldChar w:fldCharType="separate"/>
      </w:r>
      <w:r>
        <w:rPr>
          <w:rStyle w:val="46"/>
          <w:color w:val="000000" w:themeColor="text1"/>
        </w:rPr>
        <w:t>2.4</w:t>
      </w:r>
      <w:r>
        <w:rPr>
          <w:rStyle w:val="46"/>
          <w:rFonts w:hint="eastAsia"/>
          <w:color w:val="000000" w:themeColor="text1"/>
        </w:rPr>
        <w:t>主要原辅料、能耗及主要生产设备</w:t>
      </w:r>
      <w:r>
        <w:rPr>
          <w:color w:val="000000" w:themeColor="text1"/>
        </w:rPr>
        <w:tab/>
      </w:r>
      <w:r>
        <w:rPr>
          <w:color w:val="000000" w:themeColor="text1"/>
        </w:rPr>
        <w:fldChar w:fldCharType="begin"/>
      </w:r>
      <w:r>
        <w:rPr>
          <w:color w:val="000000" w:themeColor="text1"/>
        </w:rPr>
        <w:instrText xml:space="preserve"> PAGEREF _Toc47375800 \h </w:instrText>
      </w:r>
      <w:r>
        <w:rPr>
          <w:color w:val="000000" w:themeColor="text1"/>
        </w:rPr>
        <w:fldChar w:fldCharType="separate"/>
      </w:r>
      <w:r>
        <w:rPr>
          <w:color w:val="000000" w:themeColor="text1"/>
        </w:rPr>
        <w:t>30</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"_Toc47375801" </w:instrText>
      </w:r>
      <w:r>
        <w:fldChar w:fldCharType="separate"/>
      </w:r>
      <w:r>
        <w:rPr>
          <w:rStyle w:val="46"/>
          <w:color w:val="000000" w:themeColor="text1"/>
        </w:rPr>
        <w:t>2.5</w:t>
      </w:r>
      <w:r>
        <w:rPr>
          <w:rStyle w:val="46"/>
          <w:rFonts w:hint="eastAsia"/>
          <w:color w:val="000000" w:themeColor="text1"/>
        </w:rPr>
        <w:t>公用工程</w:t>
      </w:r>
      <w:r>
        <w:rPr>
          <w:color w:val="000000" w:themeColor="text1"/>
        </w:rPr>
        <w:tab/>
      </w:r>
      <w:r>
        <w:rPr>
          <w:color w:val="000000" w:themeColor="text1"/>
        </w:rPr>
        <w:fldChar w:fldCharType="begin"/>
      </w:r>
      <w:r>
        <w:rPr>
          <w:color w:val="000000" w:themeColor="text1"/>
        </w:rPr>
        <w:instrText xml:space="preserve"> PAGEREF _Toc47375801 \h </w:instrText>
      </w:r>
      <w:r>
        <w:rPr>
          <w:color w:val="000000" w:themeColor="text1"/>
        </w:rPr>
        <w:fldChar w:fldCharType="separate"/>
      </w:r>
      <w:r>
        <w:rPr>
          <w:color w:val="000000" w:themeColor="text1"/>
        </w:rPr>
        <w:t>31</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"_Toc47375802" </w:instrText>
      </w:r>
      <w:r>
        <w:fldChar w:fldCharType="separate"/>
      </w:r>
      <w:r>
        <w:rPr>
          <w:rStyle w:val="46"/>
          <w:color w:val="000000" w:themeColor="text1"/>
        </w:rPr>
        <w:t>2.5.1</w:t>
      </w:r>
      <w:r>
        <w:rPr>
          <w:rStyle w:val="46"/>
          <w:rFonts w:hint="eastAsia"/>
          <w:color w:val="000000" w:themeColor="text1"/>
        </w:rPr>
        <w:t>给、排水</w:t>
      </w:r>
      <w:r>
        <w:rPr>
          <w:color w:val="000000" w:themeColor="text1"/>
        </w:rPr>
        <w:tab/>
      </w:r>
      <w:r>
        <w:rPr>
          <w:color w:val="000000" w:themeColor="text1"/>
        </w:rPr>
        <w:fldChar w:fldCharType="begin"/>
      </w:r>
      <w:r>
        <w:rPr>
          <w:color w:val="000000" w:themeColor="text1"/>
        </w:rPr>
        <w:instrText xml:space="preserve"> PAGEREF _Toc47375802 \h </w:instrText>
      </w:r>
      <w:r>
        <w:rPr>
          <w:color w:val="000000" w:themeColor="text1"/>
        </w:rPr>
        <w:fldChar w:fldCharType="separate"/>
      </w:r>
      <w:r>
        <w:rPr>
          <w:color w:val="000000" w:themeColor="text1"/>
        </w:rPr>
        <w:t>31</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"_Toc47375803" </w:instrText>
      </w:r>
      <w:r>
        <w:fldChar w:fldCharType="separate"/>
      </w:r>
      <w:r>
        <w:rPr>
          <w:rStyle w:val="46"/>
          <w:color w:val="000000" w:themeColor="text1"/>
        </w:rPr>
        <w:t>2.5.2</w:t>
      </w:r>
      <w:r>
        <w:rPr>
          <w:rStyle w:val="46"/>
          <w:rFonts w:hint="eastAsia"/>
          <w:color w:val="000000" w:themeColor="text1"/>
        </w:rPr>
        <w:t>供电</w:t>
      </w:r>
      <w:r>
        <w:rPr>
          <w:color w:val="000000" w:themeColor="text1"/>
        </w:rPr>
        <w:tab/>
      </w:r>
      <w:r>
        <w:rPr>
          <w:color w:val="000000" w:themeColor="text1"/>
        </w:rPr>
        <w:fldChar w:fldCharType="begin"/>
      </w:r>
      <w:r>
        <w:rPr>
          <w:color w:val="000000" w:themeColor="text1"/>
        </w:rPr>
        <w:instrText xml:space="preserve"> PAGEREF _Toc47375803 \h </w:instrText>
      </w:r>
      <w:r>
        <w:rPr>
          <w:color w:val="000000" w:themeColor="text1"/>
        </w:rPr>
        <w:fldChar w:fldCharType="separate"/>
      </w:r>
      <w:r>
        <w:rPr>
          <w:color w:val="000000" w:themeColor="text1"/>
        </w:rPr>
        <w:t>32</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"_Toc47375804" </w:instrText>
      </w:r>
      <w:r>
        <w:fldChar w:fldCharType="separate"/>
      </w:r>
      <w:r>
        <w:rPr>
          <w:rStyle w:val="46"/>
          <w:color w:val="000000" w:themeColor="text1"/>
        </w:rPr>
        <w:t>2.5.3</w:t>
      </w:r>
      <w:r>
        <w:rPr>
          <w:rStyle w:val="46"/>
          <w:rFonts w:hint="eastAsia"/>
          <w:color w:val="000000" w:themeColor="text1"/>
        </w:rPr>
        <w:t>供热</w:t>
      </w:r>
      <w:r>
        <w:rPr>
          <w:color w:val="000000" w:themeColor="text1"/>
        </w:rPr>
        <w:tab/>
      </w:r>
      <w:r>
        <w:rPr>
          <w:color w:val="000000" w:themeColor="text1"/>
        </w:rPr>
        <w:fldChar w:fldCharType="begin"/>
      </w:r>
      <w:r>
        <w:rPr>
          <w:color w:val="000000" w:themeColor="text1"/>
        </w:rPr>
        <w:instrText xml:space="preserve"> PAGEREF _Toc47375804 \h </w:instrText>
      </w:r>
      <w:r>
        <w:rPr>
          <w:color w:val="000000" w:themeColor="text1"/>
        </w:rPr>
        <w:fldChar w:fldCharType="separate"/>
      </w:r>
      <w:r>
        <w:rPr>
          <w:color w:val="000000" w:themeColor="text1"/>
        </w:rPr>
        <w:t>32</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"_Toc47375805" </w:instrText>
      </w:r>
      <w:r>
        <w:fldChar w:fldCharType="separate"/>
      </w:r>
      <w:r>
        <w:rPr>
          <w:rStyle w:val="46"/>
          <w:color w:val="000000" w:themeColor="text1"/>
        </w:rPr>
        <w:t>2.5.4</w:t>
      </w:r>
      <w:r>
        <w:rPr>
          <w:rStyle w:val="46"/>
          <w:rFonts w:hint="eastAsia"/>
          <w:color w:val="000000" w:themeColor="text1"/>
        </w:rPr>
        <w:t>制冷</w:t>
      </w:r>
      <w:r>
        <w:rPr>
          <w:color w:val="000000" w:themeColor="text1"/>
        </w:rPr>
        <w:tab/>
      </w:r>
      <w:r>
        <w:rPr>
          <w:color w:val="000000" w:themeColor="text1"/>
        </w:rPr>
        <w:fldChar w:fldCharType="begin"/>
      </w:r>
      <w:r>
        <w:rPr>
          <w:color w:val="000000" w:themeColor="text1"/>
        </w:rPr>
        <w:instrText xml:space="preserve"> PAGEREF _Toc47375805 \h </w:instrText>
      </w:r>
      <w:r>
        <w:rPr>
          <w:color w:val="000000" w:themeColor="text1"/>
        </w:rPr>
        <w:fldChar w:fldCharType="separate"/>
      </w:r>
      <w:r>
        <w:rPr>
          <w:color w:val="000000" w:themeColor="text1"/>
        </w:rPr>
        <w:t>33</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"_Toc47375806" </w:instrText>
      </w:r>
      <w:r>
        <w:fldChar w:fldCharType="separate"/>
      </w:r>
      <w:r>
        <w:rPr>
          <w:rStyle w:val="46"/>
          <w:color w:val="000000" w:themeColor="text1"/>
        </w:rPr>
        <w:t>2.5.5</w:t>
      </w:r>
      <w:r>
        <w:rPr>
          <w:rStyle w:val="46"/>
          <w:rFonts w:hint="eastAsia"/>
          <w:color w:val="000000" w:themeColor="text1"/>
        </w:rPr>
        <w:t>厂区消毒</w:t>
      </w:r>
      <w:r>
        <w:rPr>
          <w:color w:val="000000" w:themeColor="text1"/>
        </w:rPr>
        <w:tab/>
      </w:r>
      <w:r>
        <w:rPr>
          <w:color w:val="000000" w:themeColor="text1"/>
        </w:rPr>
        <w:fldChar w:fldCharType="begin"/>
      </w:r>
      <w:r>
        <w:rPr>
          <w:color w:val="000000" w:themeColor="text1"/>
        </w:rPr>
        <w:instrText xml:space="preserve"> PAGEREF _Toc47375806 \h </w:instrText>
      </w:r>
      <w:r>
        <w:rPr>
          <w:color w:val="000000" w:themeColor="text1"/>
        </w:rPr>
        <w:fldChar w:fldCharType="separate"/>
      </w:r>
      <w:r>
        <w:rPr>
          <w:color w:val="000000" w:themeColor="text1"/>
        </w:rPr>
        <w:t>34</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"_Toc47375807" </w:instrText>
      </w:r>
      <w:r>
        <w:fldChar w:fldCharType="separate"/>
      </w:r>
      <w:r>
        <w:rPr>
          <w:rStyle w:val="46"/>
          <w:color w:val="000000" w:themeColor="text1"/>
        </w:rPr>
        <w:t>2.6</w:t>
      </w:r>
      <w:r>
        <w:rPr>
          <w:rStyle w:val="46"/>
          <w:rFonts w:hint="eastAsia"/>
          <w:color w:val="000000" w:themeColor="text1"/>
        </w:rPr>
        <w:t>项目运营期生产工艺及产污环节分析</w:t>
      </w:r>
      <w:r>
        <w:rPr>
          <w:color w:val="000000" w:themeColor="text1"/>
        </w:rPr>
        <w:tab/>
      </w:r>
      <w:r>
        <w:rPr>
          <w:color w:val="000000" w:themeColor="text1"/>
        </w:rPr>
        <w:fldChar w:fldCharType="begin"/>
      </w:r>
      <w:r>
        <w:rPr>
          <w:color w:val="000000" w:themeColor="text1"/>
        </w:rPr>
        <w:instrText xml:space="preserve"> PAGEREF _Toc47375807 \h </w:instrText>
      </w:r>
      <w:r>
        <w:rPr>
          <w:color w:val="000000" w:themeColor="text1"/>
        </w:rPr>
        <w:fldChar w:fldCharType="separate"/>
      </w:r>
      <w:r>
        <w:rPr>
          <w:color w:val="000000" w:themeColor="text1"/>
        </w:rPr>
        <w:t>34</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"_Toc47375808" </w:instrText>
      </w:r>
      <w:r>
        <w:fldChar w:fldCharType="separate"/>
      </w:r>
      <w:r>
        <w:rPr>
          <w:rStyle w:val="46"/>
          <w:color w:val="000000" w:themeColor="text1"/>
        </w:rPr>
        <w:t>2.6.1</w:t>
      </w:r>
      <w:r>
        <w:rPr>
          <w:rStyle w:val="46"/>
          <w:rFonts w:hint="eastAsia"/>
          <w:color w:val="000000" w:themeColor="text1"/>
        </w:rPr>
        <w:t>屠宰生产工艺流程分析</w:t>
      </w:r>
      <w:r>
        <w:rPr>
          <w:color w:val="000000" w:themeColor="text1"/>
        </w:rPr>
        <w:tab/>
      </w:r>
      <w:r>
        <w:rPr>
          <w:color w:val="000000" w:themeColor="text1"/>
        </w:rPr>
        <w:fldChar w:fldCharType="begin"/>
      </w:r>
      <w:r>
        <w:rPr>
          <w:color w:val="000000" w:themeColor="text1"/>
        </w:rPr>
        <w:instrText xml:space="preserve"> PAGEREF _Toc47375808 \h </w:instrText>
      </w:r>
      <w:r>
        <w:rPr>
          <w:color w:val="000000" w:themeColor="text1"/>
        </w:rPr>
        <w:fldChar w:fldCharType="separate"/>
      </w:r>
      <w:r>
        <w:rPr>
          <w:color w:val="000000" w:themeColor="text1"/>
        </w:rPr>
        <w:t>34</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"_Toc47375809" </w:instrText>
      </w:r>
      <w:r>
        <w:fldChar w:fldCharType="separate"/>
      </w:r>
      <w:r>
        <w:rPr>
          <w:rStyle w:val="46"/>
          <w:color w:val="000000" w:themeColor="text1"/>
        </w:rPr>
        <w:t>2.6.2</w:t>
      </w:r>
      <w:r>
        <w:rPr>
          <w:rStyle w:val="46"/>
          <w:rFonts w:hint="eastAsia"/>
          <w:color w:val="000000" w:themeColor="text1"/>
        </w:rPr>
        <w:t>生产工艺产污环节分析</w:t>
      </w:r>
      <w:r>
        <w:rPr>
          <w:color w:val="000000" w:themeColor="text1"/>
        </w:rPr>
        <w:tab/>
      </w:r>
      <w:r>
        <w:rPr>
          <w:color w:val="000000" w:themeColor="text1"/>
        </w:rPr>
        <w:fldChar w:fldCharType="begin"/>
      </w:r>
      <w:r>
        <w:rPr>
          <w:color w:val="000000" w:themeColor="text1"/>
        </w:rPr>
        <w:instrText xml:space="preserve"> PAGEREF _Toc47375809 \h </w:instrText>
      </w:r>
      <w:r>
        <w:rPr>
          <w:color w:val="000000" w:themeColor="text1"/>
        </w:rPr>
        <w:fldChar w:fldCharType="separate"/>
      </w:r>
      <w:r>
        <w:rPr>
          <w:color w:val="000000" w:themeColor="text1"/>
        </w:rPr>
        <w:t>43</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"_Toc47375810" </w:instrText>
      </w:r>
      <w:r>
        <w:fldChar w:fldCharType="separate"/>
      </w:r>
      <w:r>
        <w:rPr>
          <w:rStyle w:val="46"/>
          <w:color w:val="000000" w:themeColor="text1"/>
        </w:rPr>
        <w:t>2.6.3</w:t>
      </w:r>
      <w:r>
        <w:rPr>
          <w:rStyle w:val="46"/>
          <w:rFonts w:hint="eastAsia"/>
          <w:color w:val="000000" w:themeColor="text1"/>
        </w:rPr>
        <w:t>物料平衡</w:t>
      </w:r>
      <w:r>
        <w:rPr>
          <w:color w:val="000000" w:themeColor="text1"/>
        </w:rPr>
        <w:tab/>
      </w:r>
      <w:r>
        <w:rPr>
          <w:color w:val="000000" w:themeColor="text1"/>
        </w:rPr>
        <w:fldChar w:fldCharType="begin"/>
      </w:r>
      <w:r>
        <w:rPr>
          <w:color w:val="000000" w:themeColor="text1"/>
        </w:rPr>
        <w:instrText xml:space="preserve"> PAGEREF _Toc47375810 \h </w:instrText>
      </w:r>
      <w:r>
        <w:rPr>
          <w:color w:val="000000" w:themeColor="text1"/>
        </w:rPr>
        <w:fldChar w:fldCharType="separate"/>
      </w:r>
      <w:r>
        <w:rPr>
          <w:color w:val="000000" w:themeColor="text1"/>
        </w:rPr>
        <w:t>45</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"_Toc47375811" </w:instrText>
      </w:r>
      <w:r>
        <w:fldChar w:fldCharType="separate"/>
      </w:r>
      <w:r>
        <w:rPr>
          <w:rStyle w:val="46"/>
          <w:color w:val="000000" w:themeColor="text1"/>
        </w:rPr>
        <w:t>2.7</w:t>
      </w:r>
      <w:r>
        <w:rPr>
          <w:rStyle w:val="46"/>
          <w:rFonts w:hint="eastAsia"/>
          <w:color w:val="000000" w:themeColor="text1"/>
        </w:rPr>
        <w:t>项目运营期污染源强及治理措施分析</w:t>
      </w:r>
      <w:r>
        <w:rPr>
          <w:color w:val="000000" w:themeColor="text1"/>
        </w:rPr>
        <w:tab/>
      </w:r>
      <w:r>
        <w:rPr>
          <w:color w:val="000000" w:themeColor="text1"/>
        </w:rPr>
        <w:fldChar w:fldCharType="begin"/>
      </w:r>
      <w:r>
        <w:rPr>
          <w:color w:val="000000" w:themeColor="text1"/>
        </w:rPr>
        <w:instrText xml:space="preserve"> PAGEREF _Toc47375811 \h </w:instrText>
      </w:r>
      <w:r>
        <w:rPr>
          <w:color w:val="000000" w:themeColor="text1"/>
        </w:rPr>
        <w:fldChar w:fldCharType="separate"/>
      </w:r>
      <w:r>
        <w:rPr>
          <w:color w:val="000000" w:themeColor="text1"/>
        </w:rPr>
        <w:t>45</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"_Toc47375812" </w:instrText>
      </w:r>
      <w:r>
        <w:fldChar w:fldCharType="separate"/>
      </w:r>
      <w:r>
        <w:rPr>
          <w:rStyle w:val="46"/>
          <w:color w:val="000000" w:themeColor="text1"/>
        </w:rPr>
        <w:t>2.7.1</w:t>
      </w:r>
      <w:r>
        <w:rPr>
          <w:rStyle w:val="46"/>
          <w:rFonts w:hint="eastAsia"/>
          <w:color w:val="000000" w:themeColor="text1"/>
        </w:rPr>
        <w:t>废水</w:t>
      </w:r>
      <w:r>
        <w:rPr>
          <w:color w:val="000000" w:themeColor="text1"/>
        </w:rPr>
        <w:tab/>
      </w:r>
      <w:r>
        <w:rPr>
          <w:color w:val="000000" w:themeColor="text1"/>
        </w:rPr>
        <w:fldChar w:fldCharType="begin"/>
      </w:r>
      <w:r>
        <w:rPr>
          <w:color w:val="000000" w:themeColor="text1"/>
        </w:rPr>
        <w:instrText xml:space="preserve"> PAGEREF _Toc47375812 \h </w:instrText>
      </w:r>
      <w:r>
        <w:rPr>
          <w:color w:val="000000" w:themeColor="text1"/>
        </w:rPr>
        <w:fldChar w:fldCharType="separate"/>
      </w:r>
      <w:r>
        <w:rPr>
          <w:color w:val="000000" w:themeColor="text1"/>
        </w:rPr>
        <w:t>45</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"_Toc47375813" </w:instrText>
      </w:r>
      <w:r>
        <w:fldChar w:fldCharType="separate"/>
      </w:r>
      <w:r>
        <w:rPr>
          <w:rStyle w:val="46"/>
          <w:color w:val="000000" w:themeColor="text1"/>
        </w:rPr>
        <w:t>2.7.2</w:t>
      </w:r>
      <w:r>
        <w:rPr>
          <w:rStyle w:val="46"/>
          <w:rFonts w:hint="eastAsia"/>
          <w:color w:val="000000" w:themeColor="text1"/>
        </w:rPr>
        <w:t>废气</w:t>
      </w:r>
      <w:r>
        <w:rPr>
          <w:color w:val="000000" w:themeColor="text1"/>
        </w:rPr>
        <w:tab/>
      </w:r>
      <w:r>
        <w:rPr>
          <w:color w:val="000000" w:themeColor="text1"/>
        </w:rPr>
        <w:fldChar w:fldCharType="begin"/>
      </w:r>
      <w:r>
        <w:rPr>
          <w:color w:val="000000" w:themeColor="text1"/>
        </w:rPr>
        <w:instrText xml:space="preserve"> PAGEREF _Toc47375813 \h </w:instrText>
      </w:r>
      <w:r>
        <w:rPr>
          <w:color w:val="000000" w:themeColor="text1"/>
        </w:rPr>
        <w:fldChar w:fldCharType="separate"/>
      </w:r>
      <w:r>
        <w:rPr>
          <w:color w:val="000000" w:themeColor="text1"/>
        </w:rPr>
        <w:t>51</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"_Toc47375814" </w:instrText>
      </w:r>
      <w:r>
        <w:fldChar w:fldCharType="separate"/>
      </w:r>
      <w:r>
        <w:rPr>
          <w:rStyle w:val="46"/>
          <w:color w:val="000000" w:themeColor="text1"/>
        </w:rPr>
        <w:t>2.7.3</w:t>
      </w:r>
      <w:r>
        <w:rPr>
          <w:rStyle w:val="46"/>
          <w:rFonts w:hint="eastAsia"/>
          <w:color w:val="000000" w:themeColor="text1"/>
        </w:rPr>
        <w:t>噪声</w:t>
      </w:r>
      <w:r>
        <w:rPr>
          <w:color w:val="000000" w:themeColor="text1"/>
        </w:rPr>
        <w:tab/>
      </w:r>
      <w:r>
        <w:rPr>
          <w:color w:val="000000" w:themeColor="text1"/>
        </w:rPr>
        <w:fldChar w:fldCharType="begin"/>
      </w:r>
      <w:r>
        <w:rPr>
          <w:color w:val="000000" w:themeColor="text1"/>
        </w:rPr>
        <w:instrText xml:space="preserve"> PAGEREF _Toc47375814 \h </w:instrText>
      </w:r>
      <w:r>
        <w:rPr>
          <w:color w:val="000000" w:themeColor="text1"/>
        </w:rPr>
        <w:fldChar w:fldCharType="separate"/>
      </w:r>
      <w:r>
        <w:rPr>
          <w:color w:val="000000" w:themeColor="text1"/>
        </w:rPr>
        <w:t>58</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"_Toc47375815" </w:instrText>
      </w:r>
      <w:r>
        <w:fldChar w:fldCharType="separate"/>
      </w:r>
      <w:r>
        <w:rPr>
          <w:rStyle w:val="46"/>
          <w:color w:val="000000" w:themeColor="text1"/>
        </w:rPr>
        <w:t>2.7.4</w:t>
      </w:r>
      <w:r>
        <w:rPr>
          <w:rStyle w:val="46"/>
          <w:rFonts w:hint="eastAsia"/>
          <w:color w:val="000000" w:themeColor="text1"/>
        </w:rPr>
        <w:t>固体废弃物</w:t>
      </w:r>
      <w:r>
        <w:rPr>
          <w:color w:val="000000" w:themeColor="text1"/>
        </w:rPr>
        <w:tab/>
      </w:r>
      <w:r>
        <w:rPr>
          <w:color w:val="000000" w:themeColor="text1"/>
        </w:rPr>
        <w:fldChar w:fldCharType="begin"/>
      </w:r>
      <w:r>
        <w:rPr>
          <w:color w:val="000000" w:themeColor="text1"/>
        </w:rPr>
        <w:instrText xml:space="preserve"> PAGEREF _Toc47375815 \h </w:instrText>
      </w:r>
      <w:r>
        <w:rPr>
          <w:color w:val="000000" w:themeColor="text1"/>
        </w:rPr>
        <w:fldChar w:fldCharType="separate"/>
      </w:r>
      <w:r>
        <w:rPr>
          <w:color w:val="000000" w:themeColor="text1"/>
        </w:rPr>
        <w:t>59</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"_Toc47375816" </w:instrText>
      </w:r>
      <w:r>
        <w:fldChar w:fldCharType="separate"/>
      </w:r>
      <w:r>
        <w:rPr>
          <w:rStyle w:val="46"/>
          <w:color w:val="000000" w:themeColor="text1"/>
        </w:rPr>
        <w:t>2.7.5</w:t>
      </w:r>
      <w:r>
        <w:rPr>
          <w:rStyle w:val="46"/>
          <w:rFonts w:hint="eastAsia"/>
          <w:color w:val="000000" w:themeColor="text1"/>
        </w:rPr>
        <w:t>运营期污染物产排量汇总</w:t>
      </w:r>
      <w:r>
        <w:rPr>
          <w:color w:val="000000" w:themeColor="text1"/>
        </w:rPr>
        <w:tab/>
      </w:r>
      <w:r>
        <w:rPr>
          <w:color w:val="000000" w:themeColor="text1"/>
        </w:rPr>
        <w:fldChar w:fldCharType="begin"/>
      </w:r>
      <w:r>
        <w:rPr>
          <w:color w:val="000000" w:themeColor="text1"/>
        </w:rPr>
        <w:instrText xml:space="preserve"> PAGEREF _Toc47375816 \h </w:instrText>
      </w:r>
      <w:r>
        <w:rPr>
          <w:color w:val="000000" w:themeColor="text1"/>
        </w:rPr>
        <w:fldChar w:fldCharType="separate"/>
      </w:r>
      <w:r>
        <w:rPr>
          <w:color w:val="000000" w:themeColor="text1"/>
        </w:rPr>
        <w:t>61</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"_Toc47375817" </w:instrText>
      </w:r>
      <w:r>
        <w:fldChar w:fldCharType="separate"/>
      </w:r>
      <w:r>
        <w:rPr>
          <w:rStyle w:val="46"/>
          <w:color w:val="000000" w:themeColor="text1"/>
        </w:rPr>
        <w:t>2.8</w:t>
      </w:r>
      <w:r>
        <w:rPr>
          <w:rStyle w:val="46"/>
          <w:rFonts w:hint="eastAsia"/>
          <w:color w:val="000000" w:themeColor="text1"/>
        </w:rPr>
        <w:t>项目施工期工艺流程及产污环节分析</w:t>
      </w:r>
      <w:r>
        <w:rPr>
          <w:color w:val="000000" w:themeColor="text1"/>
        </w:rPr>
        <w:tab/>
      </w:r>
      <w:r>
        <w:rPr>
          <w:color w:val="000000" w:themeColor="text1"/>
        </w:rPr>
        <w:fldChar w:fldCharType="begin"/>
      </w:r>
      <w:r>
        <w:rPr>
          <w:color w:val="000000" w:themeColor="text1"/>
        </w:rPr>
        <w:instrText xml:space="preserve"> PAGEREF _Toc47375817 \h </w:instrText>
      </w:r>
      <w:r>
        <w:rPr>
          <w:color w:val="000000" w:themeColor="text1"/>
        </w:rPr>
        <w:fldChar w:fldCharType="separate"/>
      </w:r>
      <w:r>
        <w:rPr>
          <w:color w:val="000000" w:themeColor="text1"/>
        </w:rPr>
        <w:t>63</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"_Toc47375818" </w:instrText>
      </w:r>
      <w:r>
        <w:fldChar w:fldCharType="separate"/>
      </w:r>
      <w:r>
        <w:rPr>
          <w:rStyle w:val="46"/>
          <w:color w:val="000000" w:themeColor="text1"/>
        </w:rPr>
        <w:t>2.8.1</w:t>
      </w:r>
      <w:r>
        <w:rPr>
          <w:rStyle w:val="46"/>
          <w:rFonts w:hint="eastAsia"/>
          <w:color w:val="000000" w:themeColor="text1"/>
        </w:rPr>
        <w:t>施工期工艺流程</w:t>
      </w:r>
      <w:r>
        <w:rPr>
          <w:color w:val="000000" w:themeColor="text1"/>
        </w:rPr>
        <w:tab/>
      </w:r>
      <w:r>
        <w:rPr>
          <w:color w:val="000000" w:themeColor="text1"/>
        </w:rPr>
        <w:fldChar w:fldCharType="begin"/>
      </w:r>
      <w:r>
        <w:rPr>
          <w:color w:val="000000" w:themeColor="text1"/>
        </w:rPr>
        <w:instrText xml:space="preserve"> PAGEREF _Toc47375818 \h </w:instrText>
      </w:r>
      <w:r>
        <w:rPr>
          <w:color w:val="000000" w:themeColor="text1"/>
        </w:rPr>
        <w:fldChar w:fldCharType="separate"/>
      </w:r>
      <w:r>
        <w:rPr>
          <w:color w:val="000000" w:themeColor="text1"/>
        </w:rPr>
        <w:t>63</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"_Toc47375819" </w:instrText>
      </w:r>
      <w:r>
        <w:fldChar w:fldCharType="separate"/>
      </w:r>
      <w:r>
        <w:rPr>
          <w:rStyle w:val="46"/>
          <w:color w:val="000000" w:themeColor="text1"/>
        </w:rPr>
        <w:t>2.8.2</w:t>
      </w:r>
      <w:r>
        <w:rPr>
          <w:rStyle w:val="46"/>
          <w:rFonts w:hint="eastAsia"/>
          <w:color w:val="000000" w:themeColor="text1"/>
        </w:rPr>
        <w:t>施工期产污节点及污染因子排放汇总</w:t>
      </w:r>
      <w:r>
        <w:rPr>
          <w:color w:val="000000" w:themeColor="text1"/>
        </w:rPr>
        <w:tab/>
      </w:r>
      <w:r>
        <w:rPr>
          <w:color w:val="000000" w:themeColor="text1"/>
        </w:rPr>
        <w:fldChar w:fldCharType="begin"/>
      </w:r>
      <w:r>
        <w:rPr>
          <w:color w:val="000000" w:themeColor="text1"/>
        </w:rPr>
        <w:instrText xml:space="preserve"> PAGEREF _Toc47375819 \h </w:instrText>
      </w:r>
      <w:r>
        <w:rPr>
          <w:color w:val="000000" w:themeColor="text1"/>
        </w:rPr>
        <w:fldChar w:fldCharType="separate"/>
      </w:r>
      <w:r>
        <w:rPr>
          <w:color w:val="000000" w:themeColor="text1"/>
        </w:rPr>
        <w:t>63</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"_Toc47375820" </w:instrText>
      </w:r>
      <w:r>
        <w:fldChar w:fldCharType="separate"/>
      </w:r>
      <w:r>
        <w:rPr>
          <w:rStyle w:val="46"/>
          <w:color w:val="000000" w:themeColor="text1"/>
        </w:rPr>
        <w:t>2.9</w:t>
      </w:r>
      <w:r>
        <w:rPr>
          <w:rStyle w:val="46"/>
          <w:rFonts w:hint="eastAsia"/>
          <w:color w:val="000000" w:themeColor="text1"/>
        </w:rPr>
        <w:t>施工期污染物产生及排放情况</w:t>
      </w:r>
      <w:r>
        <w:rPr>
          <w:color w:val="000000" w:themeColor="text1"/>
        </w:rPr>
        <w:tab/>
      </w:r>
      <w:r>
        <w:rPr>
          <w:color w:val="000000" w:themeColor="text1"/>
        </w:rPr>
        <w:fldChar w:fldCharType="begin"/>
      </w:r>
      <w:r>
        <w:rPr>
          <w:color w:val="000000" w:themeColor="text1"/>
        </w:rPr>
        <w:instrText xml:space="preserve"> PAGEREF _Toc47375820 \h </w:instrText>
      </w:r>
      <w:r>
        <w:rPr>
          <w:color w:val="000000" w:themeColor="text1"/>
        </w:rPr>
        <w:fldChar w:fldCharType="separate"/>
      </w:r>
      <w:r>
        <w:rPr>
          <w:color w:val="000000" w:themeColor="text1"/>
        </w:rPr>
        <w:t>64</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"_Toc47375821" </w:instrText>
      </w:r>
      <w:r>
        <w:fldChar w:fldCharType="separate"/>
      </w:r>
      <w:r>
        <w:rPr>
          <w:rStyle w:val="46"/>
          <w:color w:val="000000" w:themeColor="text1"/>
        </w:rPr>
        <w:t>2.9.1</w:t>
      </w:r>
      <w:r>
        <w:rPr>
          <w:rStyle w:val="46"/>
          <w:rFonts w:hint="eastAsia"/>
          <w:color w:val="000000" w:themeColor="text1"/>
        </w:rPr>
        <w:t>废气</w:t>
      </w:r>
      <w:r>
        <w:rPr>
          <w:color w:val="000000" w:themeColor="text1"/>
        </w:rPr>
        <w:tab/>
      </w:r>
      <w:r>
        <w:rPr>
          <w:color w:val="000000" w:themeColor="text1"/>
        </w:rPr>
        <w:fldChar w:fldCharType="begin"/>
      </w:r>
      <w:r>
        <w:rPr>
          <w:color w:val="000000" w:themeColor="text1"/>
        </w:rPr>
        <w:instrText xml:space="preserve"> PAGEREF _Toc47375821 \h </w:instrText>
      </w:r>
      <w:r>
        <w:rPr>
          <w:color w:val="000000" w:themeColor="text1"/>
        </w:rPr>
        <w:fldChar w:fldCharType="separate"/>
      </w:r>
      <w:r>
        <w:rPr>
          <w:color w:val="000000" w:themeColor="text1"/>
        </w:rPr>
        <w:t>64</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"_Toc47375822" </w:instrText>
      </w:r>
      <w:r>
        <w:fldChar w:fldCharType="separate"/>
      </w:r>
      <w:r>
        <w:rPr>
          <w:rStyle w:val="46"/>
          <w:color w:val="000000" w:themeColor="text1"/>
        </w:rPr>
        <w:t>2.9.2</w:t>
      </w:r>
      <w:r>
        <w:rPr>
          <w:rStyle w:val="46"/>
          <w:rFonts w:hint="eastAsia"/>
          <w:color w:val="000000" w:themeColor="text1"/>
        </w:rPr>
        <w:t>废水</w:t>
      </w:r>
      <w:r>
        <w:rPr>
          <w:color w:val="000000" w:themeColor="text1"/>
        </w:rPr>
        <w:tab/>
      </w:r>
      <w:r>
        <w:rPr>
          <w:color w:val="000000" w:themeColor="text1"/>
        </w:rPr>
        <w:fldChar w:fldCharType="begin"/>
      </w:r>
      <w:r>
        <w:rPr>
          <w:color w:val="000000" w:themeColor="text1"/>
        </w:rPr>
        <w:instrText xml:space="preserve"> PAGEREF _Toc47375822 \h </w:instrText>
      </w:r>
      <w:r>
        <w:rPr>
          <w:color w:val="000000" w:themeColor="text1"/>
        </w:rPr>
        <w:fldChar w:fldCharType="separate"/>
      </w:r>
      <w:r>
        <w:rPr>
          <w:color w:val="000000" w:themeColor="text1"/>
        </w:rPr>
        <w:t>66</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"_Toc47375823" </w:instrText>
      </w:r>
      <w:r>
        <w:fldChar w:fldCharType="separate"/>
      </w:r>
      <w:r>
        <w:rPr>
          <w:rStyle w:val="46"/>
          <w:color w:val="000000" w:themeColor="text1"/>
        </w:rPr>
        <w:t>2.9.3</w:t>
      </w:r>
      <w:r>
        <w:rPr>
          <w:rStyle w:val="46"/>
          <w:rFonts w:hint="eastAsia"/>
          <w:color w:val="000000" w:themeColor="text1"/>
        </w:rPr>
        <w:t>噪声</w:t>
      </w:r>
      <w:r>
        <w:rPr>
          <w:color w:val="000000" w:themeColor="text1"/>
        </w:rPr>
        <w:tab/>
      </w:r>
      <w:r>
        <w:rPr>
          <w:color w:val="000000" w:themeColor="text1"/>
        </w:rPr>
        <w:fldChar w:fldCharType="begin"/>
      </w:r>
      <w:r>
        <w:rPr>
          <w:color w:val="000000" w:themeColor="text1"/>
        </w:rPr>
        <w:instrText xml:space="preserve"> PAGEREF _Toc47375823 \h </w:instrText>
      </w:r>
      <w:r>
        <w:rPr>
          <w:color w:val="000000" w:themeColor="text1"/>
        </w:rPr>
        <w:fldChar w:fldCharType="separate"/>
      </w:r>
      <w:r>
        <w:rPr>
          <w:color w:val="000000" w:themeColor="text1"/>
        </w:rPr>
        <w:t>67</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"_Toc47375824" </w:instrText>
      </w:r>
      <w:r>
        <w:fldChar w:fldCharType="separate"/>
      </w:r>
      <w:r>
        <w:rPr>
          <w:rStyle w:val="46"/>
          <w:color w:val="000000" w:themeColor="text1"/>
        </w:rPr>
        <w:t>2.9.4</w:t>
      </w:r>
      <w:r>
        <w:rPr>
          <w:rStyle w:val="46"/>
          <w:rFonts w:hint="eastAsia"/>
          <w:color w:val="000000" w:themeColor="text1"/>
        </w:rPr>
        <w:t>固废</w:t>
      </w:r>
      <w:r>
        <w:rPr>
          <w:color w:val="000000" w:themeColor="text1"/>
        </w:rPr>
        <w:tab/>
      </w:r>
      <w:r>
        <w:rPr>
          <w:color w:val="000000" w:themeColor="text1"/>
        </w:rPr>
        <w:fldChar w:fldCharType="begin"/>
      </w:r>
      <w:r>
        <w:rPr>
          <w:color w:val="000000" w:themeColor="text1"/>
        </w:rPr>
        <w:instrText xml:space="preserve"> PAGEREF _Toc47375824 \h </w:instrText>
      </w:r>
      <w:r>
        <w:rPr>
          <w:color w:val="000000" w:themeColor="text1"/>
        </w:rPr>
        <w:fldChar w:fldCharType="separate"/>
      </w:r>
      <w:r>
        <w:rPr>
          <w:color w:val="000000" w:themeColor="text1"/>
        </w:rPr>
        <w:t>67</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"_Toc47375825" </w:instrText>
      </w:r>
      <w:r>
        <w:fldChar w:fldCharType="separate"/>
      </w:r>
      <w:r>
        <w:rPr>
          <w:rStyle w:val="46"/>
          <w:color w:val="000000" w:themeColor="text1"/>
          <w:kern w:val="0"/>
        </w:rPr>
        <w:t>2.10“</w:t>
      </w:r>
      <w:r>
        <w:rPr>
          <w:rStyle w:val="46"/>
          <w:rFonts w:hint="eastAsia"/>
          <w:color w:val="000000" w:themeColor="text1"/>
          <w:kern w:val="0"/>
        </w:rPr>
        <w:t>三本帐</w:t>
      </w:r>
      <w:r>
        <w:rPr>
          <w:rStyle w:val="46"/>
          <w:color w:val="000000" w:themeColor="text1"/>
          <w:kern w:val="0"/>
        </w:rPr>
        <w:t>”</w:t>
      </w:r>
      <w:r>
        <w:rPr>
          <w:rStyle w:val="46"/>
          <w:rFonts w:hint="eastAsia"/>
          <w:color w:val="000000" w:themeColor="text1"/>
          <w:kern w:val="0"/>
        </w:rPr>
        <w:t>核算</w:t>
      </w:r>
      <w:r>
        <w:rPr>
          <w:color w:val="000000" w:themeColor="text1"/>
        </w:rPr>
        <w:tab/>
      </w:r>
      <w:r>
        <w:rPr>
          <w:color w:val="000000" w:themeColor="text1"/>
        </w:rPr>
        <w:fldChar w:fldCharType="begin"/>
      </w:r>
      <w:r>
        <w:rPr>
          <w:color w:val="000000" w:themeColor="text1"/>
        </w:rPr>
        <w:instrText xml:space="preserve"> PAGEREF _Toc47375825 \h </w:instrText>
      </w:r>
      <w:r>
        <w:rPr>
          <w:color w:val="000000" w:themeColor="text1"/>
        </w:rPr>
        <w:fldChar w:fldCharType="separate"/>
      </w:r>
      <w:r>
        <w:rPr>
          <w:color w:val="000000" w:themeColor="text1"/>
        </w:rPr>
        <w:t>68</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"_Toc47375826" </w:instrText>
      </w:r>
      <w:r>
        <w:fldChar w:fldCharType="separate"/>
      </w:r>
      <w:r>
        <w:rPr>
          <w:rStyle w:val="46"/>
          <w:color w:val="000000" w:themeColor="text1"/>
          <w:kern w:val="0"/>
        </w:rPr>
        <w:t>2.11</w:t>
      </w:r>
      <w:r>
        <w:rPr>
          <w:rStyle w:val="46"/>
          <w:rFonts w:hint="eastAsia"/>
          <w:color w:val="000000" w:themeColor="text1"/>
          <w:kern w:val="0"/>
        </w:rPr>
        <w:t>清洁生产分析及循环经济分析</w:t>
      </w:r>
      <w:r>
        <w:rPr>
          <w:color w:val="000000" w:themeColor="text1"/>
        </w:rPr>
        <w:tab/>
      </w:r>
      <w:r>
        <w:rPr>
          <w:color w:val="000000" w:themeColor="text1"/>
        </w:rPr>
        <w:fldChar w:fldCharType="begin"/>
      </w:r>
      <w:r>
        <w:rPr>
          <w:color w:val="000000" w:themeColor="text1"/>
        </w:rPr>
        <w:instrText xml:space="preserve"> PAGEREF _Toc47375826 \h </w:instrText>
      </w:r>
      <w:r>
        <w:rPr>
          <w:color w:val="000000" w:themeColor="text1"/>
        </w:rPr>
        <w:fldChar w:fldCharType="separate"/>
      </w:r>
      <w:r>
        <w:rPr>
          <w:color w:val="000000" w:themeColor="text1"/>
        </w:rPr>
        <w:t>70</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"_Toc47375827" </w:instrText>
      </w:r>
      <w:r>
        <w:fldChar w:fldCharType="separate"/>
      </w:r>
      <w:r>
        <w:rPr>
          <w:rStyle w:val="46"/>
          <w:color w:val="000000" w:themeColor="text1"/>
        </w:rPr>
        <w:t>2.11.1</w:t>
      </w:r>
      <w:r>
        <w:rPr>
          <w:rStyle w:val="46"/>
          <w:rFonts w:hint="eastAsia"/>
          <w:color w:val="000000" w:themeColor="text1"/>
        </w:rPr>
        <w:t>清洁生产的原则</w:t>
      </w:r>
      <w:r>
        <w:rPr>
          <w:color w:val="000000" w:themeColor="text1"/>
        </w:rPr>
        <w:tab/>
      </w:r>
      <w:r>
        <w:rPr>
          <w:color w:val="000000" w:themeColor="text1"/>
        </w:rPr>
        <w:fldChar w:fldCharType="begin"/>
      </w:r>
      <w:r>
        <w:rPr>
          <w:color w:val="000000" w:themeColor="text1"/>
        </w:rPr>
        <w:instrText xml:space="preserve"> PAGEREF _Toc47375827 \h </w:instrText>
      </w:r>
      <w:r>
        <w:rPr>
          <w:color w:val="000000" w:themeColor="text1"/>
        </w:rPr>
        <w:fldChar w:fldCharType="separate"/>
      </w:r>
      <w:r>
        <w:rPr>
          <w:color w:val="000000" w:themeColor="text1"/>
        </w:rPr>
        <w:t>70</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"_Toc47375828" </w:instrText>
      </w:r>
      <w:r>
        <w:fldChar w:fldCharType="separate"/>
      </w:r>
      <w:r>
        <w:rPr>
          <w:rStyle w:val="46"/>
          <w:color w:val="000000" w:themeColor="text1"/>
        </w:rPr>
        <w:t>2.11.2</w:t>
      </w:r>
      <w:r>
        <w:rPr>
          <w:rStyle w:val="46"/>
          <w:rFonts w:hint="eastAsia"/>
          <w:color w:val="000000" w:themeColor="text1"/>
        </w:rPr>
        <w:t>清洁生产的目的</w:t>
      </w:r>
      <w:r>
        <w:rPr>
          <w:color w:val="000000" w:themeColor="text1"/>
        </w:rPr>
        <w:tab/>
      </w:r>
      <w:r>
        <w:rPr>
          <w:color w:val="000000" w:themeColor="text1"/>
        </w:rPr>
        <w:fldChar w:fldCharType="begin"/>
      </w:r>
      <w:r>
        <w:rPr>
          <w:color w:val="000000" w:themeColor="text1"/>
        </w:rPr>
        <w:instrText xml:space="preserve"> PAGEREF _Toc47375828 \h </w:instrText>
      </w:r>
      <w:r>
        <w:rPr>
          <w:color w:val="000000" w:themeColor="text1"/>
        </w:rPr>
        <w:fldChar w:fldCharType="separate"/>
      </w:r>
      <w:r>
        <w:rPr>
          <w:color w:val="000000" w:themeColor="text1"/>
        </w:rPr>
        <w:t>70</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"_Toc47375829" </w:instrText>
      </w:r>
      <w:r>
        <w:fldChar w:fldCharType="separate"/>
      </w:r>
      <w:r>
        <w:rPr>
          <w:rStyle w:val="46"/>
          <w:color w:val="000000" w:themeColor="text1"/>
        </w:rPr>
        <w:t>2.11.3</w:t>
      </w:r>
      <w:r>
        <w:rPr>
          <w:rStyle w:val="46"/>
          <w:rFonts w:hint="eastAsia"/>
          <w:color w:val="000000" w:themeColor="text1"/>
        </w:rPr>
        <w:t>本项目清洁生产分析</w:t>
      </w:r>
      <w:r>
        <w:rPr>
          <w:color w:val="000000" w:themeColor="text1"/>
        </w:rPr>
        <w:tab/>
      </w:r>
      <w:r>
        <w:rPr>
          <w:color w:val="000000" w:themeColor="text1"/>
        </w:rPr>
        <w:fldChar w:fldCharType="begin"/>
      </w:r>
      <w:r>
        <w:rPr>
          <w:color w:val="000000" w:themeColor="text1"/>
        </w:rPr>
        <w:instrText xml:space="preserve"> PAGEREF _Toc47375829 \h </w:instrText>
      </w:r>
      <w:r>
        <w:rPr>
          <w:color w:val="000000" w:themeColor="text1"/>
        </w:rPr>
        <w:fldChar w:fldCharType="separate"/>
      </w:r>
      <w:r>
        <w:rPr>
          <w:color w:val="000000" w:themeColor="text1"/>
        </w:rPr>
        <w:t>71</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"_Toc47375830" </w:instrText>
      </w:r>
      <w:r>
        <w:fldChar w:fldCharType="separate"/>
      </w:r>
      <w:r>
        <w:rPr>
          <w:rStyle w:val="46"/>
          <w:color w:val="000000" w:themeColor="text1"/>
        </w:rPr>
        <w:t>2.11.4</w:t>
      </w:r>
      <w:r>
        <w:rPr>
          <w:rStyle w:val="46"/>
          <w:rFonts w:hint="eastAsia"/>
          <w:color w:val="000000" w:themeColor="text1"/>
        </w:rPr>
        <w:t>清洁生产建议</w:t>
      </w:r>
      <w:r>
        <w:rPr>
          <w:color w:val="000000" w:themeColor="text1"/>
        </w:rPr>
        <w:tab/>
      </w:r>
      <w:r>
        <w:rPr>
          <w:color w:val="000000" w:themeColor="text1"/>
        </w:rPr>
        <w:fldChar w:fldCharType="begin"/>
      </w:r>
      <w:r>
        <w:rPr>
          <w:color w:val="000000" w:themeColor="text1"/>
        </w:rPr>
        <w:instrText xml:space="preserve"> PAGEREF _Toc47375830 \h </w:instrText>
      </w:r>
      <w:r>
        <w:rPr>
          <w:color w:val="000000" w:themeColor="text1"/>
        </w:rPr>
        <w:fldChar w:fldCharType="separate"/>
      </w:r>
      <w:r>
        <w:rPr>
          <w:color w:val="000000" w:themeColor="text1"/>
        </w:rPr>
        <w:t>73</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"_Toc47375831" </w:instrText>
      </w:r>
      <w:r>
        <w:fldChar w:fldCharType="separate"/>
      </w:r>
      <w:r>
        <w:rPr>
          <w:rStyle w:val="46"/>
          <w:color w:val="000000" w:themeColor="text1"/>
        </w:rPr>
        <w:t>2.11.5</w:t>
      </w:r>
      <w:r>
        <w:rPr>
          <w:rStyle w:val="46"/>
          <w:rFonts w:hint="eastAsia"/>
          <w:color w:val="000000" w:themeColor="text1"/>
        </w:rPr>
        <w:t>清洁生产小结</w:t>
      </w:r>
      <w:r>
        <w:rPr>
          <w:color w:val="000000" w:themeColor="text1"/>
        </w:rPr>
        <w:tab/>
      </w:r>
      <w:r>
        <w:rPr>
          <w:color w:val="000000" w:themeColor="text1"/>
        </w:rPr>
        <w:fldChar w:fldCharType="begin"/>
      </w:r>
      <w:r>
        <w:rPr>
          <w:color w:val="000000" w:themeColor="text1"/>
        </w:rPr>
        <w:instrText xml:space="preserve"> PAGEREF _Toc47375831 \h </w:instrText>
      </w:r>
      <w:r>
        <w:rPr>
          <w:color w:val="000000" w:themeColor="text1"/>
        </w:rPr>
        <w:fldChar w:fldCharType="separate"/>
      </w:r>
      <w:r>
        <w:rPr>
          <w:color w:val="000000" w:themeColor="text1"/>
        </w:rPr>
        <w:t>74</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"_Toc47375832" </w:instrText>
      </w:r>
      <w:r>
        <w:fldChar w:fldCharType="separate"/>
      </w:r>
      <w:r>
        <w:rPr>
          <w:rStyle w:val="46"/>
          <w:color w:val="000000" w:themeColor="text1"/>
        </w:rPr>
        <w:t>2.11.6</w:t>
      </w:r>
      <w:r>
        <w:rPr>
          <w:rStyle w:val="46"/>
          <w:rFonts w:hint="eastAsia"/>
          <w:color w:val="000000" w:themeColor="text1"/>
        </w:rPr>
        <w:t>循环经济分析</w:t>
      </w:r>
      <w:r>
        <w:rPr>
          <w:color w:val="000000" w:themeColor="text1"/>
        </w:rPr>
        <w:tab/>
      </w:r>
      <w:r>
        <w:rPr>
          <w:color w:val="000000" w:themeColor="text1"/>
        </w:rPr>
        <w:fldChar w:fldCharType="begin"/>
      </w:r>
      <w:r>
        <w:rPr>
          <w:color w:val="000000" w:themeColor="text1"/>
        </w:rPr>
        <w:instrText xml:space="preserve"> PAGEREF _Toc47375832 \h </w:instrText>
      </w:r>
      <w:r>
        <w:rPr>
          <w:color w:val="000000" w:themeColor="text1"/>
        </w:rPr>
        <w:fldChar w:fldCharType="separate"/>
      </w:r>
      <w:r>
        <w:rPr>
          <w:color w:val="000000" w:themeColor="text1"/>
        </w:rPr>
        <w:t>74</w:t>
      </w:r>
      <w:r>
        <w:rPr>
          <w:color w:val="000000" w:themeColor="text1"/>
        </w:rPr>
        <w:fldChar w:fldCharType="end"/>
      </w:r>
      <w:r>
        <w:rPr>
          <w:color w:val="000000" w:themeColor="text1"/>
        </w:rPr>
        <w:fldChar w:fldCharType="end"/>
      </w:r>
    </w:p>
    <w:p>
      <w:pPr>
        <w:pStyle w:val="27"/>
        <w:tabs>
          <w:tab w:val="right" w:leader="dot" w:pos="8302"/>
        </w:tabs>
        <w:ind w:firstLine="480"/>
        <w:rPr>
          <w:rFonts w:asciiTheme="minorHAnsi" w:hAnsiTheme="minorHAnsi" w:eastAsiaTheme="minorEastAsia"/>
          <w:color w:val="000000" w:themeColor="text1"/>
          <w:sz w:val="21"/>
        </w:rPr>
      </w:pPr>
      <w:r>
        <w:fldChar w:fldCharType="begin"/>
      </w:r>
      <w:r>
        <w:instrText xml:space="preserve"> HYPERLINK \l "_Toc47375833" </w:instrText>
      </w:r>
      <w:r>
        <w:fldChar w:fldCharType="separate"/>
      </w:r>
      <w:r>
        <w:rPr>
          <w:rStyle w:val="46"/>
          <w:color w:val="000000" w:themeColor="text1"/>
        </w:rPr>
        <w:t>3.</w:t>
      </w:r>
      <w:r>
        <w:rPr>
          <w:rStyle w:val="46"/>
          <w:rFonts w:hint="eastAsia"/>
          <w:color w:val="000000" w:themeColor="text1"/>
        </w:rPr>
        <w:t>区域环境概况</w:t>
      </w:r>
      <w:r>
        <w:rPr>
          <w:color w:val="000000" w:themeColor="text1"/>
        </w:rPr>
        <w:tab/>
      </w:r>
      <w:r>
        <w:rPr>
          <w:color w:val="000000" w:themeColor="text1"/>
        </w:rPr>
        <w:fldChar w:fldCharType="begin"/>
      </w:r>
      <w:r>
        <w:rPr>
          <w:color w:val="000000" w:themeColor="text1"/>
        </w:rPr>
        <w:instrText xml:space="preserve"> PAGEREF _Toc47375833 \h </w:instrText>
      </w:r>
      <w:r>
        <w:rPr>
          <w:color w:val="000000" w:themeColor="text1"/>
        </w:rPr>
        <w:fldChar w:fldCharType="separate"/>
      </w:r>
      <w:r>
        <w:rPr>
          <w:color w:val="000000" w:themeColor="text1"/>
        </w:rPr>
        <w:t>75</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"_Toc47375834" </w:instrText>
      </w:r>
      <w:r>
        <w:fldChar w:fldCharType="separate"/>
      </w:r>
      <w:r>
        <w:rPr>
          <w:rStyle w:val="46"/>
          <w:color w:val="000000" w:themeColor="text1"/>
        </w:rPr>
        <w:t>3.1</w:t>
      </w:r>
      <w:r>
        <w:rPr>
          <w:rStyle w:val="46"/>
          <w:rFonts w:hint="eastAsia"/>
          <w:color w:val="000000" w:themeColor="text1"/>
        </w:rPr>
        <w:t>自然环境概况</w:t>
      </w:r>
      <w:r>
        <w:rPr>
          <w:color w:val="000000" w:themeColor="text1"/>
        </w:rPr>
        <w:tab/>
      </w:r>
      <w:r>
        <w:rPr>
          <w:color w:val="000000" w:themeColor="text1"/>
        </w:rPr>
        <w:fldChar w:fldCharType="begin"/>
      </w:r>
      <w:r>
        <w:rPr>
          <w:color w:val="000000" w:themeColor="text1"/>
        </w:rPr>
        <w:instrText xml:space="preserve"> PAGEREF _Toc47375834 \h </w:instrText>
      </w:r>
      <w:r>
        <w:rPr>
          <w:color w:val="000000" w:themeColor="text1"/>
        </w:rPr>
        <w:fldChar w:fldCharType="separate"/>
      </w:r>
      <w:r>
        <w:rPr>
          <w:color w:val="000000" w:themeColor="text1"/>
        </w:rPr>
        <w:t>75</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"_Toc47375835" </w:instrText>
      </w:r>
      <w:r>
        <w:fldChar w:fldCharType="separate"/>
      </w:r>
      <w:r>
        <w:rPr>
          <w:rStyle w:val="46"/>
          <w:color w:val="000000" w:themeColor="text1"/>
        </w:rPr>
        <w:t>3.1.2</w:t>
      </w:r>
      <w:r>
        <w:rPr>
          <w:rStyle w:val="46"/>
          <w:rFonts w:hint="eastAsia"/>
          <w:color w:val="000000" w:themeColor="text1"/>
        </w:rPr>
        <w:t>地形、地貌、地质</w:t>
      </w:r>
      <w:r>
        <w:rPr>
          <w:color w:val="000000" w:themeColor="text1"/>
        </w:rPr>
        <w:tab/>
      </w:r>
      <w:r>
        <w:rPr>
          <w:color w:val="000000" w:themeColor="text1"/>
        </w:rPr>
        <w:fldChar w:fldCharType="begin"/>
      </w:r>
      <w:r>
        <w:rPr>
          <w:color w:val="000000" w:themeColor="text1"/>
        </w:rPr>
        <w:instrText xml:space="preserve"> PAGEREF _Toc47375835 \h </w:instrText>
      </w:r>
      <w:r>
        <w:rPr>
          <w:color w:val="000000" w:themeColor="text1"/>
        </w:rPr>
        <w:fldChar w:fldCharType="separate"/>
      </w:r>
      <w:r>
        <w:rPr>
          <w:color w:val="000000" w:themeColor="text1"/>
        </w:rPr>
        <w:t>75</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"_Toc47375836" </w:instrText>
      </w:r>
      <w:r>
        <w:fldChar w:fldCharType="separate"/>
      </w:r>
      <w:r>
        <w:rPr>
          <w:rStyle w:val="46"/>
          <w:color w:val="000000" w:themeColor="text1"/>
        </w:rPr>
        <w:t>3.1.3</w:t>
      </w:r>
      <w:r>
        <w:rPr>
          <w:rStyle w:val="46"/>
          <w:rFonts w:hint="eastAsia"/>
          <w:color w:val="000000" w:themeColor="text1"/>
        </w:rPr>
        <w:t>气象、气候</w:t>
      </w:r>
      <w:r>
        <w:rPr>
          <w:color w:val="000000" w:themeColor="text1"/>
        </w:rPr>
        <w:tab/>
      </w:r>
      <w:r>
        <w:rPr>
          <w:color w:val="000000" w:themeColor="text1"/>
        </w:rPr>
        <w:fldChar w:fldCharType="begin"/>
      </w:r>
      <w:r>
        <w:rPr>
          <w:color w:val="000000" w:themeColor="text1"/>
        </w:rPr>
        <w:instrText xml:space="preserve"> PAGEREF _Toc47375836 \h </w:instrText>
      </w:r>
      <w:r>
        <w:rPr>
          <w:color w:val="000000" w:themeColor="text1"/>
        </w:rPr>
        <w:fldChar w:fldCharType="separate"/>
      </w:r>
      <w:r>
        <w:rPr>
          <w:color w:val="000000" w:themeColor="text1"/>
        </w:rPr>
        <w:t>76</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"_Toc47375837" </w:instrText>
      </w:r>
      <w:r>
        <w:fldChar w:fldCharType="separate"/>
      </w:r>
      <w:r>
        <w:rPr>
          <w:rStyle w:val="46"/>
          <w:color w:val="000000" w:themeColor="text1"/>
        </w:rPr>
        <w:t>3.1.4</w:t>
      </w:r>
      <w:r>
        <w:rPr>
          <w:rStyle w:val="46"/>
          <w:rFonts w:hint="eastAsia"/>
          <w:color w:val="000000" w:themeColor="text1"/>
        </w:rPr>
        <w:t>水文、水系</w:t>
      </w:r>
      <w:r>
        <w:rPr>
          <w:color w:val="000000" w:themeColor="text1"/>
        </w:rPr>
        <w:tab/>
      </w:r>
      <w:r>
        <w:rPr>
          <w:color w:val="000000" w:themeColor="text1"/>
        </w:rPr>
        <w:fldChar w:fldCharType="begin"/>
      </w:r>
      <w:r>
        <w:rPr>
          <w:color w:val="000000" w:themeColor="text1"/>
        </w:rPr>
        <w:instrText xml:space="preserve"> PAGEREF _Toc47375837 \h </w:instrText>
      </w:r>
      <w:r>
        <w:rPr>
          <w:color w:val="000000" w:themeColor="text1"/>
        </w:rPr>
        <w:fldChar w:fldCharType="separate"/>
      </w:r>
      <w:r>
        <w:rPr>
          <w:color w:val="000000" w:themeColor="text1"/>
        </w:rPr>
        <w:t>77</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"_Toc47375838" </w:instrText>
      </w:r>
      <w:r>
        <w:fldChar w:fldCharType="separate"/>
      </w:r>
      <w:r>
        <w:rPr>
          <w:rStyle w:val="46"/>
          <w:color w:val="000000" w:themeColor="text1"/>
        </w:rPr>
        <w:t>3.1.5</w:t>
      </w:r>
      <w:r>
        <w:rPr>
          <w:rStyle w:val="46"/>
          <w:rFonts w:hint="eastAsia"/>
          <w:color w:val="000000" w:themeColor="text1"/>
        </w:rPr>
        <w:t>植被</w:t>
      </w:r>
      <w:r>
        <w:rPr>
          <w:color w:val="000000" w:themeColor="text1"/>
        </w:rPr>
        <w:tab/>
      </w:r>
      <w:r>
        <w:rPr>
          <w:color w:val="000000" w:themeColor="text1"/>
        </w:rPr>
        <w:fldChar w:fldCharType="begin"/>
      </w:r>
      <w:r>
        <w:rPr>
          <w:color w:val="000000" w:themeColor="text1"/>
        </w:rPr>
        <w:instrText xml:space="preserve"> PAGEREF _Toc47375838 \h </w:instrText>
      </w:r>
      <w:r>
        <w:rPr>
          <w:color w:val="000000" w:themeColor="text1"/>
        </w:rPr>
        <w:fldChar w:fldCharType="separate"/>
      </w:r>
      <w:r>
        <w:rPr>
          <w:color w:val="000000" w:themeColor="text1"/>
        </w:rPr>
        <w:t>77</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"_Toc47375839" </w:instrText>
      </w:r>
      <w:r>
        <w:fldChar w:fldCharType="separate"/>
      </w:r>
      <w:r>
        <w:rPr>
          <w:rStyle w:val="46"/>
          <w:color w:val="000000" w:themeColor="text1"/>
        </w:rPr>
        <w:t>3.1.6</w:t>
      </w:r>
      <w:r>
        <w:rPr>
          <w:rStyle w:val="46"/>
          <w:rFonts w:hint="eastAsia"/>
          <w:color w:val="000000" w:themeColor="text1"/>
        </w:rPr>
        <w:t>风景名胜和文物古迹</w:t>
      </w:r>
      <w:r>
        <w:rPr>
          <w:color w:val="000000" w:themeColor="text1"/>
        </w:rPr>
        <w:tab/>
      </w:r>
      <w:r>
        <w:rPr>
          <w:color w:val="000000" w:themeColor="text1"/>
        </w:rPr>
        <w:fldChar w:fldCharType="begin"/>
      </w:r>
      <w:r>
        <w:rPr>
          <w:color w:val="000000" w:themeColor="text1"/>
        </w:rPr>
        <w:instrText xml:space="preserve"> PAGEREF _Toc47375839 \h </w:instrText>
      </w:r>
      <w:r>
        <w:rPr>
          <w:color w:val="000000" w:themeColor="text1"/>
        </w:rPr>
        <w:fldChar w:fldCharType="separate"/>
      </w:r>
      <w:r>
        <w:rPr>
          <w:color w:val="000000" w:themeColor="text1"/>
        </w:rPr>
        <w:t>78</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"_Toc47375840" </w:instrText>
      </w:r>
      <w:r>
        <w:fldChar w:fldCharType="separate"/>
      </w:r>
      <w:r>
        <w:rPr>
          <w:rStyle w:val="46"/>
          <w:rFonts w:cs="Times New Roman"/>
          <w:color w:val="000000" w:themeColor="text1"/>
        </w:rPr>
        <w:t>3.2</w:t>
      </w:r>
      <w:r>
        <w:rPr>
          <w:rStyle w:val="46"/>
          <w:rFonts w:hint="eastAsia"/>
          <w:color w:val="000000" w:themeColor="text1"/>
        </w:rPr>
        <w:t>区域污染源调查与分析</w:t>
      </w:r>
      <w:r>
        <w:rPr>
          <w:color w:val="000000" w:themeColor="text1"/>
        </w:rPr>
        <w:tab/>
      </w:r>
      <w:r>
        <w:rPr>
          <w:color w:val="000000" w:themeColor="text1"/>
        </w:rPr>
        <w:fldChar w:fldCharType="begin"/>
      </w:r>
      <w:r>
        <w:rPr>
          <w:color w:val="000000" w:themeColor="text1"/>
        </w:rPr>
        <w:instrText xml:space="preserve"> PAGEREF _Toc47375840 \h </w:instrText>
      </w:r>
      <w:r>
        <w:rPr>
          <w:color w:val="000000" w:themeColor="text1"/>
        </w:rPr>
        <w:fldChar w:fldCharType="separate"/>
      </w:r>
      <w:r>
        <w:rPr>
          <w:color w:val="000000" w:themeColor="text1"/>
        </w:rPr>
        <w:t>78</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"_Toc47375841" </w:instrText>
      </w:r>
      <w:r>
        <w:fldChar w:fldCharType="separate"/>
      </w:r>
      <w:r>
        <w:rPr>
          <w:rStyle w:val="46"/>
          <w:color w:val="000000" w:themeColor="text1"/>
        </w:rPr>
        <w:t>3.2.1</w:t>
      </w:r>
      <w:r>
        <w:rPr>
          <w:rStyle w:val="46"/>
          <w:rFonts w:hint="eastAsia"/>
          <w:color w:val="000000" w:themeColor="text1"/>
        </w:rPr>
        <w:t>区域生活污染源调查</w:t>
      </w:r>
      <w:r>
        <w:rPr>
          <w:color w:val="000000" w:themeColor="text1"/>
        </w:rPr>
        <w:tab/>
      </w:r>
      <w:r>
        <w:rPr>
          <w:color w:val="000000" w:themeColor="text1"/>
        </w:rPr>
        <w:fldChar w:fldCharType="begin"/>
      </w:r>
      <w:r>
        <w:rPr>
          <w:color w:val="000000" w:themeColor="text1"/>
        </w:rPr>
        <w:instrText xml:space="preserve"> PAGEREF _Toc47375841 \h </w:instrText>
      </w:r>
      <w:r>
        <w:rPr>
          <w:color w:val="000000" w:themeColor="text1"/>
        </w:rPr>
        <w:fldChar w:fldCharType="separate"/>
      </w:r>
      <w:r>
        <w:rPr>
          <w:color w:val="000000" w:themeColor="text1"/>
        </w:rPr>
        <w:t>78</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"_Toc47375842" </w:instrText>
      </w:r>
      <w:r>
        <w:fldChar w:fldCharType="separate"/>
      </w:r>
      <w:r>
        <w:rPr>
          <w:rStyle w:val="46"/>
          <w:color w:val="000000" w:themeColor="text1"/>
        </w:rPr>
        <w:t>3.2.2</w:t>
      </w:r>
      <w:r>
        <w:rPr>
          <w:rStyle w:val="46"/>
          <w:rFonts w:hint="eastAsia"/>
          <w:color w:val="000000" w:themeColor="text1"/>
        </w:rPr>
        <w:t>区域工业污染源调查</w:t>
      </w:r>
      <w:r>
        <w:rPr>
          <w:color w:val="000000" w:themeColor="text1"/>
        </w:rPr>
        <w:tab/>
      </w:r>
      <w:r>
        <w:rPr>
          <w:color w:val="000000" w:themeColor="text1"/>
        </w:rPr>
        <w:fldChar w:fldCharType="begin"/>
      </w:r>
      <w:r>
        <w:rPr>
          <w:color w:val="000000" w:themeColor="text1"/>
        </w:rPr>
        <w:instrText xml:space="preserve"> PAGEREF _Toc47375842 \h </w:instrText>
      </w:r>
      <w:r>
        <w:rPr>
          <w:color w:val="000000" w:themeColor="text1"/>
        </w:rPr>
        <w:fldChar w:fldCharType="separate"/>
      </w:r>
      <w:r>
        <w:rPr>
          <w:color w:val="000000" w:themeColor="text1"/>
        </w:rPr>
        <w:t>79</w:t>
      </w:r>
      <w:r>
        <w:rPr>
          <w:color w:val="000000" w:themeColor="text1"/>
        </w:rPr>
        <w:fldChar w:fldCharType="end"/>
      </w:r>
      <w:r>
        <w:rPr>
          <w:color w:val="000000" w:themeColor="text1"/>
        </w:rPr>
        <w:fldChar w:fldCharType="end"/>
      </w:r>
    </w:p>
    <w:p>
      <w:pPr>
        <w:pStyle w:val="27"/>
        <w:tabs>
          <w:tab w:val="right" w:leader="dot" w:pos="8302"/>
        </w:tabs>
        <w:ind w:firstLine="480"/>
        <w:rPr>
          <w:rFonts w:asciiTheme="minorHAnsi" w:hAnsiTheme="minorHAnsi" w:eastAsiaTheme="minorEastAsia"/>
          <w:color w:val="000000" w:themeColor="text1"/>
          <w:sz w:val="21"/>
        </w:rPr>
      </w:pPr>
      <w:r>
        <w:fldChar w:fldCharType="begin"/>
      </w:r>
      <w:r>
        <w:instrText xml:space="preserve"> HYPERLINK \l "_Toc47375843" </w:instrText>
      </w:r>
      <w:r>
        <w:fldChar w:fldCharType="separate"/>
      </w:r>
      <w:r>
        <w:rPr>
          <w:rStyle w:val="46"/>
          <w:color w:val="000000" w:themeColor="text1"/>
          <w:kern w:val="0"/>
        </w:rPr>
        <w:t>4.</w:t>
      </w:r>
      <w:r>
        <w:rPr>
          <w:rStyle w:val="46"/>
          <w:rFonts w:hint="eastAsia"/>
          <w:color w:val="000000" w:themeColor="text1"/>
          <w:kern w:val="0"/>
        </w:rPr>
        <w:t>环境质量现状调查与评价</w:t>
      </w:r>
      <w:r>
        <w:rPr>
          <w:color w:val="000000" w:themeColor="text1"/>
        </w:rPr>
        <w:tab/>
      </w:r>
      <w:r>
        <w:rPr>
          <w:color w:val="000000" w:themeColor="text1"/>
        </w:rPr>
        <w:fldChar w:fldCharType="begin"/>
      </w:r>
      <w:r>
        <w:rPr>
          <w:color w:val="000000" w:themeColor="text1"/>
        </w:rPr>
        <w:instrText xml:space="preserve"> PAGEREF _Toc47375843 \h </w:instrText>
      </w:r>
      <w:r>
        <w:rPr>
          <w:color w:val="000000" w:themeColor="text1"/>
        </w:rPr>
        <w:fldChar w:fldCharType="separate"/>
      </w:r>
      <w:r>
        <w:rPr>
          <w:color w:val="000000" w:themeColor="text1"/>
        </w:rPr>
        <w:t>80</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"_Toc47375844" </w:instrText>
      </w:r>
      <w:r>
        <w:fldChar w:fldCharType="separate"/>
      </w:r>
      <w:r>
        <w:rPr>
          <w:rStyle w:val="46"/>
          <w:color w:val="000000" w:themeColor="text1"/>
        </w:rPr>
        <w:t>4.1</w:t>
      </w:r>
      <w:r>
        <w:rPr>
          <w:rStyle w:val="46"/>
          <w:rFonts w:hint="eastAsia"/>
          <w:color w:val="000000" w:themeColor="text1"/>
        </w:rPr>
        <w:t>环境空气质量现状监测与评价</w:t>
      </w:r>
      <w:r>
        <w:rPr>
          <w:color w:val="000000" w:themeColor="text1"/>
        </w:rPr>
        <w:tab/>
      </w:r>
      <w:r>
        <w:rPr>
          <w:color w:val="000000" w:themeColor="text1"/>
        </w:rPr>
        <w:fldChar w:fldCharType="begin"/>
      </w:r>
      <w:r>
        <w:rPr>
          <w:color w:val="000000" w:themeColor="text1"/>
        </w:rPr>
        <w:instrText xml:space="preserve"> PAGEREF _Toc47375844 \h </w:instrText>
      </w:r>
      <w:r>
        <w:rPr>
          <w:color w:val="000000" w:themeColor="text1"/>
        </w:rPr>
        <w:fldChar w:fldCharType="separate"/>
      </w:r>
      <w:r>
        <w:rPr>
          <w:color w:val="000000" w:themeColor="text1"/>
        </w:rPr>
        <w:t>80</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"_Toc47375845" </w:instrText>
      </w:r>
      <w:r>
        <w:fldChar w:fldCharType="separate"/>
      </w:r>
      <w:r>
        <w:rPr>
          <w:rStyle w:val="46"/>
          <w:color w:val="000000" w:themeColor="text1"/>
        </w:rPr>
        <w:t>4.2</w:t>
      </w:r>
      <w:r>
        <w:rPr>
          <w:rStyle w:val="46"/>
          <w:rFonts w:hint="eastAsia"/>
          <w:color w:val="000000" w:themeColor="text1"/>
        </w:rPr>
        <w:t>地表水质量现状监测与评价</w:t>
      </w:r>
      <w:r>
        <w:rPr>
          <w:color w:val="000000" w:themeColor="text1"/>
        </w:rPr>
        <w:tab/>
      </w:r>
      <w:r>
        <w:rPr>
          <w:color w:val="000000" w:themeColor="text1"/>
        </w:rPr>
        <w:fldChar w:fldCharType="begin"/>
      </w:r>
      <w:r>
        <w:rPr>
          <w:color w:val="000000" w:themeColor="text1"/>
        </w:rPr>
        <w:instrText xml:space="preserve"> PAGEREF _Toc47375845 \h </w:instrText>
      </w:r>
      <w:r>
        <w:rPr>
          <w:color w:val="000000" w:themeColor="text1"/>
        </w:rPr>
        <w:fldChar w:fldCharType="separate"/>
      </w:r>
      <w:r>
        <w:rPr>
          <w:color w:val="000000" w:themeColor="text1"/>
        </w:rPr>
        <w:t>82</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"_Toc47375846" </w:instrText>
      </w:r>
      <w:r>
        <w:fldChar w:fldCharType="separate"/>
      </w:r>
      <w:r>
        <w:rPr>
          <w:rStyle w:val="46"/>
          <w:color w:val="000000" w:themeColor="text1"/>
        </w:rPr>
        <w:t>4.3</w:t>
      </w:r>
      <w:r>
        <w:rPr>
          <w:rStyle w:val="46"/>
          <w:rFonts w:hint="eastAsia"/>
          <w:color w:val="000000" w:themeColor="text1"/>
        </w:rPr>
        <w:t>地下水质量现状监测与评价</w:t>
      </w:r>
      <w:r>
        <w:rPr>
          <w:color w:val="000000" w:themeColor="text1"/>
        </w:rPr>
        <w:tab/>
      </w:r>
      <w:r>
        <w:rPr>
          <w:color w:val="000000" w:themeColor="text1"/>
        </w:rPr>
        <w:fldChar w:fldCharType="begin"/>
      </w:r>
      <w:r>
        <w:rPr>
          <w:color w:val="000000" w:themeColor="text1"/>
        </w:rPr>
        <w:instrText xml:space="preserve"> PAGEREF _Toc47375846 \h </w:instrText>
      </w:r>
      <w:r>
        <w:rPr>
          <w:color w:val="000000" w:themeColor="text1"/>
        </w:rPr>
        <w:fldChar w:fldCharType="separate"/>
      </w:r>
      <w:r>
        <w:rPr>
          <w:color w:val="000000" w:themeColor="text1"/>
        </w:rPr>
        <w:t>82</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"_Toc47375847" </w:instrText>
      </w:r>
      <w:r>
        <w:fldChar w:fldCharType="separate"/>
      </w:r>
      <w:r>
        <w:rPr>
          <w:rStyle w:val="46"/>
          <w:color w:val="000000" w:themeColor="text1"/>
        </w:rPr>
        <w:t>4.4</w:t>
      </w:r>
      <w:r>
        <w:rPr>
          <w:rStyle w:val="46"/>
          <w:rFonts w:hint="eastAsia"/>
          <w:color w:val="000000" w:themeColor="text1"/>
        </w:rPr>
        <w:t>声环境质量现状监测与评价</w:t>
      </w:r>
      <w:r>
        <w:rPr>
          <w:color w:val="000000" w:themeColor="text1"/>
        </w:rPr>
        <w:tab/>
      </w:r>
      <w:r>
        <w:rPr>
          <w:color w:val="000000" w:themeColor="text1"/>
        </w:rPr>
        <w:fldChar w:fldCharType="begin"/>
      </w:r>
      <w:r>
        <w:rPr>
          <w:color w:val="000000" w:themeColor="text1"/>
        </w:rPr>
        <w:instrText xml:space="preserve"> PAGEREF _Toc47375847 \h </w:instrText>
      </w:r>
      <w:r>
        <w:rPr>
          <w:color w:val="000000" w:themeColor="text1"/>
        </w:rPr>
        <w:fldChar w:fldCharType="separate"/>
      </w:r>
      <w:r>
        <w:rPr>
          <w:color w:val="000000" w:themeColor="text1"/>
        </w:rPr>
        <w:t>87</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"_Toc47375848" </w:instrText>
      </w:r>
      <w:r>
        <w:fldChar w:fldCharType="separate"/>
      </w:r>
      <w:r>
        <w:rPr>
          <w:rStyle w:val="46"/>
          <w:color w:val="000000" w:themeColor="text1"/>
        </w:rPr>
        <w:t>4.5</w:t>
      </w:r>
      <w:r>
        <w:rPr>
          <w:rStyle w:val="46"/>
          <w:rFonts w:hint="eastAsia"/>
          <w:color w:val="000000" w:themeColor="text1"/>
        </w:rPr>
        <w:t>土壤环境现状</w:t>
      </w:r>
      <w:r>
        <w:rPr>
          <w:color w:val="000000" w:themeColor="text1"/>
        </w:rPr>
        <w:tab/>
      </w:r>
      <w:r>
        <w:rPr>
          <w:color w:val="000000" w:themeColor="text1"/>
        </w:rPr>
        <w:fldChar w:fldCharType="begin"/>
      </w:r>
      <w:r>
        <w:rPr>
          <w:color w:val="000000" w:themeColor="text1"/>
        </w:rPr>
        <w:instrText xml:space="preserve"> PAGEREF _Toc47375848 \h </w:instrText>
      </w:r>
      <w:r>
        <w:rPr>
          <w:color w:val="000000" w:themeColor="text1"/>
        </w:rPr>
        <w:fldChar w:fldCharType="separate"/>
      </w:r>
      <w:r>
        <w:rPr>
          <w:color w:val="000000" w:themeColor="text1"/>
        </w:rPr>
        <w:t>87</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"_Toc47375849" </w:instrText>
      </w:r>
      <w:r>
        <w:fldChar w:fldCharType="separate"/>
      </w:r>
      <w:r>
        <w:rPr>
          <w:rStyle w:val="46"/>
          <w:color w:val="000000" w:themeColor="text1"/>
        </w:rPr>
        <w:t>4.6</w:t>
      </w:r>
      <w:r>
        <w:rPr>
          <w:rStyle w:val="46"/>
          <w:rFonts w:hint="eastAsia"/>
          <w:color w:val="000000" w:themeColor="text1"/>
        </w:rPr>
        <w:t>生态环境现状</w:t>
      </w:r>
      <w:r>
        <w:rPr>
          <w:color w:val="000000" w:themeColor="text1"/>
        </w:rPr>
        <w:tab/>
      </w:r>
      <w:r>
        <w:rPr>
          <w:color w:val="000000" w:themeColor="text1"/>
        </w:rPr>
        <w:fldChar w:fldCharType="begin"/>
      </w:r>
      <w:r>
        <w:rPr>
          <w:color w:val="000000" w:themeColor="text1"/>
        </w:rPr>
        <w:instrText xml:space="preserve"> PAGEREF _Toc47375849 \h </w:instrText>
      </w:r>
      <w:r>
        <w:rPr>
          <w:color w:val="000000" w:themeColor="text1"/>
        </w:rPr>
        <w:fldChar w:fldCharType="separate"/>
      </w:r>
      <w:r>
        <w:rPr>
          <w:color w:val="000000" w:themeColor="text1"/>
        </w:rPr>
        <w:t>88</w:t>
      </w:r>
      <w:r>
        <w:rPr>
          <w:color w:val="000000" w:themeColor="text1"/>
        </w:rPr>
        <w:fldChar w:fldCharType="end"/>
      </w:r>
      <w:r>
        <w:rPr>
          <w:color w:val="000000" w:themeColor="text1"/>
        </w:rPr>
        <w:fldChar w:fldCharType="end"/>
      </w:r>
    </w:p>
    <w:p>
      <w:pPr>
        <w:pStyle w:val="27"/>
        <w:tabs>
          <w:tab w:val="right" w:leader="dot" w:pos="8302"/>
        </w:tabs>
        <w:ind w:firstLine="480"/>
        <w:rPr>
          <w:rFonts w:asciiTheme="minorHAnsi" w:hAnsiTheme="minorHAnsi" w:eastAsiaTheme="minorEastAsia"/>
          <w:color w:val="000000" w:themeColor="text1"/>
          <w:sz w:val="21"/>
        </w:rPr>
      </w:pPr>
      <w:r>
        <w:fldChar w:fldCharType="begin"/>
      </w:r>
      <w:r>
        <w:instrText xml:space="preserve"> HYPERLINK \l "_Toc47375850" </w:instrText>
      </w:r>
      <w:r>
        <w:fldChar w:fldCharType="separate"/>
      </w:r>
      <w:r>
        <w:rPr>
          <w:rStyle w:val="46"/>
          <w:color w:val="000000" w:themeColor="text1"/>
        </w:rPr>
        <w:t>5.</w:t>
      </w:r>
      <w:r>
        <w:rPr>
          <w:rStyle w:val="46"/>
          <w:rFonts w:hint="eastAsia"/>
          <w:color w:val="000000" w:themeColor="text1"/>
        </w:rPr>
        <w:t>施工期环境影响分析与评价</w:t>
      </w:r>
      <w:r>
        <w:rPr>
          <w:color w:val="000000" w:themeColor="text1"/>
        </w:rPr>
        <w:tab/>
      </w:r>
      <w:r>
        <w:rPr>
          <w:color w:val="000000" w:themeColor="text1"/>
        </w:rPr>
        <w:fldChar w:fldCharType="begin"/>
      </w:r>
      <w:r>
        <w:rPr>
          <w:color w:val="000000" w:themeColor="text1"/>
        </w:rPr>
        <w:instrText xml:space="preserve"> PAGEREF _Toc47375850 \h </w:instrText>
      </w:r>
      <w:r>
        <w:rPr>
          <w:color w:val="000000" w:themeColor="text1"/>
        </w:rPr>
        <w:fldChar w:fldCharType="separate"/>
      </w:r>
      <w:r>
        <w:rPr>
          <w:color w:val="000000" w:themeColor="text1"/>
        </w:rPr>
        <w:t>89</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"_Toc47375851" </w:instrText>
      </w:r>
      <w:r>
        <w:fldChar w:fldCharType="separate"/>
      </w:r>
      <w:r>
        <w:rPr>
          <w:rStyle w:val="46"/>
          <w:color w:val="000000" w:themeColor="text1"/>
        </w:rPr>
        <w:t>5.1</w:t>
      </w:r>
      <w:r>
        <w:rPr>
          <w:rStyle w:val="46"/>
          <w:rFonts w:hint="eastAsia"/>
          <w:color w:val="000000" w:themeColor="text1"/>
        </w:rPr>
        <w:t>施工期大气环境影响分析及评价</w:t>
      </w:r>
      <w:r>
        <w:rPr>
          <w:color w:val="000000" w:themeColor="text1"/>
        </w:rPr>
        <w:tab/>
      </w:r>
      <w:r>
        <w:rPr>
          <w:color w:val="000000" w:themeColor="text1"/>
        </w:rPr>
        <w:fldChar w:fldCharType="begin"/>
      </w:r>
      <w:r>
        <w:rPr>
          <w:color w:val="000000" w:themeColor="text1"/>
        </w:rPr>
        <w:instrText xml:space="preserve"> PAGEREF _Toc47375851 \h </w:instrText>
      </w:r>
      <w:r>
        <w:rPr>
          <w:color w:val="000000" w:themeColor="text1"/>
        </w:rPr>
        <w:fldChar w:fldCharType="separate"/>
      </w:r>
      <w:r>
        <w:rPr>
          <w:color w:val="000000" w:themeColor="text1"/>
        </w:rPr>
        <w:t>89</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"_Toc47375852" </w:instrText>
      </w:r>
      <w:r>
        <w:fldChar w:fldCharType="separate"/>
      </w:r>
      <w:r>
        <w:rPr>
          <w:rStyle w:val="46"/>
          <w:color w:val="000000" w:themeColor="text1"/>
        </w:rPr>
        <w:t>5.1.1</w:t>
      </w:r>
      <w:r>
        <w:rPr>
          <w:rStyle w:val="46"/>
          <w:rFonts w:hint="eastAsia"/>
          <w:color w:val="000000" w:themeColor="text1"/>
        </w:rPr>
        <w:t>粉尘扬尘对大气环境的影响</w:t>
      </w:r>
      <w:r>
        <w:rPr>
          <w:color w:val="000000" w:themeColor="text1"/>
        </w:rPr>
        <w:tab/>
      </w:r>
      <w:r>
        <w:rPr>
          <w:color w:val="000000" w:themeColor="text1"/>
        </w:rPr>
        <w:fldChar w:fldCharType="begin"/>
      </w:r>
      <w:r>
        <w:rPr>
          <w:color w:val="000000" w:themeColor="text1"/>
        </w:rPr>
        <w:instrText xml:space="preserve"> PAGEREF _Toc47375852 \h </w:instrText>
      </w:r>
      <w:r>
        <w:rPr>
          <w:color w:val="000000" w:themeColor="text1"/>
        </w:rPr>
        <w:fldChar w:fldCharType="separate"/>
      </w:r>
      <w:r>
        <w:rPr>
          <w:color w:val="000000" w:themeColor="text1"/>
        </w:rPr>
        <w:t>89</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"_Toc47375853" </w:instrText>
      </w:r>
      <w:r>
        <w:fldChar w:fldCharType="separate"/>
      </w:r>
      <w:r>
        <w:rPr>
          <w:rStyle w:val="46"/>
          <w:color w:val="000000" w:themeColor="text1"/>
        </w:rPr>
        <w:t>5.1.2</w:t>
      </w:r>
      <w:r>
        <w:rPr>
          <w:rStyle w:val="46"/>
          <w:rFonts w:hint="eastAsia"/>
          <w:color w:val="000000" w:themeColor="text1"/>
        </w:rPr>
        <w:t>装修废气对大气环境的影响</w:t>
      </w:r>
      <w:r>
        <w:rPr>
          <w:color w:val="000000" w:themeColor="text1"/>
        </w:rPr>
        <w:tab/>
      </w:r>
      <w:r>
        <w:rPr>
          <w:color w:val="000000" w:themeColor="text1"/>
        </w:rPr>
        <w:fldChar w:fldCharType="begin"/>
      </w:r>
      <w:r>
        <w:rPr>
          <w:color w:val="000000" w:themeColor="text1"/>
        </w:rPr>
        <w:instrText xml:space="preserve"> PAGEREF _Toc47375853 \h </w:instrText>
      </w:r>
      <w:r>
        <w:rPr>
          <w:color w:val="000000" w:themeColor="text1"/>
        </w:rPr>
        <w:fldChar w:fldCharType="separate"/>
      </w:r>
      <w:r>
        <w:rPr>
          <w:color w:val="000000" w:themeColor="text1"/>
        </w:rPr>
        <w:t>89</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"_Toc47375854" </w:instrText>
      </w:r>
      <w:r>
        <w:fldChar w:fldCharType="separate"/>
      </w:r>
      <w:r>
        <w:rPr>
          <w:rStyle w:val="46"/>
          <w:color w:val="000000" w:themeColor="text1"/>
        </w:rPr>
        <w:t>5.2</w:t>
      </w:r>
      <w:r>
        <w:rPr>
          <w:rStyle w:val="46"/>
          <w:rFonts w:hint="eastAsia"/>
          <w:color w:val="000000" w:themeColor="text1"/>
        </w:rPr>
        <w:t>施工期水环境影响分析</w:t>
      </w:r>
      <w:r>
        <w:rPr>
          <w:color w:val="000000" w:themeColor="text1"/>
        </w:rPr>
        <w:tab/>
      </w:r>
      <w:r>
        <w:rPr>
          <w:color w:val="000000" w:themeColor="text1"/>
        </w:rPr>
        <w:fldChar w:fldCharType="begin"/>
      </w:r>
      <w:r>
        <w:rPr>
          <w:color w:val="000000" w:themeColor="text1"/>
        </w:rPr>
        <w:instrText xml:space="preserve"> PAGEREF _Toc47375854 \h </w:instrText>
      </w:r>
      <w:r>
        <w:rPr>
          <w:color w:val="000000" w:themeColor="text1"/>
        </w:rPr>
        <w:fldChar w:fldCharType="separate"/>
      </w:r>
      <w:r>
        <w:rPr>
          <w:color w:val="000000" w:themeColor="text1"/>
        </w:rPr>
        <w:t>90</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"_Toc47375855" </w:instrText>
      </w:r>
      <w:r>
        <w:fldChar w:fldCharType="separate"/>
      </w:r>
      <w:r>
        <w:rPr>
          <w:rStyle w:val="46"/>
          <w:color w:val="000000" w:themeColor="text1"/>
        </w:rPr>
        <w:t>5.2.1</w:t>
      </w:r>
      <w:r>
        <w:rPr>
          <w:rStyle w:val="46"/>
          <w:rFonts w:hint="eastAsia"/>
          <w:color w:val="000000" w:themeColor="text1"/>
        </w:rPr>
        <w:t>施工废水水环境影响分析</w:t>
      </w:r>
      <w:r>
        <w:rPr>
          <w:color w:val="000000" w:themeColor="text1"/>
        </w:rPr>
        <w:tab/>
      </w:r>
      <w:r>
        <w:rPr>
          <w:color w:val="000000" w:themeColor="text1"/>
        </w:rPr>
        <w:fldChar w:fldCharType="begin"/>
      </w:r>
      <w:r>
        <w:rPr>
          <w:color w:val="000000" w:themeColor="text1"/>
        </w:rPr>
        <w:instrText xml:space="preserve"> PAGEREF _Toc47375855 \h </w:instrText>
      </w:r>
      <w:r>
        <w:rPr>
          <w:color w:val="000000" w:themeColor="text1"/>
        </w:rPr>
        <w:fldChar w:fldCharType="separate"/>
      </w:r>
      <w:r>
        <w:rPr>
          <w:color w:val="000000" w:themeColor="text1"/>
        </w:rPr>
        <w:t>90</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"_Toc47375856" </w:instrText>
      </w:r>
      <w:r>
        <w:fldChar w:fldCharType="separate"/>
      </w:r>
      <w:r>
        <w:rPr>
          <w:rStyle w:val="46"/>
          <w:color w:val="000000" w:themeColor="text1"/>
        </w:rPr>
        <w:t>5.2.2</w:t>
      </w:r>
      <w:r>
        <w:rPr>
          <w:rStyle w:val="46"/>
          <w:rFonts w:hint="eastAsia"/>
          <w:color w:val="000000" w:themeColor="text1"/>
        </w:rPr>
        <w:t>施工期生活污水环境影响分析</w:t>
      </w:r>
      <w:r>
        <w:rPr>
          <w:color w:val="000000" w:themeColor="text1"/>
        </w:rPr>
        <w:tab/>
      </w:r>
      <w:r>
        <w:rPr>
          <w:color w:val="000000" w:themeColor="text1"/>
        </w:rPr>
        <w:fldChar w:fldCharType="begin"/>
      </w:r>
      <w:r>
        <w:rPr>
          <w:color w:val="000000" w:themeColor="text1"/>
        </w:rPr>
        <w:instrText xml:space="preserve"> PAGEREF _Toc47375856 \h </w:instrText>
      </w:r>
      <w:r>
        <w:rPr>
          <w:color w:val="000000" w:themeColor="text1"/>
        </w:rPr>
        <w:fldChar w:fldCharType="separate"/>
      </w:r>
      <w:r>
        <w:rPr>
          <w:color w:val="000000" w:themeColor="text1"/>
        </w:rPr>
        <w:t>90</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"_Toc47375857" </w:instrText>
      </w:r>
      <w:r>
        <w:fldChar w:fldCharType="separate"/>
      </w:r>
      <w:r>
        <w:rPr>
          <w:rStyle w:val="46"/>
          <w:color w:val="000000" w:themeColor="text1"/>
        </w:rPr>
        <w:t>5.3</w:t>
      </w:r>
      <w:r>
        <w:rPr>
          <w:rStyle w:val="46"/>
          <w:rFonts w:hint="eastAsia"/>
          <w:color w:val="000000" w:themeColor="text1"/>
        </w:rPr>
        <w:t>施工期声环境影响分析</w:t>
      </w:r>
      <w:r>
        <w:rPr>
          <w:color w:val="000000" w:themeColor="text1"/>
        </w:rPr>
        <w:tab/>
      </w:r>
      <w:r>
        <w:rPr>
          <w:color w:val="000000" w:themeColor="text1"/>
        </w:rPr>
        <w:fldChar w:fldCharType="begin"/>
      </w:r>
      <w:r>
        <w:rPr>
          <w:color w:val="000000" w:themeColor="text1"/>
        </w:rPr>
        <w:instrText xml:space="preserve"> PAGEREF _Toc47375857 \h </w:instrText>
      </w:r>
      <w:r>
        <w:rPr>
          <w:color w:val="000000" w:themeColor="text1"/>
        </w:rPr>
        <w:fldChar w:fldCharType="separate"/>
      </w:r>
      <w:r>
        <w:rPr>
          <w:color w:val="000000" w:themeColor="text1"/>
        </w:rPr>
        <w:t>90</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"_Toc47375858" </w:instrText>
      </w:r>
      <w:r>
        <w:fldChar w:fldCharType="separate"/>
      </w:r>
      <w:r>
        <w:rPr>
          <w:rStyle w:val="46"/>
          <w:color w:val="000000" w:themeColor="text1"/>
        </w:rPr>
        <w:t>5.4</w:t>
      </w:r>
      <w:r>
        <w:rPr>
          <w:rStyle w:val="46"/>
          <w:rFonts w:hint="eastAsia"/>
          <w:color w:val="000000" w:themeColor="text1"/>
        </w:rPr>
        <w:t>施工期固体废弃物影响分析</w:t>
      </w:r>
      <w:r>
        <w:rPr>
          <w:color w:val="000000" w:themeColor="text1"/>
        </w:rPr>
        <w:tab/>
      </w:r>
      <w:r>
        <w:rPr>
          <w:color w:val="000000" w:themeColor="text1"/>
        </w:rPr>
        <w:fldChar w:fldCharType="begin"/>
      </w:r>
      <w:r>
        <w:rPr>
          <w:color w:val="000000" w:themeColor="text1"/>
        </w:rPr>
        <w:instrText xml:space="preserve"> PAGEREF _Toc47375858 \h </w:instrText>
      </w:r>
      <w:r>
        <w:rPr>
          <w:color w:val="000000" w:themeColor="text1"/>
        </w:rPr>
        <w:fldChar w:fldCharType="separate"/>
      </w:r>
      <w:r>
        <w:rPr>
          <w:color w:val="000000" w:themeColor="text1"/>
        </w:rPr>
        <w:t>91</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"_Toc47375859" </w:instrText>
      </w:r>
      <w:r>
        <w:fldChar w:fldCharType="separate"/>
      </w:r>
      <w:r>
        <w:rPr>
          <w:rStyle w:val="46"/>
          <w:color w:val="000000" w:themeColor="text1"/>
        </w:rPr>
        <w:t>5.5</w:t>
      </w:r>
      <w:r>
        <w:rPr>
          <w:rStyle w:val="46"/>
          <w:rFonts w:hint="eastAsia"/>
          <w:color w:val="000000" w:themeColor="text1"/>
        </w:rPr>
        <w:t>施工期生态环境影响分析</w:t>
      </w:r>
      <w:r>
        <w:rPr>
          <w:color w:val="000000" w:themeColor="text1"/>
        </w:rPr>
        <w:tab/>
      </w:r>
      <w:r>
        <w:rPr>
          <w:color w:val="000000" w:themeColor="text1"/>
        </w:rPr>
        <w:fldChar w:fldCharType="begin"/>
      </w:r>
      <w:r>
        <w:rPr>
          <w:color w:val="000000" w:themeColor="text1"/>
        </w:rPr>
        <w:instrText xml:space="preserve"> PAGEREF _Toc47375859 \h </w:instrText>
      </w:r>
      <w:r>
        <w:rPr>
          <w:color w:val="000000" w:themeColor="text1"/>
        </w:rPr>
        <w:fldChar w:fldCharType="separate"/>
      </w:r>
      <w:r>
        <w:rPr>
          <w:color w:val="000000" w:themeColor="text1"/>
        </w:rPr>
        <w:t>92</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"_Toc47375860" </w:instrText>
      </w:r>
      <w:r>
        <w:fldChar w:fldCharType="separate"/>
      </w:r>
      <w:r>
        <w:rPr>
          <w:rStyle w:val="46"/>
          <w:color w:val="000000" w:themeColor="text1"/>
        </w:rPr>
        <w:t>5.6</w:t>
      </w:r>
      <w:r>
        <w:rPr>
          <w:rStyle w:val="46"/>
          <w:rFonts w:hint="eastAsia"/>
          <w:color w:val="000000" w:themeColor="text1"/>
        </w:rPr>
        <w:t>施工期社会环境影响分析</w:t>
      </w:r>
      <w:r>
        <w:rPr>
          <w:color w:val="000000" w:themeColor="text1"/>
        </w:rPr>
        <w:tab/>
      </w:r>
      <w:r>
        <w:rPr>
          <w:color w:val="000000" w:themeColor="text1"/>
        </w:rPr>
        <w:fldChar w:fldCharType="begin"/>
      </w:r>
      <w:r>
        <w:rPr>
          <w:color w:val="000000" w:themeColor="text1"/>
        </w:rPr>
        <w:instrText xml:space="preserve"> PAGEREF _Toc47375860 \h </w:instrText>
      </w:r>
      <w:r>
        <w:rPr>
          <w:color w:val="000000" w:themeColor="text1"/>
        </w:rPr>
        <w:fldChar w:fldCharType="separate"/>
      </w:r>
      <w:r>
        <w:rPr>
          <w:color w:val="000000" w:themeColor="text1"/>
        </w:rPr>
        <w:t>94</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"_Toc47375861" </w:instrText>
      </w:r>
      <w:r>
        <w:fldChar w:fldCharType="separate"/>
      </w:r>
      <w:r>
        <w:rPr>
          <w:rStyle w:val="46"/>
          <w:color w:val="000000" w:themeColor="text1"/>
        </w:rPr>
        <w:t>5.7</w:t>
      </w:r>
      <w:r>
        <w:rPr>
          <w:rStyle w:val="46"/>
          <w:rFonts w:hint="eastAsia"/>
          <w:color w:val="000000" w:themeColor="text1"/>
        </w:rPr>
        <w:t>施工对交通影响分析</w:t>
      </w:r>
      <w:r>
        <w:rPr>
          <w:color w:val="000000" w:themeColor="text1"/>
        </w:rPr>
        <w:tab/>
      </w:r>
      <w:r>
        <w:rPr>
          <w:color w:val="000000" w:themeColor="text1"/>
        </w:rPr>
        <w:fldChar w:fldCharType="begin"/>
      </w:r>
      <w:r>
        <w:rPr>
          <w:color w:val="000000" w:themeColor="text1"/>
        </w:rPr>
        <w:instrText xml:space="preserve"> PAGEREF _Toc47375861 \h </w:instrText>
      </w:r>
      <w:r>
        <w:rPr>
          <w:color w:val="000000" w:themeColor="text1"/>
        </w:rPr>
        <w:fldChar w:fldCharType="separate"/>
      </w:r>
      <w:r>
        <w:rPr>
          <w:color w:val="000000" w:themeColor="text1"/>
        </w:rPr>
        <w:t>94</w:t>
      </w:r>
      <w:r>
        <w:rPr>
          <w:color w:val="000000" w:themeColor="text1"/>
        </w:rPr>
        <w:fldChar w:fldCharType="end"/>
      </w:r>
      <w:r>
        <w:rPr>
          <w:color w:val="000000" w:themeColor="text1"/>
        </w:rPr>
        <w:fldChar w:fldCharType="end"/>
      </w:r>
    </w:p>
    <w:p>
      <w:pPr>
        <w:pStyle w:val="27"/>
        <w:tabs>
          <w:tab w:val="right" w:leader="dot" w:pos="8302"/>
        </w:tabs>
        <w:ind w:firstLine="480"/>
        <w:rPr>
          <w:rFonts w:asciiTheme="minorHAnsi" w:hAnsiTheme="minorHAnsi" w:eastAsiaTheme="minorEastAsia"/>
          <w:color w:val="000000" w:themeColor="text1"/>
          <w:sz w:val="21"/>
        </w:rPr>
      </w:pPr>
      <w:r>
        <w:fldChar w:fldCharType="begin"/>
      </w:r>
      <w:r>
        <w:instrText xml:space="preserve"> HYPERLINK \l "_Toc47375862" </w:instrText>
      </w:r>
      <w:r>
        <w:fldChar w:fldCharType="separate"/>
      </w:r>
      <w:r>
        <w:rPr>
          <w:rStyle w:val="46"/>
          <w:color w:val="000000" w:themeColor="text1"/>
        </w:rPr>
        <w:t>6.</w:t>
      </w:r>
      <w:r>
        <w:rPr>
          <w:rStyle w:val="46"/>
          <w:rFonts w:hint="eastAsia"/>
          <w:color w:val="000000" w:themeColor="text1"/>
        </w:rPr>
        <w:t>运营期环境影响分析及评价</w:t>
      </w:r>
      <w:r>
        <w:rPr>
          <w:color w:val="000000" w:themeColor="text1"/>
        </w:rPr>
        <w:tab/>
      </w:r>
      <w:r>
        <w:rPr>
          <w:color w:val="000000" w:themeColor="text1"/>
        </w:rPr>
        <w:fldChar w:fldCharType="begin"/>
      </w:r>
      <w:r>
        <w:rPr>
          <w:color w:val="000000" w:themeColor="text1"/>
        </w:rPr>
        <w:instrText xml:space="preserve"> PAGEREF _Toc47375862 \h </w:instrText>
      </w:r>
      <w:r>
        <w:rPr>
          <w:color w:val="000000" w:themeColor="text1"/>
        </w:rPr>
        <w:fldChar w:fldCharType="separate"/>
      </w:r>
      <w:r>
        <w:rPr>
          <w:color w:val="000000" w:themeColor="text1"/>
        </w:rPr>
        <w:t>96</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"_Toc47375863" </w:instrText>
      </w:r>
      <w:r>
        <w:fldChar w:fldCharType="separate"/>
      </w:r>
      <w:r>
        <w:rPr>
          <w:rStyle w:val="46"/>
          <w:color w:val="000000" w:themeColor="text1"/>
        </w:rPr>
        <w:t>6.1</w:t>
      </w:r>
      <w:r>
        <w:rPr>
          <w:rStyle w:val="46"/>
          <w:rFonts w:hint="eastAsia"/>
          <w:color w:val="000000" w:themeColor="text1"/>
        </w:rPr>
        <w:t>运营期大气环境影响分析及评价</w:t>
      </w:r>
      <w:r>
        <w:rPr>
          <w:color w:val="000000" w:themeColor="text1"/>
        </w:rPr>
        <w:tab/>
      </w:r>
      <w:r>
        <w:rPr>
          <w:color w:val="000000" w:themeColor="text1"/>
        </w:rPr>
        <w:fldChar w:fldCharType="begin"/>
      </w:r>
      <w:r>
        <w:rPr>
          <w:color w:val="000000" w:themeColor="text1"/>
        </w:rPr>
        <w:instrText xml:space="preserve"> PAGEREF _Toc47375863 \h </w:instrText>
      </w:r>
      <w:r>
        <w:rPr>
          <w:color w:val="000000" w:themeColor="text1"/>
        </w:rPr>
        <w:fldChar w:fldCharType="separate"/>
      </w:r>
      <w:r>
        <w:rPr>
          <w:color w:val="000000" w:themeColor="text1"/>
        </w:rPr>
        <w:t>96</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"_Toc47375864" </w:instrText>
      </w:r>
      <w:r>
        <w:fldChar w:fldCharType="separate"/>
      </w:r>
      <w:r>
        <w:rPr>
          <w:rStyle w:val="46"/>
          <w:color w:val="000000" w:themeColor="text1"/>
        </w:rPr>
        <w:t>6.1.1</w:t>
      </w:r>
      <w:r>
        <w:rPr>
          <w:rStyle w:val="46"/>
          <w:rFonts w:hint="eastAsia"/>
          <w:color w:val="000000" w:themeColor="text1"/>
        </w:rPr>
        <w:t>气象条件分析</w:t>
      </w:r>
      <w:r>
        <w:rPr>
          <w:color w:val="000000" w:themeColor="text1"/>
        </w:rPr>
        <w:tab/>
      </w:r>
      <w:r>
        <w:rPr>
          <w:color w:val="000000" w:themeColor="text1"/>
        </w:rPr>
        <w:fldChar w:fldCharType="begin"/>
      </w:r>
      <w:r>
        <w:rPr>
          <w:color w:val="000000" w:themeColor="text1"/>
        </w:rPr>
        <w:instrText xml:space="preserve"> PAGEREF _Toc47375864 \h </w:instrText>
      </w:r>
      <w:r>
        <w:rPr>
          <w:color w:val="000000" w:themeColor="text1"/>
        </w:rPr>
        <w:fldChar w:fldCharType="separate"/>
      </w:r>
      <w:r>
        <w:rPr>
          <w:color w:val="000000" w:themeColor="text1"/>
        </w:rPr>
        <w:t>96</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"_Toc47375865" </w:instrText>
      </w:r>
      <w:r>
        <w:fldChar w:fldCharType="separate"/>
      </w:r>
      <w:r>
        <w:rPr>
          <w:rStyle w:val="46"/>
          <w:color w:val="000000" w:themeColor="text1"/>
        </w:rPr>
        <w:t>6.1.2</w:t>
      </w:r>
      <w:r>
        <w:rPr>
          <w:rStyle w:val="46"/>
          <w:rFonts w:hint="eastAsia"/>
          <w:color w:val="000000" w:themeColor="text1"/>
        </w:rPr>
        <w:t>运营期废气源强及环境影响预估</w:t>
      </w:r>
      <w:r>
        <w:rPr>
          <w:color w:val="000000" w:themeColor="text1"/>
        </w:rPr>
        <w:tab/>
      </w:r>
      <w:r>
        <w:rPr>
          <w:color w:val="000000" w:themeColor="text1"/>
        </w:rPr>
        <w:fldChar w:fldCharType="begin"/>
      </w:r>
      <w:r>
        <w:rPr>
          <w:color w:val="000000" w:themeColor="text1"/>
        </w:rPr>
        <w:instrText xml:space="preserve"> PAGEREF _Toc47375865 \h </w:instrText>
      </w:r>
      <w:r>
        <w:rPr>
          <w:color w:val="000000" w:themeColor="text1"/>
        </w:rPr>
        <w:fldChar w:fldCharType="separate"/>
      </w:r>
      <w:r>
        <w:rPr>
          <w:color w:val="000000" w:themeColor="text1"/>
        </w:rPr>
        <w:t>101</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"_Toc47375866" </w:instrText>
      </w:r>
      <w:r>
        <w:fldChar w:fldCharType="separate"/>
      </w:r>
      <w:r>
        <w:rPr>
          <w:rStyle w:val="46"/>
          <w:color w:val="000000" w:themeColor="text1"/>
        </w:rPr>
        <w:t>6.1.3</w:t>
      </w:r>
      <w:r>
        <w:rPr>
          <w:rStyle w:val="46"/>
          <w:rFonts w:hint="eastAsia"/>
          <w:color w:val="000000" w:themeColor="text1"/>
        </w:rPr>
        <w:t>大气环境防护距离及卫生防护距离</w:t>
      </w:r>
      <w:r>
        <w:rPr>
          <w:color w:val="000000" w:themeColor="text1"/>
        </w:rPr>
        <w:tab/>
      </w:r>
      <w:r>
        <w:rPr>
          <w:color w:val="000000" w:themeColor="text1"/>
        </w:rPr>
        <w:fldChar w:fldCharType="begin"/>
      </w:r>
      <w:r>
        <w:rPr>
          <w:color w:val="000000" w:themeColor="text1"/>
        </w:rPr>
        <w:instrText xml:space="preserve"> PAGEREF _Toc47375866 \h </w:instrText>
      </w:r>
      <w:r>
        <w:rPr>
          <w:color w:val="000000" w:themeColor="text1"/>
        </w:rPr>
        <w:fldChar w:fldCharType="separate"/>
      </w:r>
      <w:r>
        <w:rPr>
          <w:color w:val="000000" w:themeColor="text1"/>
        </w:rPr>
        <w:t>114</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"_Toc47375867" </w:instrText>
      </w:r>
      <w:r>
        <w:fldChar w:fldCharType="separate"/>
      </w:r>
      <w:r>
        <w:rPr>
          <w:rStyle w:val="46"/>
          <w:color w:val="000000" w:themeColor="text1"/>
        </w:rPr>
        <w:t>6.1.4</w:t>
      </w:r>
      <w:r>
        <w:rPr>
          <w:rStyle w:val="46"/>
          <w:rFonts w:hint="eastAsia"/>
          <w:color w:val="000000" w:themeColor="text1"/>
        </w:rPr>
        <w:t>小结</w:t>
      </w:r>
      <w:r>
        <w:rPr>
          <w:color w:val="000000" w:themeColor="text1"/>
        </w:rPr>
        <w:tab/>
      </w:r>
      <w:r>
        <w:rPr>
          <w:color w:val="000000" w:themeColor="text1"/>
        </w:rPr>
        <w:fldChar w:fldCharType="begin"/>
      </w:r>
      <w:r>
        <w:rPr>
          <w:color w:val="000000" w:themeColor="text1"/>
        </w:rPr>
        <w:instrText xml:space="preserve"> PAGEREF _Toc47375867 \h </w:instrText>
      </w:r>
      <w:r>
        <w:rPr>
          <w:color w:val="000000" w:themeColor="text1"/>
        </w:rPr>
        <w:fldChar w:fldCharType="separate"/>
      </w:r>
      <w:r>
        <w:rPr>
          <w:color w:val="000000" w:themeColor="text1"/>
        </w:rPr>
        <w:t>114</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"_Toc47375868" </w:instrText>
      </w:r>
      <w:r>
        <w:fldChar w:fldCharType="separate"/>
      </w:r>
      <w:r>
        <w:rPr>
          <w:rStyle w:val="46"/>
          <w:color w:val="000000" w:themeColor="text1"/>
        </w:rPr>
        <w:t>6.2</w:t>
      </w:r>
      <w:r>
        <w:rPr>
          <w:rStyle w:val="46"/>
          <w:rFonts w:hint="eastAsia"/>
          <w:color w:val="000000" w:themeColor="text1"/>
        </w:rPr>
        <w:t>运营期水环境影响分析及评价</w:t>
      </w:r>
      <w:r>
        <w:rPr>
          <w:color w:val="000000" w:themeColor="text1"/>
        </w:rPr>
        <w:tab/>
      </w:r>
      <w:r>
        <w:rPr>
          <w:color w:val="000000" w:themeColor="text1"/>
        </w:rPr>
        <w:fldChar w:fldCharType="begin"/>
      </w:r>
      <w:r>
        <w:rPr>
          <w:color w:val="000000" w:themeColor="text1"/>
        </w:rPr>
        <w:instrText xml:space="preserve"> PAGEREF _Toc47375868 \h </w:instrText>
      </w:r>
      <w:r>
        <w:rPr>
          <w:color w:val="000000" w:themeColor="text1"/>
        </w:rPr>
        <w:fldChar w:fldCharType="separate"/>
      </w:r>
      <w:r>
        <w:rPr>
          <w:color w:val="000000" w:themeColor="text1"/>
        </w:rPr>
        <w:t>116</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"_Toc47375869" </w:instrText>
      </w:r>
      <w:r>
        <w:fldChar w:fldCharType="separate"/>
      </w:r>
      <w:r>
        <w:rPr>
          <w:rStyle w:val="46"/>
          <w:color w:val="000000" w:themeColor="text1"/>
        </w:rPr>
        <w:t>6.2.1</w:t>
      </w:r>
      <w:r>
        <w:rPr>
          <w:rStyle w:val="46"/>
          <w:rFonts w:hint="eastAsia"/>
          <w:color w:val="000000" w:themeColor="text1"/>
        </w:rPr>
        <w:t>地表水环境影响分析</w:t>
      </w:r>
      <w:r>
        <w:rPr>
          <w:color w:val="000000" w:themeColor="text1"/>
        </w:rPr>
        <w:tab/>
      </w:r>
      <w:r>
        <w:rPr>
          <w:color w:val="000000" w:themeColor="text1"/>
        </w:rPr>
        <w:fldChar w:fldCharType="begin"/>
      </w:r>
      <w:r>
        <w:rPr>
          <w:color w:val="000000" w:themeColor="text1"/>
        </w:rPr>
        <w:instrText xml:space="preserve"> PAGEREF _Toc47375869 \h </w:instrText>
      </w:r>
      <w:r>
        <w:rPr>
          <w:color w:val="000000" w:themeColor="text1"/>
        </w:rPr>
        <w:fldChar w:fldCharType="separate"/>
      </w:r>
      <w:r>
        <w:rPr>
          <w:color w:val="000000" w:themeColor="text1"/>
        </w:rPr>
        <w:t>116</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"_Toc47375870" </w:instrText>
      </w:r>
      <w:r>
        <w:fldChar w:fldCharType="separate"/>
      </w:r>
      <w:r>
        <w:rPr>
          <w:rStyle w:val="46"/>
          <w:color w:val="000000" w:themeColor="text1"/>
        </w:rPr>
        <w:t>6.2.2</w:t>
      </w:r>
      <w:r>
        <w:rPr>
          <w:rStyle w:val="46"/>
          <w:rFonts w:hint="eastAsia"/>
          <w:color w:val="000000" w:themeColor="text1"/>
        </w:rPr>
        <w:t>地下水环境影响预测与评价</w:t>
      </w:r>
      <w:r>
        <w:rPr>
          <w:color w:val="000000" w:themeColor="text1"/>
        </w:rPr>
        <w:tab/>
      </w:r>
      <w:r>
        <w:rPr>
          <w:color w:val="000000" w:themeColor="text1"/>
        </w:rPr>
        <w:fldChar w:fldCharType="begin"/>
      </w:r>
      <w:r>
        <w:rPr>
          <w:color w:val="000000" w:themeColor="text1"/>
        </w:rPr>
        <w:instrText xml:space="preserve"> PAGEREF _Toc47375870 \h </w:instrText>
      </w:r>
      <w:r>
        <w:rPr>
          <w:color w:val="000000" w:themeColor="text1"/>
        </w:rPr>
        <w:fldChar w:fldCharType="separate"/>
      </w:r>
      <w:r>
        <w:rPr>
          <w:color w:val="000000" w:themeColor="text1"/>
        </w:rPr>
        <w:t>121</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"_Toc47375871" </w:instrText>
      </w:r>
      <w:r>
        <w:fldChar w:fldCharType="separate"/>
      </w:r>
      <w:r>
        <w:rPr>
          <w:rStyle w:val="46"/>
          <w:color w:val="000000" w:themeColor="text1"/>
        </w:rPr>
        <w:t>6.3</w:t>
      </w:r>
      <w:r>
        <w:rPr>
          <w:rStyle w:val="46"/>
          <w:rFonts w:hint="eastAsia"/>
          <w:color w:val="000000" w:themeColor="text1"/>
        </w:rPr>
        <w:t>运营期声环境影响分析与评价</w:t>
      </w:r>
      <w:r>
        <w:rPr>
          <w:color w:val="000000" w:themeColor="text1"/>
        </w:rPr>
        <w:tab/>
      </w:r>
      <w:r>
        <w:rPr>
          <w:color w:val="000000" w:themeColor="text1"/>
        </w:rPr>
        <w:fldChar w:fldCharType="begin"/>
      </w:r>
      <w:r>
        <w:rPr>
          <w:color w:val="000000" w:themeColor="text1"/>
        </w:rPr>
        <w:instrText xml:space="preserve"> PAGEREF _Toc47375871 \h </w:instrText>
      </w:r>
      <w:r>
        <w:rPr>
          <w:color w:val="000000" w:themeColor="text1"/>
        </w:rPr>
        <w:fldChar w:fldCharType="separate"/>
      </w:r>
      <w:r>
        <w:rPr>
          <w:color w:val="000000" w:themeColor="text1"/>
        </w:rPr>
        <w:t>132</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"_Toc47375872" </w:instrText>
      </w:r>
      <w:r>
        <w:fldChar w:fldCharType="separate"/>
      </w:r>
      <w:r>
        <w:rPr>
          <w:rStyle w:val="46"/>
          <w:color w:val="000000" w:themeColor="text1"/>
        </w:rPr>
        <w:t>6.3.1</w:t>
      </w:r>
      <w:r>
        <w:rPr>
          <w:rStyle w:val="46"/>
          <w:rFonts w:hint="eastAsia"/>
          <w:color w:val="000000" w:themeColor="text1"/>
        </w:rPr>
        <w:t>噪声源分析</w:t>
      </w:r>
      <w:r>
        <w:rPr>
          <w:color w:val="000000" w:themeColor="text1"/>
        </w:rPr>
        <w:tab/>
      </w:r>
      <w:r>
        <w:rPr>
          <w:color w:val="000000" w:themeColor="text1"/>
        </w:rPr>
        <w:fldChar w:fldCharType="begin"/>
      </w:r>
      <w:r>
        <w:rPr>
          <w:color w:val="000000" w:themeColor="text1"/>
        </w:rPr>
        <w:instrText xml:space="preserve"> PAGEREF _Toc47375872 \h </w:instrText>
      </w:r>
      <w:r>
        <w:rPr>
          <w:color w:val="000000" w:themeColor="text1"/>
        </w:rPr>
        <w:fldChar w:fldCharType="separate"/>
      </w:r>
      <w:r>
        <w:rPr>
          <w:color w:val="000000" w:themeColor="text1"/>
        </w:rPr>
        <w:t>132</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"_Toc47375873" </w:instrText>
      </w:r>
      <w:r>
        <w:fldChar w:fldCharType="separate"/>
      </w:r>
      <w:r>
        <w:rPr>
          <w:rStyle w:val="46"/>
          <w:color w:val="000000" w:themeColor="text1"/>
        </w:rPr>
        <w:t>6.3.2</w:t>
      </w:r>
      <w:r>
        <w:rPr>
          <w:rStyle w:val="46"/>
          <w:rFonts w:hint="eastAsia"/>
          <w:color w:val="000000" w:themeColor="text1"/>
        </w:rPr>
        <w:t>噪声影响预测与评价</w:t>
      </w:r>
      <w:r>
        <w:rPr>
          <w:color w:val="000000" w:themeColor="text1"/>
        </w:rPr>
        <w:tab/>
      </w:r>
      <w:r>
        <w:rPr>
          <w:color w:val="000000" w:themeColor="text1"/>
        </w:rPr>
        <w:fldChar w:fldCharType="begin"/>
      </w:r>
      <w:r>
        <w:rPr>
          <w:color w:val="000000" w:themeColor="text1"/>
        </w:rPr>
        <w:instrText xml:space="preserve"> PAGEREF _Toc47375873 \h </w:instrText>
      </w:r>
      <w:r>
        <w:rPr>
          <w:color w:val="000000" w:themeColor="text1"/>
        </w:rPr>
        <w:fldChar w:fldCharType="separate"/>
      </w:r>
      <w:r>
        <w:rPr>
          <w:color w:val="000000" w:themeColor="text1"/>
        </w:rPr>
        <w:t>132</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"_Toc47375874" </w:instrText>
      </w:r>
      <w:r>
        <w:fldChar w:fldCharType="separate"/>
      </w:r>
      <w:r>
        <w:rPr>
          <w:rStyle w:val="46"/>
          <w:color w:val="000000" w:themeColor="text1"/>
        </w:rPr>
        <w:t>6.3.3</w:t>
      </w:r>
      <w:r>
        <w:rPr>
          <w:rStyle w:val="46"/>
          <w:rFonts w:hint="eastAsia"/>
          <w:color w:val="000000" w:themeColor="text1"/>
        </w:rPr>
        <w:t>防治措施</w:t>
      </w:r>
      <w:r>
        <w:rPr>
          <w:color w:val="000000" w:themeColor="text1"/>
        </w:rPr>
        <w:tab/>
      </w:r>
      <w:r>
        <w:rPr>
          <w:color w:val="000000" w:themeColor="text1"/>
        </w:rPr>
        <w:fldChar w:fldCharType="begin"/>
      </w:r>
      <w:r>
        <w:rPr>
          <w:color w:val="000000" w:themeColor="text1"/>
        </w:rPr>
        <w:instrText xml:space="preserve"> PAGEREF _Toc47375874 \h </w:instrText>
      </w:r>
      <w:r>
        <w:rPr>
          <w:color w:val="000000" w:themeColor="text1"/>
        </w:rPr>
        <w:fldChar w:fldCharType="separate"/>
      </w:r>
      <w:r>
        <w:rPr>
          <w:color w:val="000000" w:themeColor="text1"/>
        </w:rPr>
        <w:t>134</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"_Toc47375875" </w:instrText>
      </w:r>
      <w:r>
        <w:fldChar w:fldCharType="separate"/>
      </w:r>
      <w:r>
        <w:rPr>
          <w:rStyle w:val="46"/>
          <w:color w:val="000000" w:themeColor="text1"/>
        </w:rPr>
        <w:t>6.4</w:t>
      </w:r>
      <w:r>
        <w:rPr>
          <w:rStyle w:val="46"/>
          <w:rFonts w:hint="eastAsia"/>
          <w:color w:val="000000" w:themeColor="text1"/>
        </w:rPr>
        <w:t>运营期固体废物环境影响分析</w:t>
      </w:r>
      <w:r>
        <w:rPr>
          <w:color w:val="000000" w:themeColor="text1"/>
        </w:rPr>
        <w:tab/>
      </w:r>
      <w:r>
        <w:rPr>
          <w:color w:val="000000" w:themeColor="text1"/>
        </w:rPr>
        <w:fldChar w:fldCharType="begin"/>
      </w:r>
      <w:r>
        <w:rPr>
          <w:color w:val="000000" w:themeColor="text1"/>
        </w:rPr>
        <w:instrText xml:space="preserve"> PAGEREF _Toc47375875 \h </w:instrText>
      </w:r>
      <w:r>
        <w:rPr>
          <w:color w:val="000000" w:themeColor="text1"/>
        </w:rPr>
        <w:fldChar w:fldCharType="separate"/>
      </w:r>
      <w:r>
        <w:rPr>
          <w:color w:val="000000" w:themeColor="text1"/>
        </w:rPr>
        <w:t>135</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"_Toc47375876" </w:instrText>
      </w:r>
      <w:r>
        <w:fldChar w:fldCharType="separate"/>
      </w:r>
      <w:r>
        <w:rPr>
          <w:rStyle w:val="46"/>
          <w:color w:val="000000" w:themeColor="text1"/>
        </w:rPr>
        <w:t>6.5</w:t>
      </w:r>
      <w:r>
        <w:rPr>
          <w:rStyle w:val="46"/>
          <w:rFonts w:hint="eastAsia"/>
          <w:color w:val="000000" w:themeColor="text1"/>
        </w:rPr>
        <w:t>环境风险分析</w:t>
      </w:r>
      <w:r>
        <w:rPr>
          <w:color w:val="000000" w:themeColor="text1"/>
        </w:rPr>
        <w:tab/>
      </w:r>
      <w:r>
        <w:rPr>
          <w:color w:val="000000" w:themeColor="text1"/>
        </w:rPr>
        <w:fldChar w:fldCharType="begin"/>
      </w:r>
      <w:r>
        <w:rPr>
          <w:color w:val="000000" w:themeColor="text1"/>
        </w:rPr>
        <w:instrText xml:space="preserve"> PAGEREF _Toc47375876 \h </w:instrText>
      </w:r>
      <w:r>
        <w:rPr>
          <w:color w:val="000000" w:themeColor="text1"/>
        </w:rPr>
        <w:fldChar w:fldCharType="separate"/>
      </w:r>
      <w:r>
        <w:rPr>
          <w:color w:val="000000" w:themeColor="text1"/>
        </w:rPr>
        <w:t>137</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"_Toc47375877" </w:instrText>
      </w:r>
      <w:r>
        <w:fldChar w:fldCharType="separate"/>
      </w:r>
      <w:r>
        <w:rPr>
          <w:rStyle w:val="46"/>
          <w:color w:val="000000" w:themeColor="text1"/>
        </w:rPr>
        <w:t>6.5.1</w:t>
      </w:r>
      <w:r>
        <w:rPr>
          <w:rStyle w:val="46"/>
          <w:rFonts w:hint="eastAsia"/>
          <w:color w:val="000000" w:themeColor="text1"/>
        </w:rPr>
        <w:t>风险调查</w:t>
      </w:r>
      <w:r>
        <w:rPr>
          <w:color w:val="000000" w:themeColor="text1"/>
        </w:rPr>
        <w:tab/>
      </w:r>
      <w:r>
        <w:rPr>
          <w:color w:val="000000" w:themeColor="text1"/>
        </w:rPr>
        <w:fldChar w:fldCharType="begin"/>
      </w:r>
      <w:r>
        <w:rPr>
          <w:color w:val="000000" w:themeColor="text1"/>
        </w:rPr>
        <w:instrText xml:space="preserve"> PAGEREF _Toc47375877 \h </w:instrText>
      </w:r>
      <w:r>
        <w:rPr>
          <w:color w:val="000000" w:themeColor="text1"/>
        </w:rPr>
        <w:fldChar w:fldCharType="separate"/>
      </w:r>
      <w:r>
        <w:rPr>
          <w:color w:val="000000" w:themeColor="text1"/>
        </w:rPr>
        <w:t>137</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"_Toc47375878" </w:instrText>
      </w:r>
      <w:r>
        <w:fldChar w:fldCharType="separate"/>
      </w:r>
      <w:r>
        <w:rPr>
          <w:rStyle w:val="46"/>
          <w:color w:val="000000" w:themeColor="text1"/>
        </w:rPr>
        <w:t>6.5.2</w:t>
      </w:r>
      <w:r>
        <w:rPr>
          <w:rStyle w:val="46"/>
          <w:rFonts w:hint="eastAsia"/>
          <w:color w:val="000000" w:themeColor="text1"/>
        </w:rPr>
        <w:t>环境风险识别</w:t>
      </w:r>
      <w:r>
        <w:rPr>
          <w:color w:val="000000" w:themeColor="text1"/>
        </w:rPr>
        <w:tab/>
      </w:r>
      <w:r>
        <w:rPr>
          <w:color w:val="000000" w:themeColor="text1"/>
        </w:rPr>
        <w:fldChar w:fldCharType="begin"/>
      </w:r>
      <w:r>
        <w:rPr>
          <w:color w:val="000000" w:themeColor="text1"/>
        </w:rPr>
        <w:instrText xml:space="preserve"> PAGEREF _Toc47375878 \h </w:instrText>
      </w:r>
      <w:r>
        <w:rPr>
          <w:color w:val="000000" w:themeColor="text1"/>
        </w:rPr>
        <w:fldChar w:fldCharType="separate"/>
      </w:r>
      <w:r>
        <w:rPr>
          <w:color w:val="000000" w:themeColor="text1"/>
        </w:rPr>
        <w:t>139</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"_Toc47375879" </w:instrText>
      </w:r>
      <w:r>
        <w:fldChar w:fldCharType="separate"/>
      </w:r>
      <w:r>
        <w:rPr>
          <w:rStyle w:val="46"/>
          <w:color w:val="000000" w:themeColor="text1"/>
        </w:rPr>
        <w:t>6.5.3</w:t>
      </w:r>
      <w:r>
        <w:rPr>
          <w:rStyle w:val="46"/>
          <w:rFonts w:hint="eastAsia"/>
          <w:color w:val="000000" w:themeColor="text1"/>
        </w:rPr>
        <w:t>环境风险防范措施</w:t>
      </w:r>
      <w:r>
        <w:rPr>
          <w:color w:val="000000" w:themeColor="text1"/>
        </w:rPr>
        <w:tab/>
      </w:r>
      <w:r>
        <w:rPr>
          <w:color w:val="000000" w:themeColor="text1"/>
        </w:rPr>
        <w:fldChar w:fldCharType="begin"/>
      </w:r>
      <w:r>
        <w:rPr>
          <w:color w:val="000000" w:themeColor="text1"/>
        </w:rPr>
        <w:instrText xml:space="preserve"> PAGEREF _Toc47375879 \h </w:instrText>
      </w:r>
      <w:r>
        <w:rPr>
          <w:color w:val="000000" w:themeColor="text1"/>
        </w:rPr>
        <w:fldChar w:fldCharType="separate"/>
      </w:r>
      <w:r>
        <w:rPr>
          <w:color w:val="000000" w:themeColor="text1"/>
        </w:rPr>
        <w:t>142</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"_Toc47375880" </w:instrText>
      </w:r>
      <w:r>
        <w:fldChar w:fldCharType="separate"/>
      </w:r>
      <w:r>
        <w:rPr>
          <w:rStyle w:val="46"/>
          <w:color w:val="000000" w:themeColor="text1"/>
        </w:rPr>
        <w:t>6.5.4</w:t>
      </w:r>
      <w:r>
        <w:rPr>
          <w:rStyle w:val="46"/>
          <w:rFonts w:hint="eastAsia"/>
          <w:color w:val="000000" w:themeColor="text1"/>
        </w:rPr>
        <w:t>应急预案</w:t>
      </w:r>
      <w:r>
        <w:rPr>
          <w:color w:val="000000" w:themeColor="text1"/>
        </w:rPr>
        <w:tab/>
      </w:r>
      <w:r>
        <w:rPr>
          <w:color w:val="000000" w:themeColor="text1"/>
        </w:rPr>
        <w:fldChar w:fldCharType="begin"/>
      </w:r>
      <w:r>
        <w:rPr>
          <w:color w:val="000000" w:themeColor="text1"/>
        </w:rPr>
        <w:instrText xml:space="preserve"> PAGEREF _Toc47375880 \h </w:instrText>
      </w:r>
      <w:r>
        <w:rPr>
          <w:color w:val="000000" w:themeColor="text1"/>
        </w:rPr>
        <w:fldChar w:fldCharType="separate"/>
      </w:r>
      <w:r>
        <w:rPr>
          <w:color w:val="000000" w:themeColor="text1"/>
        </w:rPr>
        <w:t>146</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"_Toc47375881" </w:instrText>
      </w:r>
      <w:r>
        <w:fldChar w:fldCharType="separate"/>
      </w:r>
      <w:r>
        <w:rPr>
          <w:rStyle w:val="46"/>
          <w:color w:val="000000" w:themeColor="text1"/>
        </w:rPr>
        <w:t>6.5.5</w:t>
      </w:r>
      <w:r>
        <w:rPr>
          <w:rStyle w:val="46"/>
          <w:rFonts w:hint="eastAsia"/>
          <w:color w:val="000000" w:themeColor="text1"/>
        </w:rPr>
        <w:t>分析结论</w:t>
      </w:r>
      <w:r>
        <w:rPr>
          <w:color w:val="000000" w:themeColor="text1"/>
        </w:rPr>
        <w:tab/>
      </w:r>
      <w:r>
        <w:rPr>
          <w:color w:val="000000" w:themeColor="text1"/>
        </w:rPr>
        <w:fldChar w:fldCharType="begin"/>
      </w:r>
      <w:r>
        <w:rPr>
          <w:color w:val="000000" w:themeColor="text1"/>
        </w:rPr>
        <w:instrText xml:space="preserve"> PAGEREF _Toc47375881 \h </w:instrText>
      </w:r>
      <w:r>
        <w:rPr>
          <w:color w:val="000000" w:themeColor="text1"/>
        </w:rPr>
        <w:fldChar w:fldCharType="separate"/>
      </w:r>
      <w:r>
        <w:rPr>
          <w:color w:val="000000" w:themeColor="text1"/>
        </w:rPr>
        <w:t>149</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"_Toc47375882" </w:instrText>
      </w:r>
      <w:r>
        <w:fldChar w:fldCharType="separate"/>
      </w:r>
      <w:r>
        <w:rPr>
          <w:rStyle w:val="46"/>
          <w:color w:val="000000" w:themeColor="text1"/>
          <w:kern w:val="0"/>
        </w:rPr>
        <w:t>6.6</w:t>
      </w:r>
      <w:r>
        <w:rPr>
          <w:rStyle w:val="46"/>
          <w:rFonts w:hint="eastAsia"/>
          <w:color w:val="000000" w:themeColor="text1"/>
          <w:kern w:val="0"/>
        </w:rPr>
        <w:t>土壤环境影响评价</w:t>
      </w:r>
      <w:r>
        <w:rPr>
          <w:color w:val="000000" w:themeColor="text1"/>
        </w:rPr>
        <w:tab/>
      </w:r>
      <w:r>
        <w:rPr>
          <w:color w:val="000000" w:themeColor="text1"/>
        </w:rPr>
        <w:fldChar w:fldCharType="begin"/>
      </w:r>
      <w:r>
        <w:rPr>
          <w:color w:val="000000" w:themeColor="text1"/>
        </w:rPr>
        <w:instrText xml:space="preserve"> PAGEREF _Toc47375882 \h </w:instrText>
      </w:r>
      <w:r>
        <w:rPr>
          <w:color w:val="000000" w:themeColor="text1"/>
        </w:rPr>
        <w:fldChar w:fldCharType="separate"/>
      </w:r>
      <w:r>
        <w:rPr>
          <w:color w:val="000000" w:themeColor="text1"/>
        </w:rPr>
        <w:t>151</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"_Toc47375883" </w:instrText>
      </w:r>
      <w:r>
        <w:fldChar w:fldCharType="separate"/>
      </w:r>
      <w:r>
        <w:rPr>
          <w:rStyle w:val="46"/>
          <w:color w:val="000000" w:themeColor="text1"/>
          <w:kern w:val="0"/>
        </w:rPr>
        <w:t>6.6.1</w:t>
      </w:r>
      <w:r>
        <w:rPr>
          <w:rStyle w:val="46"/>
          <w:rFonts w:hint="eastAsia"/>
          <w:color w:val="000000" w:themeColor="text1"/>
          <w:kern w:val="0"/>
        </w:rPr>
        <w:t>土壤环境影响评价等级判定</w:t>
      </w:r>
      <w:r>
        <w:rPr>
          <w:color w:val="000000" w:themeColor="text1"/>
        </w:rPr>
        <w:tab/>
      </w:r>
      <w:r>
        <w:rPr>
          <w:color w:val="000000" w:themeColor="text1"/>
        </w:rPr>
        <w:fldChar w:fldCharType="begin"/>
      </w:r>
      <w:r>
        <w:rPr>
          <w:color w:val="000000" w:themeColor="text1"/>
        </w:rPr>
        <w:instrText xml:space="preserve"> PAGEREF _Toc47375883 \h </w:instrText>
      </w:r>
      <w:r>
        <w:rPr>
          <w:color w:val="000000" w:themeColor="text1"/>
        </w:rPr>
        <w:fldChar w:fldCharType="separate"/>
      </w:r>
      <w:r>
        <w:rPr>
          <w:color w:val="000000" w:themeColor="text1"/>
        </w:rPr>
        <w:t>151</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"_Toc47375884" </w:instrText>
      </w:r>
      <w:r>
        <w:fldChar w:fldCharType="separate"/>
      </w:r>
      <w:r>
        <w:rPr>
          <w:rStyle w:val="46"/>
          <w:color w:val="000000" w:themeColor="text1"/>
          <w:kern w:val="0"/>
        </w:rPr>
        <w:t>6.6.2</w:t>
      </w:r>
      <w:r>
        <w:rPr>
          <w:rStyle w:val="46"/>
          <w:rFonts w:hint="eastAsia"/>
          <w:color w:val="000000" w:themeColor="text1"/>
          <w:kern w:val="0"/>
        </w:rPr>
        <w:t>土壤影响</w:t>
      </w:r>
      <w:r>
        <w:rPr>
          <w:color w:val="000000" w:themeColor="text1"/>
        </w:rPr>
        <w:tab/>
      </w:r>
      <w:r>
        <w:rPr>
          <w:color w:val="000000" w:themeColor="text1"/>
        </w:rPr>
        <w:fldChar w:fldCharType="begin"/>
      </w:r>
      <w:r>
        <w:rPr>
          <w:color w:val="000000" w:themeColor="text1"/>
        </w:rPr>
        <w:instrText xml:space="preserve"> PAGEREF _Toc47375884 \h </w:instrText>
      </w:r>
      <w:r>
        <w:rPr>
          <w:color w:val="000000" w:themeColor="text1"/>
        </w:rPr>
        <w:fldChar w:fldCharType="separate"/>
      </w:r>
      <w:r>
        <w:rPr>
          <w:color w:val="000000" w:themeColor="text1"/>
        </w:rPr>
        <w:t>151</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"_Toc47375885" </w:instrText>
      </w:r>
      <w:r>
        <w:fldChar w:fldCharType="separate"/>
      </w:r>
      <w:r>
        <w:rPr>
          <w:rStyle w:val="46"/>
          <w:color w:val="000000" w:themeColor="text1"/>
          <w:kern w:val="0"/>
        </w:rPr>
        <w:t>6.6.3</w:t>
      </w:r>
      <w:r>
        <w:rPr>
          <w:rStyle w:val="46"/>
          <w:rFonts w:hint="eastAsia"/>
          <w:color w:val="000000" w:themeColor="text1"/>
          <w:kern w:val="0"/>
        </w:rPr>
        <w:t>防止土壤污染的措施</w:t>
      </w:r>
      <w:r>
        <w:rPr>
          <w:color w:val="000000" w:themeColor="text1"/>
        </w:rPr>
        <w:tab/>
      </w:r>
      <w:r>
        <w:rPr>
          <w:color w:val="000000" w:themeColor="text1"/>
        </w:rPr>
        <w:fldChar w:fldCharType="begin"/>
      </w:r>
      <w:r>
        <w:rPr>
          <w:color w:val="000000" w:themeColor="text1"/>
        </w:rPr>
        <w:instrText xml:space="preserve"> PAGEREF _Toc47375885 \h </w:instrText>
      </w:r>
      <w:r>
        <w:rPr>
          <w:color w:val="000000" w:themeColor="text1"/>
        </w:rPr>
        <w:fldChar w:fldCharType="separate"/>
      </w:r>
      <w:r>
        <w:rPr>
          <w:color w:val="000000" w:themeColor="text1"/>
        </w:rPr>
        <w:t>151</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"_Toc47375886" </w:instrText>
      </w:r>
      <w:r>
        <w:fldChar w:fldCharType="separate"/>
      </w:r>
      <w:r>
        <w:rPr>
          <w:rStyle w:val="46"/>
          <w:color w:val="000000" w:themeColor="text1"/>
          <w:kern w:val="0"/>
        </w:rPr>
        <w:t>6.7</w:t>
      </w:r>
      <w:r>
        <w:rPr>
          <w:rStyle w:val="46"/>
          <w:rFonts w:hint="eastAsia"/>
          <w:color w:val="000000" w:themeColor="text1"/>
          <w:kern w:val="0"/>
        </w:rPr>
        <w:t>生态环境影响评价</w:t>
      </w:r>
      <w:r>
        <w:rPr>
          <w:color w:val="000000" w:themeColor="text1"/>
        </w:rPr>
        <w:tab/>
      </w:r>
      <w:r>
        <w:rPr>
          <w:color w:val="000000" w:themeColor="text1"/>
        </w:rPr>
        <w:fldChar w:fldCharType="begin"/>
      </w:r>
      <w:r>
        <w:rPr>
          <w:color w:val="000000" w:themeColor="text1"/>
        </w:rPr>
        <w:instrText xml:space="preserve"> PAGEREF _Toc47375886 \h </w:instrText>
      </w:r>
      <w:r>
        <w:rPr>
          <w:color w:val="000000" w:themeColor="text1"/>
        </w:rPr>
        <w:fldChar w:fldCharType="separate"/>
      </w:r>
      <w:r>
        <w:rPr>
          <w:color w:val="000000" w:themeColor="text1"/>
        </w:rPr>
        <w:t>152</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"_Toc47375887" </w:instrText>
      </w:r>
      <w:r>
        <w:fldChar w:fldCharType="separate"/>
      </w:r>
      <w:r>
        <w:rPr>
          <w:rStyle w:val="46"/>
          <w:color w:val="000000" w:themeColor="text1"/>
        </w:rPr>
        <w:t>6.7.1</w:t>
      </w:r>
      <w:r>
        <w:rPr>
          <w:rStyle w:val="46"/>
          <w:rFonts w:hint="eastAsia"/>
          <w:color w:val="000000" w:themeColor="text1"/>
        </w:rPr>
        <w:t>生态影响分析</w:t>
      </w:r>
      <w:r>
        <w:rPr>
          <w:color w:val="000000" w:themeColor="text1"/>
        </w:rPr>
        <w:tab/>
      </w:r>
      <w:r>
        <w:rPr>
          <w:color w:val="000000" w:themeColor="text1"/>
        </w:rPr>
        <w:fldChar w:fldCharType="begin"/>
      </w:r>
      <w:r>
        <w:rPr>
          <w:color w:val="000000" w:themeColor="text1"/>
        </w:rPr>
        <w:instrText xml:space="preserve"> PAGEREF _Toc47375887 \h </w:instrText>
      </w:r>
      <w:r>
        <w:rPr>
          <w:color w:val="000000" w:themeColor="text1"/>
        </w:rPr>
        <w:fldChar w:fldCharType="separate"/>
      </w:r>
      <w:r>
        <w:rPr>
          <w:color w:val="000000" w:themeColor="text1"/>
        </w:rPr>
        <w:t>152</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"_Toc47375888" </w:instrText>
      </w:r>
      <w:r>
        <w:fldChar w:fldCharType="separate"/>
      </w:r>
      <w:r>
        <w:rPr>
          <w:rStyle w:val="46"/>
          <w:color w:val="000000" w:themeColor="text1"/>
        </w:rPr>
        <w:t>6.7.2</w:t>
      </w:r>
      <w:r>
        <w:rPr>
          <w:rStyle w:val="46"/>
          <w:rFonts w:hint="eastAsia"/>
          <w:color w:val="000000" w:themeColor="text1"/>
        </w:rPr>
        <w:t>生态环境保护措施</w:t>
      </w:r>
      <w:r>
        <w:rPr>
          <w:color w:val="000000" w:themeColor="text1"/>
        </w:rPr>
        <w:tab/>
      </w:r>
      <w:r>
        <w:rPr>
          <w:color w:val="000000" w:themeColor="text1"/>
        </w:rPr>
        <w:fldChar w:fldCharType="begin"/>
      </w:r>
      <w:r>
        <w:rPr>
          <w:color w:val="000000" w:themeColor="text1"/>
        </w:rPr>
        <w:instrText xml:space="preserve"> PAGEREF _Toc47375888 \h </w:instrText>
      </w:r>
      <w:r>
        <w:rPr>
          <w:color w:val="000000" w:themeColor="text1"/>
        </w:rPr>
        <w:fldChar w:fldCharType="separate"/>
      </w:r>
      <w:r>
        <w:rPr>
          <w:color w:val="000000" w:themeColor="text1"/>
        </w:rPr>
        <w:t>153</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"_Toc47375889" </w:instrText>
      </w:r>
      <w:r>
        <w:fldChar w:fldCharType="separate"/>
      </w:r>
      <w:r>
        <w:rPr>
          <w:rStyle w:val="46"/>
          <w:color w:val="000000" w:themeColor="text1"/>
        </w:rPr>
        <w:t>6.7.3</w:t>
      </w:r>
      <w:r>
        <w:rPr>
          <w:rStyle w:val="46"/>
          <w:rFonts w:hint="eastAsia"/>
          <w:color w:val="000000" w:themeColor="text1"/>
        </w:rPr>
        <w:t>结论</w:t>
      </w:r>
      <w:r>
        <w:rPr>
          <w:color w:val="000000" w:themeColor="text1"/>
        </w:rPr>
        <w:tab/>
      </w:r>
      <w:r>
        <w:rPr>
          <w:color w:val="000000" w:themeColor="text1"/>
        </w:rPr>
        <w:fldChar w:fldCharType="begin"/>
      </w:r>
      <w:r>
        <w:rPr>
          <w:color w:val="000000" w:themeColor="text1"/>
        </w:rPr>
        <w:instrText xml:space="preserve"> PAGEREF _Toc47375889 \h </w:instrText>
      </w:r>
      <w:r>
        <w:rPr>
          <w:color w:val="000000" w:themeColor="text1"/>
        </w:rPr>
        <w:fldChar w:fldCharType="separate"/>
      </w:r>
      <w:r>
        <w:rPr>
          <w:color w:val="000000" w:themeColor="text1"/>
        </w:rPr>
        <w:t>153</w:t>
      </w:r>
      <w:r>
        <w:rPr>
          <w:color w:val="000000" w:themeColor="text1"/>
        </w:rPr>
        <w:fldChar w:fldCharType="end"/>
      </w:r>
      <w:r>
        <w:rPr>
          <w:color w:val="000000" w:themeColor="text1"/>
        </w:rPr>
        <w:fldChar w:fldCharType="end"/>
      </w:r>
    </w:p>
    <w:p>
      <w:pPr>
        <w:pStyle w:val="27"/>
        <w:tabs>
          <w:tab w:val="right" w:leader="dot" w:pos="8302"/>
        </w:tabs>
        <w:ind w:firstLine="480"/>
        <w:rPr>
          <w:rFonts w:asciiTheme="minorHAnsi" w:hAnsiTheme="minorHAnsi" w:eastAsiaTheme="minorEastAsia"/>
          <w:color w:val="000000" w:themeColor="text1"/>
          <w:sz w:val="21"/>
        </w:rPr>
      </w:pPr>
      <w:r>
        <w:fldChar w:fldCharType="begin"/>
      </w:r>
      <w:r>
        <w:instrText xml:space="preserve"> HYPERLINK \l "_Toc47375890" </w:instrText>
      </w:r>
      <w:r>
        <w:fldChar w:fldCharType="separate"/>
      </w:r>
      <w:r>
        <w:rPr>
          <w:rStyle w:val="46"/>
          <w:color w:val="000000" w:themeColor="text1"/>
          <w:kern w:val="0"/>
        </w:rPr>
        <w:t>7.</w:t>
      </w:r>
      <w:r>
        <w:rPr>
          <w:rStyle w:val="46"/>
          <w:rFonts w:hint="eastAsia"/>
          <w:color w:val="000000" w:themeColor="text1"/>
          <w:kern w:val="0"/>
        </w:rPr>
        <w:t>污染防治措施及总量控制</w:t>
      </w:r>
      <w:r>
        <w:rPr>
          <w:color w:val="000000" w:themeColor="text1"/>
        </w:rPr>
        <w:tab/>
      </w:r>
      <w:r>
        <w:rPr>
          <w:color w:val="000000" w:themeColor="text1"/>
        </w:rPr>
        <w:fldChar w:fldCharType="begin"/>
      </w:r>
      <w:r>
        <w:rPr>
          <w:color w:val="000000" w:themeColor="text1"/>
        </w:rPr>
        <w:instrText xml:space="preserve"> PAGEREF _Toc47375890 \h </w:instrText>
      </w:r>
      <w:r>
        <w:rPr>
          <w:color w:val="000000" w:themeColor="text1"/>
        </w:rPr>
        <w:fldChar w:fldCharType="separate"/>
      </w:r>
      <w:r>
        <w:rPr>
          <w:color w:val="000000" w:themeColor="text1"/>
        </w:rPr>
        <w:t>154</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"_Toc47375891" </w:instrText>
      </w:r>
      <w:r>
        <w:fldChar w:fldCharType="separate"/>
      </w:r>
      <w:r>
        <w:rPr>
          <w:rStyle w:val="46"/>
          <w:color w:val="000000" w:themeColor="text1"/>
        </w:rPr>
        <w:t>7.1</w:t>
      </w:r>
      <w:r>
        <w:rPr>
          <w:rStyle w:val="46"/>
          <w:rFonts w:hint="eastAsia"/>
          <w:color w:val="000000" w:themeColor="text1"/>
        </w:rPr>
        <w:t>施工期污染防治措施</w:t>
      </w:r>
      <w:r>
        <w:rPr>
          <w:color w:val="000000" w:themeColor="text1"/>
        </w:rPr>
        <w:tab/>
      </w:r>
      <w:r>
        <w:rPr>
          <w:color w:val="000000" w:themeColor="text1"/>
        </w:rPr>
        <w:fldChar w:fldCharType="begin"/>
      </w:r>
      <w:r>
        <w:rPr>
          <w:color w:val="000000" w:themeColor="text1"/>
        </w:rPr>
        <w:instrText xml:space="preserve"> PAGEREF _Toc47375891 \h </w:instrText>
      </w:r>
      <w:r>
        <w:rPr>
          <w:color w:val="000000" w:themeColor="text1"/>
        </w:rPr>
        <w:fldChar w:fldCharType="separate"/>
      </w:r>
      <w:r>
        <w:rPr>
          <w:color w:val="000000" w:themeColor="text1"/>
        </w:rPr>
        <w:t>154</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"_Toc47375892" </w:instrText>
      </w:r>
      <w:r>
        <w:fldChar w:fldCharType="separate"/>
      </w:r>
      <w:r>
        <w:rPr>
          <w:rStyle w:val="46"/>
          <w:color w:val="000000" w:themeColor="text1"/>
        </w:rPr>
        <w:t>7.1.1</w:t>
      </w:r>
      <w:r>
        <w:rPr>
          <w:rStyle w:val="46"/>
          <w:rFonts w:hint="eastAsia"/>
          <w:color w:val="000000" w:themeColor="text1"/>
        </w:rPr>
        <w:t>施工期大气污染防治措施</w:t>
      </w:r>
      <w:r>
        <w:rPr>
          <w:color w:val="000000" w:themeColor="text1"/>
        </w:rPr>
        <w:tab/>
      </w:r>
      <w:r>
        <w:rPr>
          <w:color w:val="000000" w:themeColor="text1"/>
        </w:rPr>
        <w:fldChar w:fldCharType="begin"/>
      </w:r>
      <w:r>
        <w:rPr>
          <w:color w:val="000000" w:themeColor="text1"/>
        </w:rPr>
        <w:instrText xml:space="preserve"> PAGEREF _Toc47375892 \h </w:instrText>
      </w:r>
      <w:r>
        <w:rPr>
          <w:color w:val="000000" w:themeColor="text1"/>
        </w:rPr>
        <w:fldChar w:fldCharType="separate"/>
      </w:r>
      <w:r>
        <w:rPr>
          <w:color w:val="000000" w:themeColor="text1"/>
        </w:rPr>
        <w:t>154</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"_Toc47375893" </w:instrText>
      </w:r>
      <w:r>
        <w:fldChar w:fldCharType="separate"/>
      </w:r>
      <w:r>
        <w:rPr>
          <w:rStyle w:val="46"/>
          <w:color w:val="000000" w:themeColor="text1"/>
        </w:rPr>
        <w:t>7.1.2</w:t>
      </w:r>
      <w:r>
        <w:rPr>
          <w:rStyle w:val="46"/>
          <w:rFonts w:hint="eastAsia"/>
          <w:color w:val="000000" w:themeColor="text1"/>
        </w:rPr>
        <w:t>施工期废水污染防治措施</w:t>
      </w:r>
      <w:r>
        <w:rPr>
          <w:color w:val="000000" w:themeColor="text1"/>
        </w:rPr>
        <w:tab/>
      </w:r>
      <w:r>
        <w:rPr>
          <w:color w:val="000000" w:themeColor="text1"/>
        </w:rPr>
        <w:fldChar w:fldCharType="begin"/>
      </w:r>
      <w:r>
        <w:rPr>
          <w:color w:val="000000" w:themeColor="text1"/>
        </w:rPr>
        <w:instrText xml:space="preserve"> PAGEREF _Toc47375893 \h </w:instrText>
      </w:r>
      <w:r>
        <w:rPr>
          <w:color w:val="000000" w:themeColor="text1"/>
        </w:rPr>
        <w:fldChar w:fldCharType="separate"/>
      </w:r>
      <w:r>
        <w:rPr>
          <w:color w:val="000000" w:themeColor="text1"/>
        </w:rPr>
        <w:t>155</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"_Toc47375894" </w:instrText>
      </w:r>
      <w:r>
        <w:fldChar w:fldCharType="separate"/>
      </w:r>
      <w:r>
        <w:rPr>
          <w:rStyle w:val="46"/>
          <w:color w:val="000000" w:themeColor="text1"/>
        </w:rPr>
        <w:t>7.1.3</w:t>
      </w:r>
      <w:r>
        <w:rPr>
          <w:rStyle w:val="46"/>
          <w:rFonts w:hint="eastAsia"/>
          <w:color w:val="000000" w:themeColor="text1"/>
        </w:rPr>
        <w:t>施工期噪声污染防治措施</w:t>
      </w:r>
      <w:r>
        <w:rPr>
          <w:color w:val="000000" w:themeColor="text1"/>
        </w:rPr>
        <w:tab/>
      </w:r>
      <w:r>
        <w:rPr>
          <w:color w:val="000000" w:themeColor="text1"/>
        </w:rPr>
        <w:fldChar w:fldCharType="begin"/>
      </w:r>
      <w:r>
        <w:rPr>
          <w:color w:val="000000" w:themeColor="text1"/>
        </w:rPr>
        <w:instrText xml:space="preserve"> PAGEREF _Toc47375894 \h </w:instrText>
      </w:r>
      <w:r>
        <w:rPr>
          <w:color w:val="000000" w:themeColor="text1"/>
        </w:rPr>
        <w:fldChar w:fldCharType="separate"/>
      </w:r>
      <w:r>
        <w:rPr>
          <w:color w:val="000000" w:themeColor="text1"/>
        </w:rPr>
        <w:t>155</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"_Toc47375895" </w:instrText>
      </w:r>
      <w:r>
        <w:fldChar w:fldCharType="separate"/>
      </w:r>
      <w:r>
        <w:rPr>
          <w:rStyle w:val="46"/>
          <w:color w:val="000000" w:themeColor="text1"/>
        </w:rPr>
        <w:t>7.1.4</w:t>
      </w:r>
      <w:r>
        <w:rPr>
          <w:rStyle w:val="46"/>
          <w:rFonts w:hint="eastAsia"/>
          <w:color w:val="000000" w:themeColor="text1"/>
        </w:rPr>
        <w:t>施工期固废防治措施</w:t>
      </w:r>
      <w:r>
        <w:rPr>
          <w:color w:val="000000" w:themeColor="text1"/>
        </w:rPr>
        <w:tab/>
      </w:r>
      <w:r>
        <w:rPr>
          <w:color w:val="000000" w:themeColor="text1"/>
        </w:rPr>
        <w:fldChar w:fldCharType="begin"/>
      </w:r>
      <w:r>
        <w:rPr>
          <w:color w:val="000000" w:themeColor="text1"/>
        </w:rPr>
        <w:instrText xml:space="preserve"> PAGEREF _Toc47375895 \h </w:instrText>
      </w:r>
      <w:r>
        <w:rPr>
          <w:color w:val="000000" w:themeColor="text1"/>
        </w:rPr>
        <w:fldChar w:fldCharType="separate"/>
      </w:r>
      <w:r>
        <w:rPr>
          <w:color w:val="000000" w:themeColor="text1"/>
        </w:rPr>
        <w:t>156</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"_Toc47375896" </w:instrText>
      </w:r>
      <w:r>
        <w:fldChar w:fldCharType="separate"/>
      </w:r>
      <w:r>
        <w:rPr>
          <w:rStyle w:val="46"/>
          <w:color w:val="000000" w:themeColor="text1"/>
        </w:rPr>
        <w:t>7.1.5</w:t>
      </w:r>
      <w:r>
        <w:rPr>
          <w:rStyle w:val="46"/>
          <w:rFonts w:hint="eastAsia"/>
          <w:color w:val="000000" w:themeColor="text1"/>
        </w:rPr>
        <w:t>施工期生态环境防治措施</w:t>
      </w:r>
      <w:r>
        <w:rPr>
          <w:color w:val="000000" w:themeColor="text1"/>
        </w:rPr>
        <w:tab/>
      </w:r>
      <w:r>
        <w:rPr>
          <w:color w:val="000000" w:themeColor="text1"/>
        </w:rPr>
        <w:fldChar w:fldCharType="begin"/>
      </w:r>
      <w:r>
        <w:rPr>
          <w:color w:val="000000" w:themeColor="text1"/>
        </w:rPr>
        <w:instrText xml:space="preserve"> PAGEREF _Toc47375896 \h </w:instrText>
      </w:r>
      <w:r>
        <w:rPr>
          <w:color w:val="000000" w:themeColor="text1"/>
        </w:rPr>
        <w:fldChar w:fldCharType="separate"/>
      </w:r>
      <w:r>
        <w:rPr>
          <w:color w:val="000000" w:themeColor="text1"/>
        </w:rPr>
        <w:t>156</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"_Toc47375897" </w:instrText>
      </w:r>
      <w:r>
        <w:fldChar w:fldCharType="separate"/>
      </w:r>
      <w:r>
        <w:rPr>
          <w:rStyle w:val="46"/>
          <w:color w:val="000000" w:themeColor="text1"/>
        </w:rPr>
        <w:t>7.2</w:t>
      </w:r>
      <w:r>
        <w:rPr>
          <w:rStyle w:val="46"/>
          <w:rFonts w:hint="eastAsia"/>
          <w:color w:val="000000" w:themeColor="text1"/>
        </w:rPr>
        <w:t>运营期污染物防治措施及可行性论证</w:t>
      </w:r>
      <w:r>
        <w:rPr>
          <w:color w:val="000000" w:themeColor="text1"/>
        </w:rPr>
        <w:tab/>
      </w:r>
      <w:r>
        <w:rPr>
          <w:color w:val="000000" w:themeColor="text1"/>
        </w:rPr>
        <w:fldChar w:fldCharType="begin"/>
      </w:r>
      <w:r>
        <w:rPr>
          <w:color w:val="000000" w:themeColor="text1"/>
        </w:rPr>
        <w:instrText xml:space="preserve"> PAGEREF _Toc47375897 \h </w:instrText>
      </w:r>
      <w:r>
        <w:rPr>
          <w:color w:val="000000" w:themeColor="text1"/>
        </w:rPr>
        <w:fldChar w:fldCharType="separate"/>
      </w:r>
      <w:r>
        <w:rPr>
          <w:color w:val="000000" w:themeColor="text1"/>
        </w:rPr>
        <w:t>157</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"_Toc47375898" </w:instrText>
      </w:r>
      <w:r>
        <w:fldChar w:fldCharType="separate"/>
      </w:r>
      <w:r>
        <w:rPr>
          <w:rStyle w:val="46"/>
          <w:color w:val="000000" w:themeColor="text1"/>
        </w:rPr>
        <w:t>7.2.1</w:t>
      </w:r>
      <w:r>
        <w:rPr>
          <w:rStyle w:val="46"/>
          <w:rFonts w:hint="eastAsia"/>
          <w:color w:val="000000" w:themeColor="text1"/>
        </w:rPr>
        <w:t>环境空气污染防治措施及可行性论证</w:t>
      </w:r>
      <w:r>
        <w:rPr>
          <w:color w:val="000000" w:themeColor="text1"/>
        </w:rPr>
        <w:tab/>
      </w:r>
      <w:r>
        <w:rPr>
          <w:color w:val="000000" w:themeColor="text1"/>
        </w:rPr>
        <w:fldChar w:fldCharType="begin"/>
      </w:r>
      <w:r>
        <w:rPr>
          <w:color w:val="000000" w:themeColor="text1"/>
        </w:rPr>
        <w:instrText xml:space="preserve"> PAGEREF _Toc47375898 \h </w:instrText>
      </w:r>
      <w:r>
        <w:rPr>
          <w:color w:val="000000" w:themeColor="text1"/>
        </w:rPr>
        <w:fldChar w:fldCharType="separate"/>
      </w:r>
      <w:r>
        <w:rPr>
          <w:color w:val="000000" w:themeColor="text1"/>
        </w:rPr>
        <w:t>157</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"_Toc47375899" </w:instrText>
      </w:r>
      <w:r>
        <w:fldChar w:fldCharType="separate"/>
      </w:r>
      <w:r>
        <w:rPr>
          <w:rStyle w:val="46"/>
          <w:color w:val="000000" w:themeColor="text1"/>
        </w:rPr>
        <w:t>7.2.2</w:t>
      </w:r>
      <w:r>
        <w:rPr>
          <w:rStyle w:val="46"/>
          <w:rFonts w:hint="eastAsia"/>
          <w:color w:val="000000" w:themeColor="text1"/>
        </w:rPr>
        <w:t>地表水污染防治措施及可行性论证</w:t>
      </w:r>
      <w:r>
        <w:rPr>
          <w:color w:val="000000" w:themeColor="text1"/>
        </w:rPr>
        <w:tab/>
      </w:r>
      <w:r>
        <w:rPr>
          <w:color w:val="000000" w:themeColor="text1"/>
        </w:rPr>
        <w:fldChar w:fldCharType="begin"/>
      </w:r>
      <w:r>
        <w:rPr>
          <w:color w:val="000000" w:themeColor="text1"/>
        </w:rPr>
        <w:instrText xml:space="preserve"> PAGEREF _Toc47375899 \h </w:instrText>
      </w:r>
      <w:r>
        <w:rPr>
          <w:color w:val="000000" w:themeColor="text1"/>
        </w:rPr>
        <w:fldChar w:fldCharType="separate"/>
      </w:r>
      <w:r>
        <w:rPr>
          <w:color w:val="000000" w:themeColor="text1"/>
        </w:rPr>
        <w:t>159</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"_Toc47375900" </w:instrText>
      </w:r>
      <w:r>
        <w:fldChar w:fldCharType="separate"/>
      </w:r>
      <w:r>
        <w:rPr>
          <w:rStyle w:val="46"/>
          <w:color w:val="000000" w:themeColor="text1"/>
        </w:rPr>
        <w:t>7.2.3</w:t>
      </w:r>
      <w:r>
        <w:rPr>
          <w:rStyle w:val="46"/>
          <w:rFonts w:hint="eastAsia"/>
          <w:color w:val="000000" w:themeColor="text1"/>
        </w:rPr>
        <w:t>地下水污染防治措施及可行性论证</w:t>
      </w:r>
      <w:r>
        <w:rPr>
          <w:color w:val="000000" w:themeColor="text1"/>
        </w:rPr>
        <w:tab/>
      </w:r>
      <w:r>
        <w:rPr>
          <w:color w:val="000000" w:themeColor="text1"/>
        </w:rPr>
        <w:fldChar w:fldCharType="begin"/>
      </w:r>
      <w:r>
        <w:rPr>
          <w:color w:val="000000" w:themeColor="text1"/>
        </w:rPr>
        <w:instrText xml:space="preserve"> PAGEREF _Toc47375900 \h </w:instrText>
      </w:r>
      <w:r>
        <w:rPr>
          <w:color w:val="000000" w:themeColor="text1"/>
        </w:rPr>
        <w:fldChar w:fldCharType="separate"/>
      </w:r>
      <w:r>
        <w:rPr>
          <w:color w:val="000000" w:themeColor="text1"/>
        </w:rPr>
        <w:t>161</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"_Toc47375901" </w:instrText>
      </w:r>
      <w:r>
        <w:fldChar w:fldCharType="separate"/>
      </w:r>
      <w:r>
        <w:rPr>
          <w:rStyle w:val="46"/>
          <w:color w:val="000000" w:themeColor="text1"/>
        </w:rPr>
        <w:t>7.2.4</w:t>
      </w:r>
      <w:r>
        <w:rPr>
          <w:rStyle w:val="46"/>
          <w:rFonts w:hint="eastAsia"/>
          <w:color w:val="000000" w:themeColor="text1"/>
        </w:rPr>
        <w:t>噪声污染防治措施及可行性论证</w:t>
      </w:r>
      <w:r>
        <w:rPr>
          <w:color w:val="000000" w:themeColor="text1"/>
        </w:rPr>
        <w:tab/>
      </w:r>
      <w:r>
        <w:rPr>
          <w:color w:val="000000" w:themeColor="text1"/>
        </w:rPr>
        <w:fldChar w:fldCharType="begin"/>
      </w:r>
      <w:r>
        <w:rPr>
          <w:color w:val="000000" w:themeColor="text1"/>
        </w:rPr>
        <w:instrText xml:space="preserve"> PAGEREF _Toc47375901 \h </w:instrText>
      </w:r>
      <w:r>
        <w:rPr>
          <w:color w:val="000000" w:themeColor="text1"/>
        </w:rPr>
        <w:fldChar w:fldCharType="separate"/>
      </w:r>
      <w:r>
        <w:rPr>
          <w:color w:val="000000" w:themeColor="text1"/>
        </w:rPr>
        <w:t>163</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"_Toc47375902" </w:instrText>
      </w:r>
      <w:r>
        <w:fldChar w:fldCharType="separate"/>
      </w:r>
      <w:r>
        <w:rPr>
          <w:rStyle w:val="46"/>
          <w:color w:val="000000" w:themeColor="text1"/>
        </w:rPr>
        <w:t>7.2.5</w:t>
      </w:r>
      <w:r>
        <w:rPr>
          <w:rStyle w:val="46"/>
          <w:rFonts w:hint="eastAsia"/>
          <w:color w:val="000000" w:themeColor="text1"/>
        </w:rPr>
        <w:t>固体废物污染防治措施及可行性论证</w:t>
      </w:r>
      <w:r>
        <w:rPr>
          <w:color w:val="000000" w:themeColor="text1"/>
        </w:rPr>
        <w:tab/>
      </w:r>
      <w:r>
        <w:rPr>
          <w:color w:val="000000" w:themeColor="text1"/>
        </w:rPr>
        <w:fldChar w:fldCharType="begin"/>
      </w:r>
      <w:r>
        <w:rPr>
          <w:color w:val="000000" w:themeColor="text1"/>
        </w:rPr>
        <w:instrText xml:space="preserve"> PAGEREF _Toc47375902 \h </w:instrText>
      </w:r>
      <w:r>
        <w:rPr>
          <w:color w:val="000000" w:themeColor="text1"/>
        </w:rPr>
        <w:fldChar w:fldCharType="separate"/>
      </w:r>
      <w:r>
        <w:rPr>
          <w:color w:val="000000" w:themeColor="text1"/>
        </w:rPr>
        <w:t>163</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"_Toc47375903" </w:instrText>
      </w:r>
      <w:r>
        <w:fldChar w:fldCharType="separate"/>
      </w:r>
      <w:r>
        <w:rPr>
          <w:rStyle w:val="46"/>
          <w:color w:val="000000" w:themeColor="text1"/>
        </w:rPr>
        <w:t>7.2.6</w:t>
      </w:r>
      <w:r>
        <w:rPr>
          <w:rStyle w:val="46"/>
          <w:rFonts w:hint="eastAsia"/>
          <w:color w:val="000000" w:themeColor="text1"/>
        </w:rPr>
        <w:t>环境风险防范措施</w:t>
      </w:r>
      <w:r>
        <w:rPr>
          <w:color w:val="000000" w:themeColor="text1"/>
        </w:rPr>
        <w:tab/>
      </w:r>
      <w:r>
        <w:rPr>
          <w:color w:val="000000" w:themeColor="text1"/>
        </w:rPr>
        <w:fldChar w:fldCharType="begin"/>
      </w:r>
      <w:r>
        <w:rPr>
          <w:color w:val="000000" w:themeColor="text1"/>
        </w:rPr>
        <w:instrText xml:space="preserve"> PAGEREF _Toc47375903 \h </w:instrText>
      </w:r>
      <w:r>
        <w:rPr>
          <w:color w:val="000000" w:themeColor="text1"/>
        </w:rPr>
        <w:fldChar w:fldCharType="separate"/>
      </w:r>
      <w:r>
        <w:rPr>
          <w:color w:val="000000" w:themeColor="text1"/>
        </w:rPr>
        <w:t>164</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"_Toc47375904" </w:instrText>
      </w:r>
      <w:r>
        <w:fldChar w:fldCharType="separate"/>
      </w:r>
      <w:r>
        <w:rPr>
          <w:rStyle w:val="46"/>
          <w:color w:val="000000" w:themeColor="text1"/>
        </w:rPr>
        <w:t>7.2.7</w:t>
      </w:r>
      <w:r>
        <w:rPr>
          <w:rStyle w:val="46"/>
          <w:rFonts w:hint="eastAsia"/>
          <w:color w:val="000000" w:themeColor="text1"/>
        </w:rPr>
        <w:t>其他</w:t>
      </w:r>
      <w:r>
        <w:rPr>
          <w:color w:val="000000" w:themeColor="text1"/>
        </w:rPr>
        <w:tab/>
      </w:r>
      <w:r>
        <w:rPr>
          <w:color w:val="000000" w:themeColor="text1"/>
        </w:rPr>
        <w:fldChar w:fldCharType="begin"/>
      </w:r>
      <w:r>
        <w:rPr>
          <w:color w:val="000000" w:themeColor="text1"/>
        </w:rPr>
        <w:instrText xml:space="preserve"> PAGEREF _Toc47375904 \h </w:instrText>
      </w:r>
      <w:r>
        <w:rPr>
          <w:color w:val="000000" w:themeColor="text1"/>
        </w:rPr>
        <w:fldChar w:fldCharType="separate"/>
      </w:r>
      <w:r>
        <w:rPr>
          <w:color w:val="000000" w:themeColor="text1"/>
        </w:rPr>
        <w:t>165</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"_Toc47375905" </w:instrText>
      </w:r>
      <w:r>
        <w:fldChar w:fldCharType="separate"/>
      </w:r>
      <w:r>
        <w:rPr>
          <w:rStyle w:val="46"/>
          <w:color w:val="000000" w:themeColor="text1"/>
        </w:rPr>
        <w:t>7.3</w:t>
      </w:r>
      <w:r>
        <w:rPr>
          <w:rStyle w:val="46"/>
          <w:rFonts w:hint="eastAsia"/>
          <w:color w:val="000000" w:themeColor="text1"/>
        </w:rPr>
        <w:t>污染物总量控制分析</w:t>
      </w:r>
      <w:r>
        <w:rPr>
          <w:color w:val="000000" w:themeColor="text1"/>
        </w:rPr>
        <w:tab/>
      </w:r>
      <w:r>
        <w:rPr>
          <w:color w:val="000000" w:themeColor="text1"/>
        </w:rPr>
        <w:fldChar w:fldCharType="begin"/>
      </w:r>
      <w:r>
        <w:rPr>
          <w:color w:val="000000" w:themeColor="text1"/>
        </w:rPr>
        <w:instrText xml:space="preserve"> PAGEREF _Toc47375905 \h </w:instrText>
      </w:r>
      <w:r>
        <w:rPr>
          <w:color w:val="000000" w:themeColor="text1"/>
        </w:rPr>
        <w:fldChar w:fldCharType="separate"/>
      </w:r>
      <w:r>
        <w:rPr>
          <w:color w:val="000000" w:themeColor="text1"/>
        </w:rPr>
        <w:t>169</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"_Toc47375906" </w:instrText>
      </w:r>
      <w:r>
        <w:fldChar w:fldCharType="separate"/>
      </w:r>
      <w:r>
        <w:rPr>
          <w:rStyle w:val="46"/>
          <w:color w:val="000000" w:themeColor="text1"/>
        </w:rPr>
        <w:t>7.3.1</w:t>
      </w:r>
      <w:r>
        <w:rPr>
          <w:rStyle w:val="46"/>
          <w:rFonts w:hint="eastAsia"/>
          <w:color w:val="000000" w:themeColor="text1"/>
        </w:rPr>
        <w:t>总量控制目的</w:t>
      </w:r>
      <w:r>
        <w:rPr>
          <w:color w:val="000000" w:themeColor="text1"/>
        </w:rPr>
        <w:tab/>
      </w:r>
      <w:r>
        <w:rPr>
          <w:color w:val="000000" w:themeColor="text1"/>
        </w:rPr>
        <w:fldChar w:fldCharType="begin"/>
      </w:r>
      <w:r>
        <w:rPr>
          <w:color w:val="000000" w:themeColor="text1"/>
        </w:rPr>
        <w:instrText xml:space="preserve"> PAGEREF _Toc47375906 \h </w:instrText>
      </w:r>
      <w:r>
        <w:rPr>
          <w:color w:val="000000" w:themeColor="text1"/>
        </w:rPr>
        <w:fldChar w:fldCharType="separate"/>
      </w:r>
      <w:r>
        <w:rPr>
          <w:color w:val="000000" w:themeColor="text1"/>
        </w:rPr>
        <w:t>169</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"_Toc47375907" </w:instrText>
      </w:r>
      <w:r>
        <w:fldChar w:fldCharType="separate"/>
      </w:r>
      <w:r>
        <w:rPr>
          <w:rStyle w:val="46"/>
          <w:color w:val="000000" w:themeColor="text1"/>
        </w:rPr>
        <w:t>7.3.2</w:t>
      </w:r>
      <w:r>
        <w:rPr>
          <w:rStyle w:val="46"/>
          <w:rFonts w:hint="eastAsia"/>
          <w:color w:val="000000" w:themeColor="text1"/>
        </w:rPr>
        <w:t>总量控制原则与对象</w:t>
      </w:r>
      <w:r>
        <w:rPr>
          <w:color w:val="000000" w:themeColor="text1"/>
        </w:rPr>
        <w:tab/>
      </w:r>
      <w:r>
        <w:rPr>
          <w:color w:val="000000" w:themeColor="text1"/>
        </w:rPr>
        <w:fldChar w:fldCharType="begin"/>
      </w:r>
      <w:r>
        <w:rPr>
          <w:color w:val="000000" w:themeColor="text1"/>
        </w:rPr>
        <w:instrText xml:space="preserve"> PAGEREF _Toc47375907 \h </w:instrText>
      </w:r>
      <w:r>
        <w:rPr>
          <w:color w:val="000000" w:themeColor="text1"/>
        </w:rPr>
        <w:fldChar w:fldCharType="separate"/>
      </w:r>
      <w:r>
        <w:rPr>
          <w:color w:val="000000" w:themeColor="text1"/>
        </w:rPr>
        <w:t>169</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"_Toc47375908" </w:instrText>
      </w:r>
      <w:r>
        <w:fldChar w:fldCharType="separate"/>
      </w:r>
      <w:r>
        <w:rPr>
          <w:rStyle w:val="46"/>
          <w:color w:val="000000" w:themeColor="text1"/>
        </w:rPr>
        <w:t>7.3.3</w:t>
      </w:r>
      <w:r>
        <w:rPr>
          <w:rStyle w:val="46"/>
          <w:rFonts w:hint="eastAsia"/>
          <w:color w:val="000000" w:themeColor="text1"/>
        </w:rPr>
        <w:t>总量控制指标分析</w:t>
      </w:r>
      <w:r>
        <w:rPr>
          <w:color w:val="000000" w:themeColor="text1"/>
        </w:rPr>
        <w:tab/>
      </w:r>
      <w:r>
        <w:rPr>
          <w:color w:val="000000" w:themeColor="text1"/>
        </w:rPr>
        <w:fldChar w:fldCharType="begin"/>
      </w:r>
      <w:r>
        <w:rPr>
          <w:color w:val="000000" w:themeColor="text1"/>
        </w:rPr>
        <w:instrText xml:space="preserve"> PAGEREF _Toc47375908 \h </w:instrText>
      </w:r>
      <w:r>
        <w:rPr>
          <w:color w:val="000000" w:themeColor="text1"/>
        </w:rPr>
        <w:fldChar w:fldCharType="separate"/>
      </w:r>
      <w:r>
        <w:rPr>
          <w:color w:val="000000" w:themeColor="text1"/>
        </w:rPr>
        <w:t>169</w:t>
      </w:r>
      <w:r>
        <w:rPr>
          <w:color w:val="000000" w:themeColor="text1"/>
        </w:rPr>
        <w:fldChar w:fldCharType="end"/>
      </w:r>
      <w:r>
        <w:rPr>
          <w:color w:val="000000" w:themeColor="text1"/>
        </w:rPr>
        <w:fldChar w:fldCharType="end"/>
      </w:r>
    </w:p>
    <w:p>
      <w:pPr>
        <w:pStyle w:val="27"/>
        <w:tabs>
          <w:tab w:val="right" w:leader="dot" w:pos="8302"/>
        </w:tabs>
        <w:ind w:firstLine="480"/>
        <w:rPr>
          <w:rFonts w:asciiTheme="minorHAnsi" w:hAnsiTheme="minorHAnsi" w:eastAsiaTheme="minorEastAsia"/>
          <w:color w:val="000000" w:themeColor="text1"/>
          <w:sz w:val="21"/>
        </w:rPr>
      </w:pPr>
      <w:r>
        <w:fldChar w:fldCharType="begin"/>
      </w:r>
      <w:r>
        <w:instrText xml:space="preserve"> HYPERLINK \l "_Toc47375909" </w:instrText>
      </w:r>
      <w:r>
        <w:fldChar w:fldCharType="separate"/>
      </w:r>
      <w:r>
        <w:rPr>
          <w:rStyle w:val="46"/>
          <w:color w:val="000000" w:themeColor="text1"/>
        </w:rPr>
        <w:t xml:space="preserve">8. </w:t>
      </w:r>
      <w:r>
        <w:rPr>
          <w:rStyle w:val="46"/>
          <w:rFonts w:hint="eastAsia"/>
          <w:color w:val="000000" w:themeColor="text1"/>
        </w:rPr>
        <w:t>项目规划符合性及选址合理性分析</w:t>
      </w:r>
      <w:r>
        <w:rPr>
          <w:color w:val="000000" w:themeColor="text1"/>
        </w:rPr>
        <w:tab/>
      </w:r>
      <w:r>
        <w:rPr>
          <w:color w:val="000000" w:themeColor="text1"/>
        </w:rPr>
        <w:fldChar w:fldCharType="begin"/>
      </w:r>
      <w:r>
        <w:rPr>
          <w:color w:val="000000" w:themeColor="text1"/>
        </w:rPr>
        <w:instrText xml:space="preserve"> PAGEREF _Toc47375909 \h </w:instrText>
      </w:r>
      <w:r>
        <w:rPr>
          <w:color w:val="000000" w:themeColor="text1"/>
        </w:rPr>
        <w:fldChar w:fldCharType="separate"/>
      </w:r>
      <w:r>
        <w:rPr>
          <w:color w:val="000000" w:themeColor="text1"/>
        </w:rPr>
        <w:t>171</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"_Toc47375910" </w:instrText>
      </w:r>
      <w:r>
        <w:fldChar w:fldCharType="separate"/>
      </w:r>
      <w:r>
        <w:rPr>
          <w:rStyle w:val="46"/>
          <w:color w:val="000000" w:themeColor="text1"/>
        </w:rPr>
        <w:t>8.1</w:t>
      </w:r>
      <w:r>
        <w:rPr>
          <w:rStyle w:val="46"/>
          <w:rFonts w:hint="eastAsia"/>
          <w:color w:val="000000" w:themeColor="text1"/>
        </w:rPr>
        <w:t>产业政策、行业相关管理办法符合性分析</w:t>
      </w:r>
      <w:r>
        <w:rPr>
          <w:color w:val="000000" w:themeColor="text1"/>
        </w:rPr>
        <w:tab/>
      </w:r>
      <w:r>
        <w:rPr>
          <w:color w:val="000000" w:themeColor="text1"/>
        </w:rPr>
        <w:fldChar w:fldCharType="begin"/>
      </w:r>
      <w:r>
        <w:rPr>
          <w:color w:val="000000" w:themeColor="text1"/>
        </w:rPr>
        <w:instrText xml:space="preserve"> PAGEREF _Toc47375910 \h </w:instrText>
      </w:r>
      <w:r>
        <w:rPr>
          <w:color w:val="000000" w:themeColor="text1"/>
        </w:rPr>
        <w:fldChar w:fldCharType="separate"/>
      </w:r>
      <w:r>
        <w:rPr>
          <w:color w:val="000000" w:themeColor="text1"/>
        </w:rPr>
        <w:t>171</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"_Toc47375911" </w:instrText>
      </w:r>
      <w:r>
        <w:fldChar w:fldCharType="separate"/>
      </w:r>
      <w:r>
        <w:rPr>
          <w:rStyle w:val="46"/>
          <w:color w:val="000000" w:themeColor="text1"/>
        </w:rPr>
        <w:t>8.1.1</w:t>
      </w:r>
      <w:r>
        <w:rPr>
          <w:rStyle w:val="46"/>
          <w:rFonts w:hint="eastAsia"/>
          <w:color w:val="000000" w:themeColor="text1"/>
        </w:rPr>
        <w:t>与《产业结构调整指导目录</w:t>
      </w:r>
      <w:r>
        <w:rPr>
          <w:rStyle w:val="46"/>
          <w:color w:val="000000" w:themeColor="text1"/>
        </w:rPr>
        <w:t xml:space="preserve">(2019 </w:t>
      </w:r>
      <w:r>
        <w:rPr>
          <w:rStyle w:val="46"/>
          <w:rFonts w:hint="eastAsia"/>
          <w:color w:val="000000" w:themeColor="text1"/>
        </w:rPr>
        <w:t>年</w:t>
      </w:r>
      <w:r>
        <w:rPr>
          <w:rStyle w:val="46"/>
          <w:color w:val="000000" w:themeColor="text1"/>
        </w:rPr>
        <w:t>)</w:t>
      </w:r>
      <w:r>
        <w:rPr>
          <w:rStyle w:val="46"/>
          <w:rFonts w:hint="eastAsia"/>
          <w:color w:val="000000" w:themeColor="text1"/>
        </w:rPr>
        <w:t>》符合性分析</w:t>
      </w:r>
      <w:r>
        <w:rPr>
          <w:color w:val="000000" w:themeColor="text1"/>
        </w:rPr>
        <w:tab/>
      </w:r>
      <w:r>
        <w:rPr>
          <w:color w:val="000000" w:themeColor="text1"/>
        </w:rPr>
        <w:fldChar w:fldCharType="begin"/>
      </w:r>
      <w:r>
        <w:rPr>
          <w:color w:val="000000" w:themeColor="text1"/>
        </w:rPr>
        <w:instrText xml:space="preserve"> PAGEREF _Toc47375911 \h </w:instrText>
      </w:r>
      <w:r>
        <w:rPr>
          <w:color w:val="000000" w:themeColor="text1"/>
        </w:rPr>
        <w:fldChar w:fldCharType="separate"/>
      </w:r>
      <w:r>
        <w:rPr>
          <w:color w:val="000000" w:themeColor="text1"/>
        </w:rPr>
        <w:t>171</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"_Toc47375912" </w:instrText>
      </w:r>
      <w:r>
        <w:fldChar w:fldCharType="separate"/>
      </w:r>
      <w:r>
        <w:rPr>
          <w:rStyle w:val="46"/>
          <w:color w:val="000000" w:themeColor="text1"/>
        </w:rPr>
        <w:t>8.1.2</w:t>
      </w:r>
      <w:r>
        <w:rPr>
          <w:rStyle w:val="46"/>
          <w:rFonts w:hint="eastAsia"/>
          <w:color w:val="000000" w:themeColor="text1"/>
        </w:rPr>
        <w:t>与《生猪屠宰管理条例》符合性分析</w:t>
      </w:r>
      <w:r>
        <w:rPr>
          <w:color w:val="000000" w:themeColor="text1"/>
        </w:rPr>
        <w:tab/>
      </w:r>
      <w:r>
        <w:rPr>
          <w:color w:val="000000" w:themeColor="text1"/>
        </w:rPr>
        <w:fldChar w:fldCharType="begin"/>
      </w:r>
      <w:r>
        <w:rPr>
          <w:color w:val="000000" w:themeColor="text1"/>
        </w:rPr>
        <w:instrText xml:space="preserve"> PAGEREF _Toc47375912 \h </w:instrText>
      </w:r>
      <w:r>
        <w:rPr>
          <w:color w:val="000000" w:themeColor="text1"/>
        </w:rPr>
        <w:fldChar w:fldCharType="separate"/>
      </w:r>
      <w:r>
        <w:rPr>
          <w:color w:val="000000" w:themeColor="text1"/>
        </w:rPr>
        <w:t>171</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"_Toc47375913" </w:instrText>
      </w:r>
      <w:r>
        <w:fldChar w:fldCharType="separate"/>
      </w:r>
      <w:r>
        <w:rPr>
          <w:rStyle w:val="46"/>
          <w:color w:val="000000" w:themeColor="text1"/>
        </w:rPr>
        <w:t>8.1.3</w:t>
      </w:r>
      <w:r>
        <w:rPr>
          <w:rStyle w:val="46"/>
          <w:rFonts w:hint="eastAsia"/>
          <w:color w:val="000000" w:themeColor="text1"/>
        </w:rPr>
        <w:t>与水、气、土十条相关内容的符合性分析</w:t>
      </w:r>
      <w:r>
        <w:rPr>
          <w:color w:val="000000" w:themeColor="text1"/>
        </w:rPr>
        <w:tab/>
      </w:r>
      <w:r>
        <w:rPr>
          <w:color w:val="000000" w:themeColor="text1"/>
        </w:rPr>
        <w:fldChar w:fldCharType="begin"/>
      </w:r>
      <w:r>
        <w:rPr>
          <w:color w:val="000000" w:themeColor="text1"/>
        </w:rPr>
        <w:instrText xml:space="preserve"> PAGEREF _Toc47375913 \h </w:instrText>
      </w:r>
      <w:r>
        <w:rPr>
          <w:color w:val="000000" w:themeColor="text1"/>
        </w:rPr>
        <w:fldChar w:fldCharType="separate"/>
      </w:r>
      <w:r>
        <w:rPr>
          <w:color w:val="000000" w:themeColor="text1"/>
        </w:rPr>
        <w:t>172</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"_Toc47375914" </w:instrText>
      </w:r>
      <w:r>
        <w:fldChar w:fldCharType="separate"/>
      </w:r>
      <w:r>
        <w:rPr>
          <w:rStyle w:val="46"/>
          <w:color w:val="000000" w:themeColor="text1"/>
        </w:rPr>
        <w:t>8.2</w:t>
      </w:r>
      <w:r>
        <w:rPr>
          <w:rStyle w:val="46"/>
          <w:rFonts w:hint="eastAsia"/>
          <w:color w:val="000000" w:themeColor="text1"/>
        </w:rPr>
        <w:t>规划符合性分析</w:t>
      </w:r>
      <w:r>
        <w:rPr>
          <w:color w:val="000000" w:themeColor="text1"/>
        </w:rPr>
        <w:tab/>
      </w:r>
      <w:r>
        <w:rPr>
          <w:color w:val="000000" w:themeColor="text1"/>
        </w:rPr>
        <w:fldChar w:fldCharType="begin"/>
      </w:r>
      <w:r>
        <w:rPr>
          <w:color w:val="000000" w:themeColor="text1"/>
        </w:rPr>
        <w:instrText xml:space="preserve"> PAGEREF _Toc47375914 \h </w:instrText>
      </w:r>
      <w:r>
        <w:rPr>
          <w:color w:val="000000" w:themeColor="text1"/>
        </w:rPr>
        <w:fldChar w:fldCharType="separate"/>
      </w:r>
      <w:r>
        <w:rPr>
          <w:color w:val="000000" w:themeColor="text1"/>
        </w:rPr>
        <w:t>174</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"_Toc47375915" </w:instrText>
      </w:r>
      <w:r>
        <w:fldChar w:fldCharType="separate"/>
      </w:r>
      <w:r>
        <w:rPr>
          <w:rStyle w:val="46"/>
          <w:color w:val="000000" w:themeColor="text1"/>
        </w:rPr>
        <w:t>8.3</w:t>
      </w:r>
      <w:r>
        <w:rPr>
          <w:rStyle w:val="46"/>
          <w:rFonts w:hint="eastAsia"/>
          <w:color w:val="000000" w:themeColor="text1"/>
        </w:rPr>
        <w:t>选址合理性分析</w:t>
      </w:r>
      <w:r>
        <w:rPr>
          <w:color w:val="000000" w:themeColor="text1"/>
        </w:rPr>
        <w:tab/>
      </w:r>
      <w:r>
        <w:rPr>
          <w:color w:val="000000" w:themeColor="text1"/>
        </w:rPr>
        <w:fldChar w:fldCharType="begin"/>
      </w:r>
      <w:r>
        <w:rPr>
          <w:color w:val="000000" w:themeColor="text1"/>
        </w:rPr>
        <w:instrText xml:space="preserve"> PAGEREF _Toc47375915 \h </w:instrText>
      </w:r>
      <w:r>
        <w:rPr>
          <w:color w:val="000000" w:themeColor="text1"/>
        </w:rPr>
        <w:fldChar w:fldCharType="separate"/>
      </w:r>
      <w:r>
        <w:rPr>
          <w:color w:val="000000" w:themeColor="text1"/>
        </w:rPr>
        <w:t>175</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"_Toc47375916" </w:instrText>
      </w:r>
      <w:r>
        <w:fldChar w:fldCharType="separate"/>
      </w:r>
      <w:r>
        <w:rPr>
          <w:rStyle w:val="46"/>
          <w:color w:val="000000" w:themeColor="text1"/>
        </w:rPr>
        <w:t>8.4</w:t>
      </w:r>
      <w:r>
        <w:rPr>
          <w:rStyle w:val="46"/>
          <w:rFonts w:hint="eastAsia"/>
          <w:color w:val="000000" w:themeColor="text1"/>
        </w:rPr>
        <w:t>平面布局和理性分析</w:t>
      </w:r>
      <w:r>
        <w:rPr>
          <w:color w:val="000000" w:themeColor="text1"/>
        </w:rPr>
        <w:tab/>
      </w:r>
      <w:r>
        <w:rPr>
          <w:color w:val="000000" w:themeColor="text1"/>
        </w:rPr>
        <w:fldChar w:fldCharType="begin"/>
      </w:r>
      <w:r>
        <w:rPr>
          <w:color w:val="000000" w:themeColor="text1"/>
        </w:rPr>
        <w:instrText xml:space="preserve"> PAGEREF _Toc47375916 \h </w:instrText>
      </w:r>
      <w:r>
        <w:rPr>
          <w:color w:val="000000" w:themeColor="text1"/>
        </w:rPr>
        <w:fldChar w:fldCharType="separate"/>
      </w:r>
      <w:r>
        <w:rPr>
          <w:color w:val="000000" w:themeColor="text1"/>
        </w:rPr>
        <w:t>176</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"_Toc47375917" </w:instrText>
      </w:r>
      <w:r>
        <w:fldChar w:fldCharType="separate"/>
      </w:r>
      <w:r>
        <w:rPr>
          <w:rStyle w:val="46"/>
          <w:color w:val="000000" w:themeColor="text1"/>
        </w:rPr>
        <w:t>8.5</w:t>
      </w:r>
      <w:r>
        <w:rPr>
          <w:rStyle w:val="46"/>
          <w:rFonts w:hint="eastAsia"/>
          <w:color w:val="000000" w:themeColor="text1"/>
        </w:rPr>
        <w:t>环境相容性分析</w:t>
      </w:r>
      <w:r>
        <w:rPr>
          <w:color w:val="000000" w:themeColor="text1"/>
        </w:rPr>
        <w:tab/>
      </w:r>
      <w:r>
        <w:rPr>
          <w:color w:val="000000" w:themeColor="text1"/>
        </w:rPr>
        <w:fldChar w:fldCharType="begin"/>
      </w:r>
      <w:r>
        <w:rPr>
          <w:color w:val="000000" w:themeColor="text1"/>
        </w:rPr>
        <w:instrText xml:space="preserve"> PAGEREF _Toc47375917 \h </w:instrText>
      </w:r>
      <w:r>
        <w:rPr>
          <w:color w:val="000000" w:themeColor="text1"/>
        </w:rPr>
        <w:fldChar w:fldCharType="separate"/>
      </w:r>
      <w:r>
        <w:rPr>
          <w:color w:val="000000" w:themeColor="text1"/>
        </w:rPr>
        <w:t>177</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"_Toc47375918" </w:instrText>
      </w:r>
      <w:r>
        <w:fldChar w:fldCharType="separate"/>
      </w:r>
      <w:r>
        <w:rPr>
          <w:rStyle w:val="46"/>
          <w:color w:val="000000" w:themeColor="text1"/>
          <w:kern w:val="0"/>
        </w:rPr>
        <w:t>8.6</w:t>
      </w:r>
      <w:r>
        <w:rPr>
          <w:rStyle w:val="46"/>
          <w:rFonts w:hint="eastAsia"/>
          <w:color w:val="000000" w:themeColor="text1"/>
          <w:kern w:val="0"/>
        </w:rPr>
        <w:t>与“三线一单”符合性分析</w:t>
      </w:r>
      <w:r>
        <w:rPr>
          <w:color w:val="000000" w:themeColor="text1"/>
        </w:rPr>
        <w:tab/>
      </w:r>
      <w:r>
        <w:rPr>
          <w:color w:val="000000" w:themeColor="text1"/>
        </w:rPr>
        <w:fldChar w:fldCharType="begin"/>
      </w:r>
      <w:r>
        <w:rPr>
          <w:color w:val="000000" w:themeColor="text1"/>
        </w:rPr>
        <w:instrText xml:space="preserve"> PAGEREF _Toc47375918 \h </w:instrText>
      </w:r>
      <w:r>
        <w:rPr>
          <w:color w:val="000000" w:themeColor="text1"/>
        </w:rPr>
        <w:fldChar w:fldCharType="separate"/>
      </w:r>
      <w:r>
        <w:rPr>
          <w:color w:val="000000" w:themeColor="text1"/>
        </w:rPr>
        <w:t>178</w:t>
      </w:r>
      <w:r>
        <w:rPr>
          <w:color w:val="000000" w:themeColor="text1"/>
        </w:rPr>
        <w:fldChar w:fldCharType="end"/>
      </w:r>
      <w:r>
        <w:rPr>
          <w:color w:val="000000" w:themeColor="text1"/>
        </w:rPr>
        <w:fldChar w:fldCharType="end"/>
      </w:r>
    </w:p>
    <w:p>
      <w:pPr>
        <w:pStyle w:val="27"/>
        <w:tabs>
          <w:tab w:val="right" w:leader="dot" w:pos="8302"/>
        </w:tabs>
        <w:ind w:firstLine="480"/>
        <w:rPr>
          <w:rFonts w:asciiTheme="minorHAnsi" w:hAnsiTheme="minorHAnsi" w:eastAsiaTheme="minorEastAsia"/>
          <w:color w:val="000000" w:themeColor="text1"/>
          <w:sz w:val="21"/>
        </w:rPr>
      </w:pPr>
      <w:r>
        <w:fldChar w:fldCharType="begin"/>
      </w:r>
      <w:r>
        <w:instrText xml:space="preserve"> HYPERLINK \l "_Toc47375919" </w:instrText>
      </w:r>
      <w:r>
        <w:fldChar w:fldCharType="separate"/>
      </w:r>
      <w:r>
        <w:rPr>
          <w:rStyle w:val="46"/>
          <w:color w:val="000000" w:themeColor="text1"/>
        </w:rPr>
        <w:t>9.</w:t>
      </w:r>
      <w:r>
        <w:rPr>
          <w:rStyle w:val="46"/>
          <w:rFonts w:hint="eastAsia"/>
          <w:color w:val="000000" w:themeColor="text1"/>
        </w:rPr>
        <w:t>环境经济损益分析</w:t>
      </w:r>
      <w:r>
        <w:rPr>
          <w:color w:val="000000" w:themeColor="text1"/>
        </w:rPr>
        <w:tab/>
      </w:r>
      <w:r>
        <w:rPr>
          <w:color w:val="000000" w:themeColor="text1"/>
        </w:rPr>
        <w:fldChar w:fldCharType="begin"/>
      </w:r>
      <w:r>
        <w:rPr>
          <w:color w:val="000000" w:themeColor="text1"/>
        </w:rPr>
        <w:instrText xml:space="preserve"> PAGEREF _Toc47375919 \h </w:instrText>
      </w:r>
      <w:r>
        <w:rPr>
          <w:color w:val="000000" w:themeColor="text1"/>
        </w:rPr>
        <w:fldChar w:fldCharType="separate"/>
      </w:r>
      <w:r>
        <w:rPr>
          <w:color w:val="000000" w:themeColor="text1"/>
        </w:rPr>
        <w:t>180</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"_Toc47375920" </w:instrText>
      </w:r>
      <w:r>
        <w:fldChar w:fldCharType="separate"/>
      </w:r>
      <w:r>
        <w:rPr>
          <w:rStyle w:val="46"/>
          <w:color w:val="000000" w:themeColor="text1"/>
        </w:rPr>
        <w:t>9.1</w:t>
      </w:r>
      <w:r>
        <w:rPr>
          <w:rStyle w:val="46"/>
          <w:rFonts w:hint="eastAsia"/>
          <w:color w:val="000000" w:themeColor="text1"/>
        </w:rPr>
        <w:t>环境效益分析</w:t>
      </w:r>
      <w:r>
        <w:rPr>
          <w:color w:val="000000" w:themeColor="text1"/>
        </w:rPr>
        <w:tab/>
      </w:r>
      <w:r>
        <w:rPr>
          <w:color w:val="000000" w:themeColor="text1"/>
        </w:rPr>
        <w:fldChar w:fldCharType="begin"/>
      </w:r>
      <w:r>
        <w:rPr>
          <w:color w:val="000000" w:themeColor="text1"/>
        </w:rPr>
        <w:instrText xml:space="preserve"> PAGEREF _Toc47375920 \h </w:instrText>
      </w:r>
      <w:r>
        <w:rPr>
          <w:color w:val="000000" w:themeColor="text1"/>
        </w:rPr>
        <w:fldChar w:fldCharType="separate"/>
      </w:r>
      <w:r>
        <w:rPr>
          <w:color w:val="000000" w:themeColor="text1"/>
        </w:rPr>
        <w:t>180</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"_Toc47375921" </w:instrText>
      </w:r>
      <w:r>
        <w:fldChar w:fldCharType="separate"/>
      </w:r>
      <w:r>
        <w:rPr>
          <w:rStyle w:val="46"/>
          <w:color w:val="000000" w:themeColor="text1"/>
        </w:rPr>
        <w:t>9.1.1</w:t>
      </w:r>
      <w:r>
        <w:rPr>
          <w:rStyle w:val="46"/>
          <w:rFonts w:hint="eastAsia"/>
          <w:color w:val="000000" w:themeColor="text1"/>
        </w:rPr>
        <w:t>环保投资</w:t>
      </w:r>
      <w:r>
        <w:rPr>
          <w:color w:val="000000" w:themeColor="text1"/>
        </w:rPr>
        <w:tab/>
      </w:r>
      <w:r>
        <w:rPr>
          <w:color w:val="000000" w:themeColor="text1"/>
        </w:rPr>
        <w:fldChar w:fldCharType="begin"/>
      </w:r>
      <w:r>
        <w:rPr>
          <w:color w:val="000000" w:themeColor="text1"/>
        </w:rPr>
        <w:instrText xml:space="preserve"> PAGEREF _Toc47375921 \h </w:instrText>
      </w:r>
      <w:r>
        <w:rPr>
          <w:color w:val="000000" w:themeColor="text1"/>
        </w:rPr>
        <w:fldChar w:fldCharType="separate"/>
      </w:r>
      <w:r>
        <w:rPr>
          <w:color w:val="000000" w:themeColor="text1"/>
        </w:rPr>
        <w:t>180</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"_Toc47375922" </w:instrText>
      </w:r>
      <w:r>
        <w:fldChar w:fldCharType="separate"/>
      </w:r>
      <w:r>
        <w:rPr>
          <w:rStyle w:val="46"/>
          <w:color w:val="000000" w:themeColor="text1"/>
        </w:rPr>
        <w:t>9.1.2</w:t>
      </w:r>
      <w:r>
        <w:rPr>
          <w:rStyle w:val="46"/>
          <w:rFonts w:hint="eastAsia"/>
          <w:color w:val="000000" w:themeColor="text1"/>
        </w:rPr>
        <w:t>环境损益分析</w:t>
      </w:r>
      <w:r>
        <w:rPr>
          <w:color w:val="000000" w:themeColor="text1"/>
        </w:rPr>
        <w:tab/>
      </w:r>
      <w:r>
        <w:rPr>
          <w:color w:val="000000" w:themeColor="text1"/>
        </w:rPr>
        <w:fldChar w:fldCharType="begin"/>
      </w:r>
      <w:r>
        <w:rPr>
          <w:color w:val="000000" w:themeColor="text1"/>
        </w:rPr>
        <w:instrText xml:space="preserve"> PAGEREF _Toc47375922 \h </w:instrText>
      </w:r>
      <w:r>
        <w:rPr>
          <w:color w:val="000000" w:themeColor="text1"/>
        </w:rPr>
        <w:fldChar w:fldCharType="separate"/>
      </w:r>
      <w:r>
        <w:rPr>
          <w:color w:val="000000" w:themeColor="text1"/>
        </w:rPr>
        <w:t>180</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"_Toc47375923" </w:instrText>
      </w:r>
      <w:r>
        <w:fldChar w:fldCharType="separate"/>
      </w:r>
      <w:r>
        <w:rPr>
          <w:rStyle w:val="46"/>
          <w:color w:val="000000" w:themeColor="text1"/>
        </w:rPr>
        <w:t>9.2</w:t>
      </w:r>
      <w:r>
        <w:rPr>
          <w:rStyle w:val="46"/>
          <w:rFonts w:hint="eastAsia"/>
          <w:color w:val="000000" w:themeColor="text1"/>
        </w:rPr>
        <w:t>社会效益分析</w:t>
      </w:r>
      <w:r>
        <w:rPr>
          <w:color w:val="000000" w:themeColor="text1"/>
        </w:rPr>
        <w:tab/>
      </w:r>
      <w:r>
        <w:rPr>
          <w:color w:val="000000" w:themeColor="text1"/>
        </w:rPr>
        <w:fldChar w:fldCharType="begin"/>
      </w:r>
      <w:r>
        <w:rPr>
          <w:color w:val="000000" w:themeColor="text1"/>
        </w:rPr>
        <w:instrText xml:space="preserve"> PAGEREF _Toc47375923 \h </w:instrText>
      </w:r>
      <w:r>
        <w:rPr>
          <w:color w:val="000000" w:themeColor="text1"/>
        </w:rPr>
        <w:fldChar w:fldCharType="separate"/>
      </w:r>
      <w:r>
        <w:rPr>
          <w:color w:val="000000" w:themeColor="text1"/>
        </w:rPr>
        <w:t>181</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"_Toc47375924" </w:instrText>
      </w:r>
      <w:r>
        <w:fldChar w:fldCharType="separate"/>
      </w:r>
      <w:r>
        <w:rPr>
          <w:rStyle w:val="46"/>
          <w:color w:val="000000" w:themeColor="text1"/>
        </w:rPr>
        <w:t>9.3</w:t>
      </w:r>
      <w:r>
        <w:rPr>
          <w:rStyle w:val="46"/>
          <w:rFonts w:hint="eastAsia"/>
          <w:color w:val="000000" w:themeColor="text1"/>
        </w:rPr>
        <w:t>经济效益分析</w:t>
      </w:r>
      <w:r>
        <w:rPr>
          <w:color w:val="000000" w:themeColor="text1"/>
        </w:rPr>
        <w:tab/>
      </w:r>
      <w:r>
        <w:rPr>
          <w:color w:val="000000" w:themeColor="text1"/>
        </w:rPr>
        <w:fldChar w:fldCharType="begin"/>
      </w:r>
      <w:r>
        <w:rPr>
          <w:color w:val="000000" w:themeColor="text1"/>
        </w:rPr>
        <w:instrText xml:space="preserve"> PAGEREF _Toc47375924 \h </w:instrText>
      </w:r>
      <w:r>
        <w:rPr>
          <w:color w:val="000000" w:themeColor="text1"/>
        </w:rPr>
        <w:fldChar w:fldCharType="separate"/>
      </w:r>
      <w:r>
        <w:rPr>
          <w:color w:val="000000" w:themeColor="text1"/>
        </w:rPr>
        <w:t>181</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"_Toc47375925" </w:instrText>
      </w:r>
      <w:r>
        <w:fldChar w:fldCharType="separate"/>
      </w:r>
      <w:r>
        <w:rPr>
          <w:rStyle w:val="46"/>
          <w:color w:val="000000" w:themeColor="text1"/>
        </w:rPr>
        <w:t>9.4</w:t>
      </w:r>
      <w:r>
        <w:rPr>
          <w:rStyle w:val="46"/>
          <w:rFonts w:hint="eastAsia"/>
          <w:color w:val="000000" w:themeColor="text1"/>
        </w:rPr>
        <w:t>小结</w:t>
      </w:r>
      <w:r>
        <w:rPr>
          <w:color w:val="000000" w:themeColor="text1"/>
        </w:rPr>
        <w:tab/>
      </w:r>
      <w:r>
        <w:rPr>
          <w:color w:val="000000" w:themeColor="text1"/>
        </w:rPr>
        <w:fldChar w:fldCharType="begin"/>
      </w:r>
      <w:r>
        <w:rPr>
          <w:color w:val="000000" w:themeColor="text1"/>
        </w:rPr>
        <w:instrText xml:space="preserve"> PAGEREF _Toc47375925 \h </w:instrText>
      </w:r>
      <w:r>
        <w:rPr>
          <w:color w:val="000000" w:themeColor="text1"/>
        </w:rPr>
        <w:fldChar w:fldCharType="separate"/>
      </w:r>
      <w:r>
        <w:rPr>
          <w:color w:val="000000" w:themeColor="text1"/>
        </w:rPr>
        <w:t>182</w:t>
      </w:r>
      <w:r>
        <w:rPr>
          <w:color w:val="000000" w:themeColor="text1"/>
        </w:rPr>
        <w:fldChar w:fldCharType="end"/>
      </w:r>
      <w:r>
        <w:rPr>
          <w:color w:val="000000" w:themeColor="text1"/>
        </w:rPr>
        <w:fldChar w:fldCharType="end"/>
      </w:r>
    </w:p>
    <w:p>
      <w:pPr>
        <w:pStyle w:val="27"/>
        <w:tabs>
          <w:tab w:val="right" w:leader="dot" w:pos="8302"/>
        </w:tabs>
        <w:ind w:firstLine="480"/>
        <w:rPr>
          <w:rFonts w:asciiTheme="minorHAnsi" w:hAnsiTheme="minorHAnsi" w:eastAsiaTheme="minorEastAsia"/>
          <w:color w:val="000000" w:themeColor="text1"/>
          <w:sz w:val="21"/>
        </w:rPr>
      </w:pPr>
      <w:r>
        <w:fldChar w:fldCharType="begin"/>
      </w:r>
      <w:r>
        <w:instrText xml:space="preserve"> HYPERLINK \l "_Toc47375926" </w:instrText>
      </w:r>
      <w:r>
        <w:fldChar w:fldCharType="separate"/>
      </w:r>
      <w:r>
        <w:rPr>
          <w:rStyle w:val="46"/>
          <w:color w:val="000000" w:themeColor="text1"/>
        </w:rPr>
        <w:t>10.</w:t>
      </w:r>
      <w:r>
        <w:rPr>
          <w:rStyle w:val="46"/>
          <w:rFonts w:hint="eastAsia"/>
          <w:color w:val="000000" w:themeColor="text1"/>
        </w:rPr>
        <w:t>环境管理、环境监理及环境监测</w:t>
      </w:r>
      <w:r>
        <w:rPr>
          <w:color w:val="000000" w:themeColor="text1"/>
        </w:rPr>
        <w:tab/>
      </w:r>
      <w:r>
        <w:rPr>
          <w:color w:val="000000" w:themeColor="text1"/>
        </w:rPr>
        <w:fldChar w:fldCharType="begin"/>
      </w:r>
      <w:r>
        <w:rPr>
          <w:color w:val="000000" w:themeColor="text1"/>
        </w:rPr>
        <w:instrText xml:space="preserve"> PAGEREF _Toc47375926 \h </w:instrText>
      </w:r>
      <w:r>
        <w:rPr>
          <w:color w:val="000000" w:themeColor="text1"/>
        </w:rPr>
        <w:fldChar w:fldCharType="separate"/>
      </w:r>
      <w:r>
        <w:rPr>
          <w:color w:val="000000" w:themeColor="text1"/>
        </w:rPr>
        <w:t>183</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"_Toc47375927" </w:instrText>
      </w:r>
      <w:r>
        <w:fldChar w:fldCharType="separate"/>
      </w:r>
      <w:r>
        <w:rPr>
          <w:rStyle w:val="46"/>
          <w:color w:val="000000" w:themeColor="text1"/>
        </w:rPr>
        <w:t>10.1</w:t>
      </w:r>
      <w:r>
        <w:rPr>
          <w:rStyle w:val="46"/>
          <w:rFonts w:hint="eastAsia"/>
          <w:color w:val="000000" w:themeColor="text1"/>
        </w:rPr>
        <w:t>环境管理</w:t>
      </w:r>
      <w:r>
        <w:rPr>
          <w:color w:val="000000" w:themeColor="text1"/>
        </w:rPr>
        <w:tab/>
      </w:r>
      <w:r>
        <w:rPr>
          <w:color w:val="000000" w:themeColor="text1"/>
        </w:rPr>
        <w:fldChar w:fldCharType="begin"/>
      </w:r>
      <w:r>
        <w:rPr>
          <w:color w:val="000000" w:themeColor="text1"/>
        </w:rPr>
        <w:instrText xml:space="preserve"> PAGEREF _Toc47375927 \h </w:instrText>
      </w:r>
      <w:r>
        <w:rPr>
          <w:color w:val="000000" w:themeColor="text1"/>
        </w:rPr>
        <w:fldChar w:fldCharType="separate"/>
      </w:r>
      <w:r>
        <w:rPr>
          <w:color w:val="000000" w:themeColor="text1"/>
        </w:rPr>
        <w:t>183</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"_Toc47375928" </w:instrText>
      </w:r>
      <w:r>
        <w:fldChar w:fldCharType="separate"/>
      </w:r>
      <w:r>
        <w:rPr>
          <w:rStyle w:val="46"/>
          <w:color w:val="000000" w:themeColor="text1"/>
        </w:rPr>
        <w:t>10.1.1</w:t>
      </w:r>
      <w:r>
        <w:rPr>
          <w:rStyle w:val="46"/>
          <w:rFonts w:hint="eastAsia"/>
          <w:color w:val="000000" w:themeColor="text1"/>
        </w:rPr>
        <w:t>环境管理机构</w:t>
      </w:r>
      <w:r>
        <w:rPr>
          <w:color w:val="000000" w:themeColor="text1"/>
        </w:rPr>
        <w:tab/>
      </w:r>
      <w:r>
        <w:rPr>
          <w:color w:val="000000" w:themeColor="text1"/>
        </w:rPr>
        <w:fldChar w:fldCharType="begin"/>
      </w:r>
      <w:r>
        <w:rPr>
          <w:color w:val="000000" w:themeColor="text1"/>
        </w:rPr>
        <w:instrText xml:space="preserve"> PAGEREF _Toc47375928 \h </w:instrText>
      </w:r>
      <w:r>
        <w:rPr>
          <w:color w:val="000000" w:themeColor="text1"/>
        </w:rPr>
        <w:fldChar w:fldCharType="separate"/>
      </w:r>
      <w:r>
        <w:rPr>
          <w:color w:val="000000" w:themeColor="text1"/>
        </w:rPr>
        <w:t>183</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"_Toc47375929" </w:instrText>
      </w:r>
      <w:r>
        <w:fldChar w:fldCharType="separate"/>
      </w:r>
      <w:r>
        <w:rPr>
          <w:rStyle w:val="46"/>
          <w:color w:val="000000" w:themeColor="text1"/>
        </w:rPr>
        <w:t>10.1.2</w:t>
      </w:r>
      <w:r>
        <w:rPr>
          <w:rStyle w:val="46"/>
          <w:rFonts w:hint="eastAsia"/>
          <w:color w:val="000000" w:themeColor="text1"/>
        </w:rPr>
        <w:t>环境管理内容</w:t>
      </w:r>
      <w:r>
        <w:rPr>
          <w:color w:val="000000" w:themeColor="text1"/>
        </w:rPr>
        <w:tab/>
      </w:r>
      <w:r>
        <w:rPr>
          <w:color w:val="000000" w:themeColor="text1"/>
        </w:rPr>
        <w:fldChar w:fldCharType="begin"/>
      </w:r>
      <w:r>
        <w:rPr>
          <w:color w:val="000000" w:themeColor="text1"/>
        </w:rPr>
        <w:instrText xml:space="preserve"> PAGEREF _Toc47375929 \h </w:instrText>
      </w:r>
      <w:r>
        <w:rPr>
          <w:color w:val="000000" w:themeColor="text1"/>
        </w:rPr>
        <w:fldChar w:fldCharType="separate"/>
      </w:r>
      <w:r>
        <w:rPr>
          <w:color w:val="000000" w:themeColor="text1"/>
        </w:rPr>
        <w:t>183</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"_Toc47375930" </w:instrText>
      </w:r>
      <w:r>
        <w:fldChar w:fldCharType="separate"/>
      </w:r>
      <w:r>
        <w:rPr>
          <w:rStyle w:val="46"/>
          <w:color w:val="000000" w:themeColor="text1"/>
        </w:rPr>
        <w:t>10.1.3</w:t>
      </w:r>
      <w:r>
        <w:rPr>
          <w:rStyle w:val="46"/>
          <w:rFonts w:hint="eastAsia"/>
          <w:color w:val="000000" w:themeColor="text1"/>
        </w:rPr>
        <w:t>排污口规范化管理</w:t>
      </w:r>
      <w:r>
        <w:rPr>
          <w:color w:val="000000" w:themeColor="text1"/>
        </w:rPr>
        <w:tab/>
      </w:r>
      <w:r>
        <w:rPr>
          <w:color w:val="000000" w:themeColor="text1"/>
        </w:rPr>
        <w:fldChar w:fldCharType="begin"/>
      </w:r>
      <w:r>
        <w:rPr>
          <w:color w:val="000000" w:themeColor="text1"/>
        </w:rPr>
        <w:instrText xml:space="preserve"> PAGEREF _Toc47375930 \h </w:instrText>
      </w:r>
      <w:r>
        <w:rPr>
          <w:color w:val="000000" w:themeColor="text1"/>
        </w:rPr>
        <w:fldChar w:fldCharType="separate"/>
      </w:r>
      <w:r>
        <w:rPr>
          <w:color w:val="000000" w:themeColor="text1"/>
        </w:rPr>
        <w:t>184</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"_Toc47375931" </w:instrText>
      </w:r>
      <w:r>
        <w:fldChar w:fldCharType="separate"/>
      </w:r>
      <w:r>
        <w:rPr>
          <w:rStyle w:val="46"/>
          <w:color w:val="000000" w:themeColor="text1"/>
        </w:rPr>
        <w:t>10.1.4</w:t>
      </w:r>
      <w:r>
        <w:rPr>
          <w:rStyle w:val="46"/>
          <w:rFonts w:hint="eastAsia"/>
          <w:color w:val="000000" w:themeColor="text1"/>
        </w:rPr>
        <w:t>信息公开制度</w:t>
      </w:r>
      <w:r>
        <w:rPr>
          <w:color w:val="000000" w:themeColor="text1"/>
        </w:rPr>
        <w:tab/>
      </w:r>
      <w:r>
        <w:rPr>
          <w:color w:val="000000" w:themeColor="text1"/>
        </w:rPr>
        <w:fldChar w:fldCharType="begin"/>
      </w:r>
      <w:r>
        <w:rPr>
          <w:color w:val="000000" w:themeColor="text1"/>
        </w:rPr>
        <w:instrText xml:space="preserve"> PAGEREF _Toc47375931 \h </w:instrText>
      </w:r>
      <w:r>
        <w:rPr>
          <w:color w:val="000000" w:themeColor="text1"/>
        </w:rPr>
        <w:fldChar w:fldCharType="separate"/>
      </w:r>
      <w:r>
        <w:rPr>
          <w:color w:val="000000" w:themeColor="text1"/>
        </w:rPr>
        <w:t>185</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"_Toc47375932" </w:instrText>
      </w:r>
      <w:r>
        <w:fldChar w:fldCharType="separate"/>
      </w:r>
      <w:r>
        <w:rPr>
          <w:rStyle w:val="46"/>
          <w:color w:val="000000" w:themeColor="text1"/>
        </w:rPr>
        <w:t>10.2</w:t>
      </w:r>
      <w:r>
        <w:rPr>
          <w:rStyle w:val="46"/>
          <w:rFonts w:hint="eastAsia"/>
          <w:color w:val="000000" w:themeColor="text1"/>
        </w:rPr>
        <w:t>环境监理</w:t>
      </w:r>
      <w:r>
        <w:rPr>
          <w:color w:val="000000" w:themeColor="text1"/>
        </w:rPr>
        <w:tab/>
      </w:r>
      <w:r>
        <w:rPr>
          <w:color w:val="000000" w:themeColor="text1"/>
        </w:rPr>
        <w:fldChar w:fldCharType="begin"/>
      </w:r>
      <w:r>
        <w:rPr>
          <w:color w:val="000000" w:themeColor="text1"/>
        </w:rPr>
        <w:instrText xml:space="preserve"> PAGEREF _Toc47375932 \h </w:instrText>
      </w:r>
      <w:r>
        <w:rPr>
          <w:color w:val="000000" w:themeColor="text1"/>
        </w:rPr>
        <w:fldChar w:fldCharType="separate"/>
      </w:r>
      <w:r>
        <w:rPr>
          <w:color w:val="000000" w:themeColor="text1"/>
        </w:rPr>
        <w:t>186</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"_Toc47375933" </w:instrText>
      </w:r>
      <w:r>
        <w:fldChar w:fldCharType="separate"/>
      </w:r>
      <w:r>
        <w:rPr>
          <w:rStyle w:val="46"/>
          <w:color w:val="000000" w:themeColor="text1"/>
        </w:rPr>
        <w:t>10.2.1</w:t>
      </w:r>
      <w:r>
        <w:rPr>
          <w:rStyle w:val="46"/>
          <w:rFonts w:hint="eastAsia"/>
          <w:color w:val="000000" w:themeColor="text1"/>
        </w:rPr>
        <w:t>环境监理目的</w:t>
      </w:r>
      <w:r>
        <w:rPr>
          <w:color w:val="000000" w:themeColor="text1"/>
        </w:rPr>
        <w:tab/>
      </w:r>
      <w:r>
        <w:rPr>
          <w:color w:val="000000" w:themeColor="text1"/>
        </w:rPr>
        <w:fldChar w:fldCharType="begin"/>
      </w:r>
      <w:r>
        <w:rPr>
          <w:color w:val="000000" w:themeColor="text1"/>
        </w:rPr>
        <w:instrText xml:space="preserve"> PAGEREF _Toc47375933 \h </w:instrText>
      </w:r>
      <w:r>
        <w:rPr>
          <w:color w:val="000000" w:themeColor="text1"/>
        </w:rPr>
        <w:fldChar w:fldCharType="separate"/>
      </w:r>
      <w:r>
        <w:rPr>
          <w:color w:val="000000" w:themeColor="text1"/>
        </w:rPr>
        <w:t>186</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"_Toc47375934" </w:instrText>
      </w:r>
      <w:r>
        <w:fldChar w:fldCharType="separate"/>
      </w:r>
      <w:r>
        <w:rPr>
          <w:rStyle w:val="46"/>
          <w:color w:val="000000" w:themeColor="text1"/>
        </w:rPr>
        <w:t>10.2.2</w:t>
      </w:r>
      <w:r>
        <w:rPr>
          <w:rStyle w:val="46"/>
          <w:rFonts w:hint="eastAsia"/>
          <w:color w:val="000000" w:themeColor="text1"/>
        </w:rPr>
        <w:t>监理机构</w:t>
      </w:r>
      <w:r>
        <w:rPr>
          <w:color w:val="000000" w:themeColor="text1"/>
        </w:rPr>
        <w:tab/>
      </w:r>
      <w:r>
        <w:rPr>
          <w:color w:val="000000" w:themeColor="text1"/>
        </w:rPr>
        <w:fldChar w:fldCharType="begin"/>
      </w:r>
      <w:r>
        <w:rPr>
          <w:color w:val="000000" w:themeColor="text1"/>
        </w:rPr>
        <w:instrText xml:space="preserve"> PAGEREF _Toc47375934 \h </w:instrText>
      </w:r>
      <w:r>
        <w:rPr>
          <w:color w:val="000000" w:themeColor="text1"/>
        </w:rPr>
        <w:fldChar w:fldCharType="separate"/>
      </w:r>
      <w:r>
        <w:rPr>
          <w:color w:val="000000" w:themeColor="text1"/>
        </w:rPr>
        <w:t>186</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"_Toc47375935" </w:instrText>
      </w:r>
      <w:r>
        <w:fldChar w:fldCharType="separate"/>
      </w:r>
      <w:r>
        <w:rPr>
          <w:rStyle w:val="46"/>
          <w:color w:val="000000" w:themeColor="text1"/>
        </w:rPr>
        <w:t>10.2.3</w:t>
      </w:r>
      <w:r>
        <w:rPr>
          <w:rStyle w:val="46"/>
          <w:rFonts w:hint="eastAsia"/>
          <w:color w:val="000000" w:themeColor="text1"/>
        </w:rPr>
        <w:t>环境监理内容</w:t>
      </w:r>
      <w:r>
        <w:rPr>
          <w:color w:val="000000" w:themeColor="text1"/>
        </w:rPr>
        <w:tab/>
      </w:r>
      <w:r>
        <w:rPr>
          <w:color w:val="000000" w:themeColor="text1"/>
        </w:rPr>
        <w:fldChar w:fldCharType="begin"/>
      </w:r>
      <w:r>
        <w:rPr>
          <w:color w:val="000000" w:themeColor="text1"/>
        </w:rPr>
        <w:instrText xml:space="preserve"> PAGEREF _Toc47375935 \h </w:instrText>
      </w:r>
      <w:r>
        <w:rPr>
          <w:color w:val="000000" w:themeColor="text1"/>
        </w:rPr>
        <w:fldChar w:fldCharType="separate"/>
      </w:r>
      <w:r>
        <w:rPr>
          <w:color w:val="000000" w:themeColor="text1"/>
        </w:rPr>
        <w:t>186</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"_Toc47375936" </w:instrText>
      </w:r>
      <w:r>
        <w:fldChar w:fldCharType="separate"/>
      </w:r>
      <w:r>
        <w:rPr>
          <w:rStyle w:val="46"/>
          <w:color w:val="000000" w:themeColor="text1"/>
        </w:rPr>
        <w:t>10.3</w:t>
      </w:r>
      <w:r>
        <w:rPr>
          <w:rStyle w:val="46"/>
          <w:rFonts w:hint="eastAsia"/>
          <w:color w:val="000000" w:themeColor="text1"/>
        </w:rPr>
        <w:t>环境监测</w:t>
      </w:r>
      <w:r>
        <w:rPr>
          <w:color w:val="000000" w:themeColor="text1"/>
        </w:rPr>
        <w:tab/>
      </w:r>
      <w:r>
        <w:rPr>
          <w:color w:val="000000" w:themeColor="text1"/>
        </w:rPr>
        <w:fldChar w:fldCharType="begin"/>
      </w:r>
      <w:r>
        <w:rPr>
          <w:color w:val="000000" w:themeColor="text1"/>
        </w:rPr>
        <w:instrText xml:space="preserve"> PAGEREF _Toc47375936 \h </w:instrText>
      </w:r>
      <w:r>
        <w:rPr>
          <w:color w:val="000000" w:themeColor="text1"/>
        </w:rPr>
        <w:fldChar w:fldCharType="separate"/>
      </w:r>
      <w:r>
        <w:rPr>
          <w:color w:val="000000" w:themeColor="text1"/>
        </w:rPr>
        <w:t>187</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"_Toc47375937" </w:instrText>
      </w:r>
      <w:r>
        <w:fldChar w:fldCharType="separate"/>
      </w:r>
      <w:r>
        <w:rPr>
          <w:rStyle w:val="46"/>
          <w:color w:val="000000" w:themeColor="text1"/>
        </w:rPr>
        <w:t>10.3.1</w:t>
      </w:r>
      <w:r>
        <w:rPr>
          <w:rStyle w:val="46"/>
          <w:rFonts w:hint="eastAsia"/>
          <w:color w:val="000000" w:themeColor="text1"/>
        </w:rPr>
        <w:t>监测目的及监测机构</w:t>
      </w:r>
      <w:r>
        <w:rPr>
          <w:color w:val="000000" w:themeColor="text1"/>
        </w:rPr>
        <w:tab/>
      </w:r>
      <w:r>
        <w:rPr>
          <w:color w:val="000000" w:themeColor="text1"/>
        </w:rPr>
        <w:fldChar w:fldCharType="begin"/>
      </w:r>
      <w:r>
        <w:rPr>
          <w:color w:val="000000" w:themeColor="text1"/>
        </w:rPr>
        <w:instrText xml:space="preserve"> PAGEREF _Toc47375937 \h </w:instrText>
      </w:r>
      <w:r>
        <w:rPr>
          <w:color w:val="000000" w:themeColor="text1"/>
        </w:rPr>
        <w:fldChar w:fldCharType="separate"/>
      </w:r>
      <w:r>
        <w:rPr>
          <w:color w:val="000000" w:themeColor="text1"/>
        </w:rPr>
        <w:t>187</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"_Toc47375938" </w:instrText>
      </w:r>
      <w:r>
        <w:fldChar w:fldCharType="separate"/>
      </w:r>
      <w:r>
        <w:rPr>
          <w:rStyle w:val="46"/>
          <w:color w:val="000000" w:themeColor="text1"/>
        </w:rPr>
        <w:t>10.3.2</w:t>
      </w:r>
      <w:r>
        <w:rPr>
          <w:rStyle w:val="46"/>
          <w:rFonts w:hint="eastAsia"/>
          <w:color w:val="000000" w:themeColor="text1"/>
        </w:rPr>
        <w:t>监测内容及计划</w:t>
      </w:r>
      <w:r>
        <w:rPr>
          <w:color w:val="000000" w:themeColor="text1"/>
        </w:rPr>
        <w:tab/>
      </w:r>
      <w:r>
        <w:rPr>
          <w:color w:val="000000" w:themeColor="text1"/>
        </w:rPr>
        <w:fldChar w:fldCharType="begin"/>
      </w:r>
      <w:r>
        <w:rPr>
          <w:color w:val="000000" w:themeColor="text1"/>
        </w:rPr>
        <w:instrText xml:space="preserve"> PAGEREF _Toc47375938 \h </w:instrText>
      </w:r>
      <w:r>
        <w:rPr>
          <w:color w:val="000000" w:themeColor="text1"/>
        </w:rPr>
        <w:fldChar w:fldCharType="separate"/>
      </w:r>
      <w:r>
        <w:rPr>
          <w:color w:val="000000" w:themeColor="text1"/>
        </w:rPr>
        <w:t>187</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"_Toc47375939" </w:instrText>
      </w:r>
      <w:r>
        <w:fldChar w:fldCharType="separate"/>
      </w:r>
      <w:r>
        <w:rPr>
          <w:rStyle w:val="46"/>
          <w:color w:val="000000" w:themeColor="text1"/>
        </w:rPr>
        <w:t>10.3.3</w:t>
      </w:r>
      <w:r>
        <w:rPr>
          <w:rStyle w:val="46"/>
          <w:rFonts w:hint="eastAsia"/>
          <w:color w:val="000000" w:themeColor="text1"/>
        </w:rPr>
        <w:t>资料审核及上报</w:t>
      </w:r>
      <w:r>
        <w:rPr>
          <w:color w:val="000000" w:themeColor="text1"/>
        </w:rPr>
        <w:tab/>
      </w:r>
      <w:r>
        <w:rPr>
          <w:color w:val="000000" w:themeColor="text1"/>
        </w:rPr>
        <w:fldChar w:fldCharType="begin"/>
      </w:r>
      <w:r>
        <w:rPr>
          <w:color w:val="000000" w:themeColor="text1"/>
        </w:rPr>
        <w:instrText xml:space="preserve"> PAGEREF _Toc47375939 \h </w:instrText>
      </w:r>
      <w:r>
        <w:rPr>
          <w:color w:val="000000" w:themeColor="text1"/>
        </w:rPr>
        <w:fldChar w:fldCharType="separate"/>
      </w:r>
      <w:r>
        <w:rPr>
          <w:color w:val="000000" w:themeColor="text1"/>
        </w:rPr>
        <w:t>188</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"_Toc47375940" </w:instrText>
      </w:r>
      <w:r>
        <w:fldChar w:fldCharType="separate"/>
      </w:r>
      <w:r>
        <w:rPr>
          <w:rStyle w:val="46"/>
          <w:color w:val="000000" w:themeColor="text1"/>
        </w:rPr>
        <w:t>10.3.4</w:t>
      </w:r>
      <w:r>
        <w:rPr>
          <w:rStyle w:val="46"/>
          <w:rFonts w:hint="eastAsia"/>
          <w:color w:val="000000" w:themeColor="text1"/>
        </w:rPr>
        <w:t>竣工验收</w:t>
      </w:r>
      <w:r>
        <w:rPr>
          <w:color w:val="000000" w:themeColor="text1"/>
        </w:rPr>
        <w:tab/>
      </w:r>
      <w:r>
        <w:rPr>
          <w:color w:val="000000" w:themeColor="text1"/>
        </w:rPr>
        <w:fldChar w:fldCharType="begin"/>
      </w:r>
      <w:r>
        <w:rPr>
          <w:color w:val="000000" w:themeColor="text1"/>
        </w:rPr>
        <w:instrText xml:space="preserve"> PAGEREF _Toc47375940 \h </w:instrText>
      </w:r>
      <w:r>
        <w:rPr>
          <w:color w:val="000000" w:themeColor="text1"/>
        </w:rPr>
        <w:fldChar w:fldCharType="separate"/>
      </w:r>
      <w:r>
        <w:rPr>
          <w:color w:val="000000" w:themeColor="text1"/>
        </w:rPr>
        <w:t>188</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"_Toc47375941" </w:instrText>
      </w:r>
      <w:r>
        <w:fldChar w:fldCharType="separate"/>
      </w:r>
      <w:r>
        <w:rPr>
          <w:rStyle w:val="46"/>
          <w:color w:val="000000" w:themeColor="text1"/>
        </w:rPr>
        <w:t>10.4</w:t>
      </w:r>
      <w:r>
        <w:rPr>
          <w:rStyle w:val="46"/>
          <w:rFonts w:hint="eastAsia"/>
          <w:color w:val="000000" w:themeColor="text1"/>
        </w:rPr>
        <w:t>污染物排放清单</w:t>
      </w:r>
      <w:r>
        <w:rPr>
          <w:color w:val="000000" w:themeColor="text1"/>
        </w:rPr>
        <w:tab/>
      </w:r>
      <w:r>
        <w:rPr>
          <w:color w:val="000000" w:themeColor="text1"/>
        </w:rPr>
        <w:fldChar w:fldCharType="begin"/>
      </w:r>
      <w:r>
        <w:rPr>
          <w:color w:val="000000" w:themeColor="text1"/>
        </w:rPr>
        <w:instrText xml:space="preserve"> PAGEREF _Toc47375941 \h </w:instrText>
      </w:r>
      <w:r>
        <w:rPr>
          <w:color w:val="000000" w:themeColor="text1"/>
        </w:rPr>
        <w:fldChar w:fldCharType="separate"/>
      </w:r>
      <w:r>
        <w:rPr>
          <w:color w:val="000000" w:themeColor="text1"/>
        </w:rPr>
        <w:t>189</w:t>
      </w:r>
      <w:r>
        <w:rPr>
          <w:color w:val="000000" w:themeColor="text1"/>
        </w:rPr>
        <w:fldChar w:fldCharType="end"/>
      </w:r>
      <w:r>
        <w:rPr>
          <w:color w:val="000000" w:themeColor="text1"/>
        </w:rPr>
        <w:fldChar w:fldCharType="end"/>
      </w:r>
    </w:p>
    <w:p>
      <w:pPr>
        <w:pStyle w:val="27"/>
        <w:tabs>
          <w:tab w:val="right" w:leader="dot" w:pos="8302"/>
        </w:tabs>
        <w:ind w:firstLine="480"/>
        <w:rPr>
          <w:rFonts w:asciiTheme="minorHAnsi" w:hAnsiTheme="minorHAnsi" w:eastAsiaTheme="minorEastAsia"/>
          <w:color w:val="000000" w:themeColor="text1"/>
          <w:sz w:val="21"/>
        </w:rPr>
      </w:pPr>
      <w:r>
        <w:fldChar w:fldCharType="begin"/>
      </w:r>
      <w:r>
        <w:instrText xml:space="preserve"> HYPERLINK \l "_Toc47375942" </w:instrText>
      </w:r>
      <w:r>
        <w:fldChar w:fldCharType="separate"/>
      </w:r>
      <w:r>
        <w:rPr>
          <w:rStyle w:val="46"/>
          <w:color w:val="000000" w:themeColor="text1"/>
        </w:rPr>
        <w:t>11.</w:t>
      </w:r>
      <w:r>
        <w:rPr>
          <w:rStyle w:val="46"/>
          <w:rFonts w:hint="eastAsia"/>
          <w:color w:val="000000" w:themeColor="text1"/>
        </w:rPr>
        <w:t>结论</w:t>
      </w:r>
      <w:r>
        <w:rPr>
          <w:color w:val="000000" w:themeColor="text1"/>
        </w:rPr>
        <w:tab/>
      </w:r>
      <w:r>
        <w:rPr>
          <w:color w:val="000000" w:themeColor="text1"/>
        </w:rPr>
        <w:fldChar w:fldCharType="begin"/>
      </w:r>
      <w:r>
        <w:rPr>
          <w:color w:val="000000" w:themeColor="text1"/>
        </w:rPr>
        <w:instrText xml:space="preserve"> PAGEREF _Toc47375942 \h </w:instrText>
      </w:r>
      <w:r>
        <w:rPr>
          <w:color w:val="000000" w:themeColor="text1"/>
        </w:rPr>
        <w:fldChar w:fldCharType="separate"/>
      </w:r>
      <w:r>
        <w:rPr>
          <w:color w:val="000000" w:themeColor="text1"/>
        </w:rPr>
        <w:t>192</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"_Toc47375943" </w:instrText>
      </w:r>
      <w:r>
        <w:fldChar w:fldCharType="separate"/>
      </w:r>
      <w:r>
        <w:rPr>
          <w:rStyle w:val="46"/>
          <w:color w:val="000000" w:themeColor="text1"/>
        </w:rPr>
        <w:t>11.1</w:t>
      </w:r>
      <w:r>
        <w:rPr>
          <w:rStyle w:val="46"/>
          <w:rFonts w:hint="eastAsia"/>
          <w:color w:val="000000" w:themeColor="text1"/>
        </w:rPr>
        <w:t>环境影响评价结论</w:t>
      </w:r>
      <w:r>
        <w:rPr>
          <w:color w:val="000000" w:themeColor="text1"/>
        </w:rPr>
        <w:tab/>
      </w:r>
      <w:r>
        <w:rPr>
          <w:color w:val="000000" w:themeColor="text1"/>
        </w:rPr>
        <w:fldChar w:fldCharType="begin"/>
      </w:r>
      <w:r>
        <w:rPr>
          <w:color w:val="000000" w:themeColor="text1"/>
        </w:rPr>
        <w:instrText xml:space="preserve"> PAGEREF _Toc47375943 \h </w:instrText>
      </w:r>
      <w:r>
        <w:rPr>
          <w:color w:val="000000" w:themeColor="text1"/>
        </w:rPr>
        <w:fldChar w:fldCharType="separate"/>
      </w:r>
      <w:r>
        <w:rPr>
          <w:color w:val="000000" w:themeColor="text1"/>
        </w:rPr>
        <w:t>192</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"_Toc47375944" </w:instrText>
      </w:r>
      <w:r>
        <w:fldChar w:fldCharType="separate"/>
      </w:r>
      <w:r>
        <w:rPr>
          <w:rStyle w:val="46"/>
          <w:color w:val="000000" w:themeColor="text1"/>
        </w:rPr>
        <w:t>11.1.1</w:t>
      </w:r>
      <w:r>
        <w:rPr>
          <w:rStyle w:val="46"/>
          <w:rFonts w:hint="eastAsia"/>
          <w:color w:val="000000" w:themeColor="text1"/>
        </w:rPr>
        <w:t>项目概述</w:t>
      </w:r>
      <w:r>
        <w:rPr>
          <w:color w:val="000000" w:themeColor="text1"/>
        </w:rPr>
        <w:tab/>
      </w:r>
      <w:r>
        <w:rPr>
          <w:color w:val="000000" w:themeColor="text1"/>
        </w:rPr>
        <w:fldChar w:fldCharType="begin"/>
      </w:r>
      <w:r>
        <w:rPr>
          <w:color w:val="000000" w:themeColor="text1"/>
        </w:rPr>
        <w:instrText xml:space="preserve"> PAGEREF _Toc47375944 \h </w:instrText>
      </w:r>
      <w:r>
        <w:rPr>
          <w:color w:val="000000" w:themeColor="text1"/>
        </w:rPr>
        <w:fldChar w:fldCharType="separate"/>
      </w:r>
      <w:r>
        <w:rPr>
          <w:color w:val="000000" w:themeColor="text1"/>
        </w:rPr>
        <w:t>192</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"_Toc47375945" </w:instrText>
      </w:r>
      <w:r>
        <w:fldChar w:fldCharType="separate"/>
      </w:r>
      <w:r>
        <w:rPr>
          <w:rStyle w:val="46"/>
          <w:rFonts w:cs="Times New Roman"/>
          <w:color w:val="000000" w:themeColor="text1"/>
        </w:rPr>
        <w:t>11.1.2</w:t>
      </w:r>
      <w:r>
        <w:rPr>
          <w:rStyle w:val="46"/>
          <w:rFonts w:hint="eastAsia"/>
          <w:color w:val="000000" w:themeColor="text1"/>
        </w:rPr>
        <w:t>产业政策、行业管理办法、规划符合性分析结论</w:t>
      </w:r>
      <w:r>
        <w:rPr>
          <w:color w:val="000000" w:themeColor="text1"/>
        </w:rPr>
        <w:tab/>
      </w:r>
      <w:r>
        <w:rPr>
          <w:color w:val="000000" w:themeColor="text1"/>
        </w:rPr>
        <w:fldChar w:fldCharType="begin"/>
      </w:r>
      <w:r>
        <w:rPr>
          <w:color w:val="000000" w:themeColor="text1"/>
        </w:rPr>
        <w:instrText xml:space="preserve"> PAGEREF _Toc47375945 \h </w:instrText>
      </w:r>
      <w:r>
        <w:rPr>
          <w:color w:val="000000" w:themeColor="text1"/>
        </w:rPr>
        <w:fldChar w:fldCharType="separate"/>
      </w:r>
      <w:r>
        <w:rPr>
          <w:color w:val="000000" w:themeColor="text1"/>
        </w:rPr>
        <w:t>192</w:t>
      </w:r>
      <w:r>
        <w:rPr>
          <w:color w:val="000000" w:themeColor="text1"/>
        </w:rPr>
        <w:fldChar w:fldCharType="end"/>
      </w:r>
      <w:r>
        <w:rPr>
          <w:color w:val="000000" w:themeColor="text1"/>
        </w:rPr>
        <w:fldChar w:fldCharType="end"/>
      </w:r>
    </w:p>
    <w:p>
      <w:pPr>
        <w:pStyle w:val="19"/>
        <w:tabs>
          <w:tab w:val="right" w:leader="dot" w:pos="8302"/>
        </w:tabs>
        <w:ind w:left="960" w:firstLine="480"/>
        <w:rPr>
          <w:rFonts w:asciiTheme="minorHAnsi" w:hAnsiTheme="minorHAnsi" w:eastAsiaTheme="minorEastAsia"/>
          <w:color w:val="000000" w:themeColor="text1"/>
          <w:sz w:val="21"/>
        </w:rPr>
      </w:pPr>
      <w:r>
        <w:fldChar w:fldCharType="begin"/>
      </w:r>
      <w:r>
        <w:instrText xml:space="preserve"> HYPERLINK \l "_Toc47375946" </w:instrText>
      </w:r>
      <w:r>
        <w:fldChar w:fldCharType="separate"/>
      </w:r>
      <w:r>
        <w:rPr>
          <w:rStyle w:val="46"/>
          <w:rFonts w:cs="Times New Roman"/>
          <w:color w:val="000000" w:themeColor="text1"/>
        </w:rPr>
        <w:t>11.1.3</w:t>
      </w:r>
      <w:r>
        <w:rPr>
          <w:rStyle w:val="46"/>
          <w:rFonts w:hint="eastAsia"/>
          <w:color w:val="000000" w:themeColor="text1"/>
        </w:rPr>
        <w:t>项目选址合理性分析结论</w:t>
      </w:r>
      <w:r>
        <w:rPr>
          <w:color w:val="000000" w:themeColor="text1"/>
        </w:rPr>
        <w:tab/>
      </w:r>
      <w:r>
        <w:rPr>
          <w:color w:val="000000" w:themeColor="text1"/>
        </w:rPr>
        <w:fldChar w:fldCharType="begin"/>
      </w:r>
      <w:r>
        <w:rPr>
          <w:color w:val="000000" w:themeColor="text1"/>
        </w:rPr>
        <w:instrText xml:space="preserve"> PAGEREF _Toc47375946 \h </w:instrText>
      </w:r>
      <w:r>
        <w:rPr>
          <w:color w:val="000000" w:themeColor="text1"/>
        </w:rPr>
        <w:fldChar w:fldCharType="separate"/>
      </w:r>
      <w:r>
        <w:rPr>
          <w:color w:val="000000" w:themeColor="text1"/>
        </w:rPr>
        <w:t>193</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"_Toc47375947" </w:instrText>
      </w:r>
      <w:r>
        <w:fldChar w:fldCharType="separate"/>
      </w:r>
      <w:r>
        <w:rPr>
          <w:rStyle w:val="46"/>
          <w:rFonts w:cs="Times New Roman"/>
          <w:color w:val="000000" w:themeColor="text1"/>
        </w:rPr>
        <w:t>11.2</w:t>
      </w:r>
      <w:r>
        <w:rPr>
          <w:rStyle w:val="46"/>
          <w:rFonts w:hint="eastAsia"/>
          <w:color w:val="000000" w:themeColor="text1"/>
        </w:rPr>
        <w:t>评价区域的环境质量状况</w:t>
      </w:r>
      <w:r>
        <w:rPr>
          <w:color w:val="000000" w:themeColor="text1"/>
        </w:rPr>
        <w:tab/>
      </w:r>
      <w:r>
        <w:rPr>
          <w:color w:val="000000" w:themeColor="text1"/>
        </w:rPr>
        <w:fldChar w:fldCharType="begin"/>
      </w:r>
      <w:r>
        <w:rPr>
          <w:color w:val="000000" w:themeColor="text1"/>
        </w:rPr>
        <w:instrText xml:space="preserve"> PAGEREF _Toc47375947 \h </w:instrText>
      </w:r>
      <w:r>
        <w:rPr>
          <w:color w:val="000000" w:themeColor="text1"/>
        </w:rPr>
        <w:fldChar w:fldCharType="separate"/>
      </w:r>
      <w:r>
        <w:rPr>
          <w:color w:val="000000" w:themeColor="text1"/>
        </w:rPr>
        <w:t>193</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"_Toc47375948" </w:instrText>
      </w:r>
      <w:r>
        <w:fldChar w:fldCharType="separate"/>
      </w:r>
      <w:r>
        <w:rPr>
          <w:rStyle w:val="46"/>
          <w:rFonts w:cs="Times New Roman"/>
          <w:color w:val="000000" w:themeColor="text1"/>
        </w:rPr>
        <w:t>11.4</w:t>
      </w:r>
      <w:r>
        <w:rPr>
          <w:rStyle w:val="46"/>
          <w:rFonts w:hint="eastAsia"/>
          <w:color w:val="000000" w:themeColor="text1"/>
        </w:rPr>
        <w:t>总量控制结论</w:t>
      </w:r>
      <w:r>
        <w:rPr>
          <w:color w:val="000000" w:themeColor="text1"/>
        </w:rPr>
        <w:tab/>
      </w:r>
      <w:r>
        <w:rPr>
          <w:color w:val="000000" w:themeColor="text1"/>
        </w:rPr>
        <w:fldChar w:fldCharType="begin"/>
      </w:r>
      <w:r>
        <w:rPr>
          <w:color w:val="000000" w:themeColor="text1"/>
        </w:rPr>
        <w:instrText xml:space="preserve"> PAGEREF _Toc47375948 \h </w:instrText>
      </w:r>
      <w:r>
        <w:rPr>
          <w:color w:val="000000" w:themeColor="text1"/>
        </w:rPr>
        <w:fldChar w:fldCharType="separate"/>
      </w:r>
      <w:r>
        <w:rPr>
          <w:color w:val="000000" w:themeColor="text1"/>
        </w:rPr>
        <w:t>194</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"_Toc47375949" </w:instrText>
      </w:r>
      <w:r>
        <w:fldChar w:fldCharType="separate"/>
      </w:r>
      <w:r>
        <w:rPr>
          <w:rStyle w:val="46"/>
          <w:rFonts w:cs="Times New Roman"/>
          <w:color w:val="000000" w:themeColor="text1"/>
        </w:rPr>
        <w:t>11.5</w:t>
      </w:r>
      <w:r>
        <w:rPr>
          <w:rStyle w:val="46"/>
          <w:rFonts w:hint="eastAsia"/>
          <w:color w:val="000000" w:themeColor="text1"/>
        </w:rPr>
        <w:t>建设项目环境影响分析结论</w:t>
      </w:r>
      <w:r>
        <w:rPr>
          <w:color w:val="000000" w:themeColor="text1"/>
        </w:rPr>
        <w:tab/>
      </w:r>
      <w:r>
        <w:rPr>
          <w:color w:val="000000" w:themeColor="text1"/>
        </w:rPr>
        <w:fldChar w:fldCharType="begin"/>
      </w:r>
      <w:r>
        <w:rPr>
          <w:color w:val="000000" w:themeColor="text1"/>
        </w:rPr>
        <w:instrText xml:space="preserve"> PAGEREF _Toc47375949 \h </w:instrText>
      </w:r>
      <w:r>
        <w:rPr>
          <w:color w:val="000000" w:themeColor="text1"/>
        </w:rPr>
        <w:fldChar w:fldCharType="separate"/>
      </w:r>
      <w:r>
        <w:rPr>
          <w:color w:val="000000" w:themeColor="text1"/>
        </w:rPr>
        <w:t>195</w:t>
      </w:r>
      <w:r>
        <w:rPr>
          <w:color w:val="000000" w:themeColor="text1"/>
        </w:rPr>
        <w:fldChar w:fldCharType="end"/>
      </w:r>
      <w:r>
        <w:rPr>
          <w:color w:val="000000" w:themeColor="text1"/>
        </w:rPr>
        <w:fldChar w:fldCharType="end"/>
      </w:r>
    </w:p>
    <w:p>
      <w:pPr>
        <w:pStyle w:val="33"/>
        <w:tabs>
          <w:tab w:val="right" w:leader="dot" w:pos="8302"/>
        </w:tabs>
        <w:ind w:left="480" w:firstLine="480"/>
        <w:rPr>
          <w:rFonts w:asciiTheme="minorHAnsi" w:hAnsiTheme="minorHAnsi" w:eastAsiaTheme="minorEastAsia"/>
          <w:color w:val="000000" w:themeColor="text1"/>
          <w:sz w:val="21"/>
        </w:rPr>
      </w:pPr>
      <w:r>
        <w:fldChar w:fldCharType="begin"/>
      </w:r>
      <w:r>
        <w:instrText xml:space="preserve"> HYPERLINK \l "_Toc47375950" </w:instrText>
      </w:r>
      <w:r>
        <w:fldChar w:fldCharType="separate"/>
      </w:r>
      <w:r>
        <w:rPr>
          <w:rStyle w:val="46"/>
          <w:color w:val="000000" w:themeColor="text1"/>
        </w:rPr>
        <w:t>11.6</w:t>
      </w:r>
      <w:r>
        <w:rPr>
          <w:rStyle w:val="46"/>
          <w:rFonts w:hint="eastAsia"/>
          <w:color w:val="000000" w:themeColor="text1"/>
        </w:rPr>
        <w:t>总结论</w:t>
      </w:r>
      <w:r>
        <w:rPr>
          <w:color w:val="000000" w:themeColor="text1"/>
        </w:rPr>
        <w:tab/>
      </w:r>
      <w:r>
        <w:rPr>
          <w:color w:val="000000" w:themeColor="text1"/>
        </w:rPr>
        <w:fldChar w:fldCharType="begin"/>
      </w:r>
      <w:r>
        <w:rPr>
          <w:color w:val="000000" w:themeColor="text1"/>
        </w:rPr>
        <w:instrText xml:space="preserve"> PAGEREF _Toc47375950 \h </w:instrText>
      </w:r>
      <w:r>
        <w:rPr>
          <w:color w:val="000000" w:themeColor="text1"/>
        </w:rPr>
        <w:fldChar w:fldCharType="separate"/>
      </w:r>
      <w:r>
        <w:rPr>
          <w:color w:val="000000" w:themeColor="text1"/>
        </w:rPr>
        <w:t>196</w:t>
      </w:r>
      <w:r>
        <w:rPr>
          <w:color w:val="000000" w:themeColor="text1"/>
        </w:rPr>
        <w:fldChar w:fldCharType="end"/>
      </w:r>
      <w:r>
        <w:rPr>
          <w:color w:val="000000" w:themeColor="text1"/>
        </w:rPr>
        <w:fldChar w:fldCharType="end"/>
      </w:r>
    </w:p>
    <w:p>
      <w:pPr>
        <w:pStyle w:val="2"/>
        <w:spacing w:before="192" w:after="192"/>
        <w:rPr>
          <w:rStyle w:val="52"/>
          <w:b/>
          <w:bCs w:val="0"/>
          <w:i w:val="0"/>
          <w:iCs w:val="0"/>
          <w:color w:val="000000" w:themeColor="text1"/>
          <w:szCs w:val="24"/>
        </w:rPr>
        <w:sectPr>
          <w:pgSz w:w="11906" w:h="16838"/>
          <w:pgMar w:top="1440" w:right="1797" w:bottom="1440" w:left="1797" w:header="851" w:footer="992" w:gutter="0"/>
          <w:pgNumType w:fmt="lowerRoman" w:start="1"/>
          <w:cols w:space="720" w:num="1"/>
        </w:sectPr>
      </w:pPr>
      <w:r>
        <w:rPr>
          <w:rStyle w:val="52"/>
          <w:b/>
          <w:bCs w:val="0"/>
          <w:i w:val="0"/>
          <w:iCs w:val="0"/>
          <w:color w:val="000000" w:themeColor="text1"/>
          <w:szCs w:val="24"/>
        </w:rPr>
        <w:fldChar w:fldCharType="end"/>
      </w:r>
    </w:p>
    <w:p>
      <w:pPr>
        <w:pStyle w:val="2"/>
        <w:spacing w:before="192" w:after="192"/>
        <w:rPr>
          <w:rStyle w:val="52"/>
          <w:b/>
          <w:bCs w:val="0"/>
          <w:i w:val="0"/>
          <w:iCs w:val="0"/>
          <w:color w:val="000000" w:themeColor="text1"/>
          <w:szCs w:val="24"/>
        </w:rPr>
      </w:pPr>
      <w:bookmarkStart w:id="0" w:name="_Toc47375765"/>
      <w:r>
        <w:rPr>
          <w:rStyle w:val="52"/>
          <w:rFonts w:hint="eastAsia"/>
          <w:b/>
          <w:bCs w:val="0"/>
          <w:i w:val="0"/>
          <w:iCs w:val="0"/>
          <w:color w:val="000000" w:themeColor="text1"/>
          <w:szCs w:val="24"/>
        </w:rPr>
        <w:t>1.总则</w:t>
      </w:r>
      <w:bookmarkEnd w:id="0"/>
    </w:p>
    <w:p>
      <w:pPr>
        <w:pStyle w:val="3"/>
        <w:rPr>
          <w:color w:val="000000" w:themeColor="text1"/>
        </w:rPr>
      </w:pPr>
      <w:bookmarkStart w:id="1" w:name="_Toc47375766"/>
      <w:r>
        <w:rPr>
          <w:rFonts w:hint="eastAsia"/>
          <w:color w:val="000000" w:themeColor="text1"/>
        </w:rPr>
        <w:t>1.1编制依据</w:t>
      </w:r>
      <w:bookmarkEnd w:id="1"/>
    </w:p>
    <w:p>
      <w:pPr>
        <w:pStyle w:val="38"/>
        <w:ind w:firstLine="281"/>
        <w:rPr>
          <w:color w:val="000000" w:themeColor="text1"/>
        </w:rPr>
      </w:pPr>
      <w:bookmarkStart w:id="2" w:name="_Toc47375767"/>
      <w:r>
        <w:rPr>
          <w:rFonts w:hint="eastAsia"/>
          <w:color w:val="000000" w:themeColor="text1"/>
        </w:rPr>
        <w:t>1.1.1国家法规及政策依据</w:t>
      </w:r>
      <w:bookmarkEnd w:id="2"/>
    </w:p>
    <w:p>
      <w:pPr>
        <w:pStyle w:val="57"/>
        <w:ind w:firstLine="482"/>
        <w:rPr>
          <w:color w:val="000000" w:themeColor="text1"/>
        </w:rPr>
      </w:pPr>
      <w:r>
        <w:rPr>
          <w:rFonts w:hint="eastAsia"/>
          <w:color w:val="000000" w:themeColor="text1"/>
        </w:rPr>
        <w:t>1.1.1.1国家法律</w:t>
      </w:r>
    </w:p>
    <w:p>
      <w:pPr>
        <w:ind w:firstLine="480"/>
        <w:rPr>
          <w:color w:val="000000" w:themeColor="text1"/>
        </w:rPr>
      </w:pPr>
      <w:r>
        <w:rPr>
          <w:rFonts w:hint="eastAsia"/>
          <w:color w:val="000000" w:themeColor="text1"/>
        </w:rPr>
        <w:t>（1）《中华人民共和国环境保护法》，2014年4月24日第十二届人大常委会第八次会议修订通过，自2015年1月1日起施行；</w:t>
      </w:r>
    </w:p>
    <w:p>
      <w:pPr>
        <w:ind w:firstLine="480"/>
        <w:rPr>
          <w:color w:val="000000" w:themeColor="text1"/>
        </w:rPr>
      </w:pPr>
      <w:r>
        <w:rPr>
          <w:rFonts w:hint="eastAsia"/>
          <w:color w:val="000000" w:themeColor="text1"/>
        </w:rPr>
        <w:t>（2）《中华人民共和国噪声污染防治法》，中华人民共和国主席令第24号，中华人民共和国第十三届全国人民代表大会常务委员会第七次会议于2018年12月29日修正，自公布之日起施行；</w:t>
      </w:r>
    </w:p>
    <w:p>
      <w:pPr>
        <w:ind w:firstLine="480"/>
        <w:rPr>
          <w:color w:val="000000" w:themeColor="text1"/>
        </w:rPr>
      </w:pPr>
      <w:r>
        <w:rPr>
          <w:rFonts w:hint="eastAsia"/>
          <w:color w:val="000000" w:themeColor="text1"/>
        </w:rPr>
        <w:t>（3）《中华人民共和国大气污染防治法》，中华人民共和国主席令16号，2018年10月26日第十三届全国人民代表大会常务委员会第六次会议修正通过，自公布之日起施行；</w:t>
      </w:r>
    </w:p>
    <w:p>
      <w:pPr>
        <w:ind w:firstLine="480"/>
        <w:rPr>
          <w:color w:val="000000" w:themeColor="text1"/>
        </w:rPr>
      </w:pPr>
      <w:r>
        <w:rPr>
          <w:rFonts w:hint="eastAsia"/>
          <w:color w:val="000000" w:themeColor="text1"/>
        </w:rPr>
        <w:t>（4）《中华人民共和国清洁生产促进法》，第十一届全国人民代表大会常务委员会第二十五次会议于2012年2月29日修订通过，自2012年7月1日起施行；</w:t>
      </w:r>
    </w:p>
    <w:p>
      <w:pPr>
        <w:ind w:firstLine="480"/>
        <w:rPr>
          <w:color w:val="000000" w:themeColor="text1"/>
        </w:rPr>
      </w:pPr>
      <w:r>
        <w:rPr>
          <w:rFonts w:hint="eastAsia"/>
          <w:color w:val="000000" w:themeColor="text1"/>
        </w:rPr>
        <w:t>（5）《中华人民共和国水法》，中华人民共和国主席令第48号，中华人民共和国第十二届全国人民代表大会常务委员会第二十一次会议于2016年7月2日修订，自公布之日起施行；</w:t>
      </w:r>
    </w:p>
    <w:p>
      <w:pPr>
        <w:ind w:firstLine="480"/>
        <w:rPr>
          <w:color w:val="000000" w:themeColor="text1"/>
        </w:rPr>
      </w:pPr>
      <w:r>
        <w:rPr>
          <w:rFonts w:hint="eastAsia"/>
          <w:color w:val="000000" w:themeColor="text1"/>
        </w:rPr>
        <w:t>（6）《中华人民共和国环境影响评价法》，中华人民共和国主席令第24号，中华人民共和国第十三届全国人民代表大会常务委员会第七次会议于2018年12月29日修正，自公布之日起施行；</w:t>
      </w:r>
    </w:p>
    <w:p>
      <w:pPr>
        <w:ind w:firstLine="480"/>
        <w:rPr>
          <w:color w:val="000000" w:themeColor="text1"/>
        </w:rPr>
      </w:pPr>
      <w:r>
        <w:rPr>
          <w:rFonts w:hint="eastAsia"/>
          <w:color w:val="000000" w:themeColor="text1"/>
        </w:rPr>
        <w:t>（7）《中华人民共和国土地管理法》，中华人民共和国主席令28号，第十届全国人民代表大会常务委员会第十一次会议于2004年8月28日通过，自公布之日起施行；</w:t>
      </w:r>
    </w:p>
    <w:p>
      <w:pPr>
        <w:ind w:firstLine="480"/>
        <w:rPr>
          <w:color w:val="000000" w:themeColor="text1"/>
        </w:rPr>
      </w:pPr>
      <w:r>
        <w:rPr>
          <w:rFonts w:hint="eastAsia"/>
          <w:color w:val="000000" w:themeColor="text1"/>
        </w:rPr>
        <w:t>（8）《中华人民共和国水土保持法》，中华人民共和国主席令39号，第十一届全国人民代表大会常务委员会第十八次会议于2010年12月25日修订通过，自2011年3月1日起施行；</w:t>
      </w:r>
    </w:p>
    <w:p>
      <w:pPr>
        <w:ind w:firstLine="480"/>
        <w:rPr>
          <w:color w:val="000000" w:themeColor="text1"/>
        </w:rPr>
      </w:pPr>
      <w:r>
        <w:rPr>
          <w:rFonts w:hint="eastAsia"/>
          <w:color w:val="000000" w:themeColor="text1"/>
        </w:rPr>
        <w:t>（9）《中华人民共和国固体废物污染环境防治法》，中华人民共和国主席令57号，第十二届全国人民代表大会常务委员会第二十四次会议于2016年11月7日修正，自公布之日起施行；</w:t>
      </w:r>
    </w:p>
    <w:p>
      <w:pPr>
        <w:ind w:firstLine="480"/>
        <w:rPr>
          <w:color w:val="000000" w:themeColor="text1"/>
        </w:rPr>
      </w:pPr>
      <w:r>
        <w:rPr>
          <w:rFonts w:hint="eastAsia"/>
          <w:color w:val="000000" w:themeColor="text1"/>
        </w:rPr>
        <w:t>（10）《中华人民共和国节约能源法》，中华人民共和国主席令16号，2018年10月26日第十三届全国人民代表大会常务委员会第六次会议修正通过，自公布之日起施行；</w:t>
      </w:r>
    </w:p>
    <w:p>
      <w:pPr>
        <w:ind w:firstLine="480"/>
        <w:rPr>
          <w:color w:val="000000" w:themeColor="text1"/>
        </w:rPr>
      </w:pPr>
      <w:r>
        <w:rPr>
          <w:rFonts w:hint="eastAsia"/>
          <w:color w:val="000000" w:themeColor="text1"/>
        </w:rPr>
        <w:t>（11）《中华人民共和国水污染防治法》，2017年6月27日第十二届全国人民代表大会常务委员会第二十八次会议修正通过，自2018年1月1日起施行；</w:t>
      </w:r>
    </w:p>
    <w:p>
      <w:pPr>
        <w:ind w:firstLine="480"/>
        <w:rPr>
          <w:color w:val="000000" w:themeColor="text1"/>
        </w:rPr>
      </w:pPr>
      <w:r>
        <w:rPr>
          <w:rFonts w:hint="eastAsia"/>
          <w:color w:val="000000" w:themeColor="text1"/>
        </w:rPr>
        <w:t>（12）《中华人民共和国循环经济促进法》，中华人民共和国主席令16号，2018年10月26日第十三届全国人民代表大会常务委员会第六次会议修正通过，自公布之日起施行；</w:t>
      </w:r>
    </w:p>
    <w:p>
      <w:pPr>
        <w:ind w:firstLine="480"/>
        <w:rPr>
          <w:color w:val="000000" w:themeColor="text1"/>
        </w:rPr>
      </w:pPr>
      <w:r>
        <w:rPr>
          <w:rFonts w:hint="eastAsia"/>
          <w:color w:val="000000" w:themeColor="text1"/>
        </w:rPr>
        <w:t>（13）《中华人民共和国国民经济和社会发展第十三个五年规划纲要》，第十二届全国人民代表大会第四次会议，2016年3月16日通过；</w:t>
      </w:r>
    </w:p>
    <w:p>
      <w:pPr>
        <w:ind w:firstLine="480"/>
        <w:rPr>
          <w:color w:val="000000" w:themeColor="text1"/>
        </w:rPr>
      </w:pPr>
      <w:r>
        <w:rPr>
          <w:rFonts w:hint="eastAsia"/>
          <w:color w:val="000000" w:themeColor="text1"/>
        </w:rPr>
        <w:t>（14）《中华人民共和国环境保护税法》，中华人民共和国主席令16号，2018年10月26日第十三届全国人民代表大会常务委员会第六次会议修正通过，自公布之日起施行；</w:t>
      </w:r>
    </w:p>
    <w:p>
      <w:pPr>
        <w:ind w:firstLine="480"/>
        <w:rPr>
          <w:color w:val="000000" w:themeColor="text1"/>
        </w:rPr>
      </w:pPr>
      <w:r>
        <w:rPr>
          <w:rFonts w:hint="eastAsia"/>
          <w:color w:val="000000" w:themeColor="text1"/>
        </w:rPr>
        <w:t>（15）《中华人民共和国土壤污染防治法》，中华人民共和国主席令8号，2018年8月31日第十三届全国人大常委会第五次会议通过，自公2019年1月1日起施行。</w:t>
      </w:r>
    </w:p>
    <w:p>
      <w:pPr>
        <w:pStyle w:val="57"/>
        <w:ind w:firstLine="482"/>
        <w:rPr>
          <w:color w:val="000000" w:themeColor="text1"/>
        </w:rPr>
      </w:pPr>
      <w:r>
        <w:rPr>
          <w:rFonts w:hint="eastAsia"/>
          <w:color w:val="000000" w:themeColor="text1"/>
        </w:rPr>
        <w:t>1.1.1.2法规、国务院文件</w:t>
      </w:r>
    </w:p>
    <w:p>
      <w:pPr>
        <w:ind w:firstLine="480"/>
        <w:rPr>
          <w:color w:val="000000" w:themeColor="text1"/>
        </w:rPr>
      </w:pPr>
      <w:r>
        <w:rPr>
          <w:rFonts w:hint="eastAsia"/>
          <w:color w:val="000000" w:themeColor="text1"/>
        </w:rPr>
        <w:t>（1）《建设项目环境保护管理条例》，中华人民共和国国务院令第682号，2017年6月21日国务院第177次常务会议通过修订，2017年10月1日实施；</w:t>
      </w:r>
    </w:p>
    <w:p>
      <w:pPr>
        <w:ind w:firstLine="480"/>
        <w:rPr>
          <w:color w:val="000000" w:themeColor="text1"/>
        </w:rPr>
      </w:pPr>
      <w:r>
        <w:rPr>
          <w:rFonts w:hint="eastAsia"/>
          <w:color w:val="000000" w:themeColor="text1"/>
        </w:rPr>
        <w:t>（2）《全国生态环境保护纲要》，国务院，国发[2000]38号，2000年11月26日；</w:t>
      </w:r>
    </w:p>
    <w:p>
      <w:pPr>
        <w:ind w:firstLine="480"/>
        <w:rPr>
          <w:color w:val="000000" w:themeColor="text1"/>
        </w:rPr>
      </w:pPr>
      <w:r>
        <w:rPr>
          <w:rFonts w:hint="eastAsia"/>
          <w:color w:val="000000" w:themeColor="text1"/>
        </w:rPr>
        <w:t>（3）《国务院关于落实科学发展观加强环境保护的决定》，国发[2005]第39号，2005年12月3日；</w:t>
      </w:r>
    </w:p>
    <w:p>
      <w:pPr>
        <w:ind w:firstLine="480"/>
        <w:rPr>
          <w:color w:val="000000" w:themeColor="text1"/>
        </w:rPr>
      </w:pPr>
      <w:r>
        <w:rPr>
          <w:rFonts w:hint="eastAsia"/>
          <w:color w:val="000000" w:themeColor="text1"/>
        </w:rPr>
        <w:t>（4）《国家突发环境事件应急预案》，国务院，2006年1月24日颁布并实施；</w:t>
      </w:r>
    </w:p>
    <w:p>
      <w:pPr>
        <w:ind w:firstLine="480"/>
        <w:rPr>
          <w:color w:val="000000" w:themeColor="text1"/>
        </w:rPr>
      </w:pPr>
      <w:r>
        <w:rPr>
          <w:rFonts w:hint="eastAsia"/>
          <w:color w:val="000000" w:themeColor="text1"/>
        </w:rPr>
        <w:t>（5）《国务院关于加强节能工作的决定》，国发[2006]第28号，2006年8月23日；</w:t>
      </w:r>
    </w:p>
    <w:p>
      <w:pPr>
        <w:ind w:firstLine="480"/>
        <w:rPr>
          <w:color w:val="000000" w:themeColor="text1"/>
        </w:rPr>
      </w:pPr>
      <w:r>
        <w:rPr>
          <w:rFonts w:hint="eastAsia"/>
          <w:color w:val="000000" w:themeColor="text1"/>
        </w:rPr>
        <w:t>（6）《国务院关于印发节能减排综合性工作方案的通知》，国发[2007]第15号，2007年6月3日；</w:t>
      </w:r>
    </w:p>
    <w:p>
      <w:pPr>
        <w:ind w:firstLine="480"/>
        <w:rPr>
          <w:color w:val="000000" w:themeColor="text1"/>
        </w:rPr>
      </w:pPr>
      <w:r>
        <w:rPr>
          <w:rFonts w:hint="eastAsia"/>
          <w:color w:val="000000" w:themeColor="text1"/>
        </w:rPr>
        <w:t>（7）《国务院办公厅关于加强和规范新开工项目管理的通知》，国办发[2007]64号，2007年11月17日；</w:t>
      </w:r>
    </w:p>
    <w:p>
      <w:pPr>
        <w:ind w:firstLine="480"/>
        <w:rPr>
          <w:color w:val="000000" w:themeColor="text1"/>
        </w:rPr>
      </w:pPr>
      <w:r>
        <w:rPr>
          <w:rFonts w:hint="eastAsia"/>
          <w:color w:val="000000" w:themeColor="text1"/>
        </w:rPr>
        <w:t>（8）《国务院关于重点区域大气污染防治“十二五”规划的批复》，国函[2012]146号，2012年9月27日；</w:t>
      </w:r>
    </w:p>
    <w:p>
      <w:pPr>
        <w:ind w:firstLine="480"/>
        <w:rPr>
          <w:color w:val="000000" w:themeColor="text1"/>
        </w:rPr>
      </w:pPr>
      <w:r>
        <w:rPr>
          <w:rFonts w:hint="eastAsia"/>
          <w:color w:val="000000" w:themeColor="text1"/>
        </w:rPr>
        <w:t>（9）《国务院办公</w:t>
      </w:r>
      <w:r>
        <w:rPr>
          <w:rFonts w:hint="eastAsia"/>
          <w:color w:val="000000" w:themeColor="text1"/>
          <w:lang w:eastAsia="zh-CN"/>
        </w:rPr>
        <w:t>厅</w:t>
      </w:r>
      <w:r>
        <w:rPr>
          <w:rFonts w:hint="eastAsia"/>
          <w:color w:val="000000" w:themeColor="text1"/>
        </w:rPr>
        <w:t>关于印发突发事件应急预案管理办法的通知》，国办发[2013]101号，2013年10月25日；</w:t>
      </w:r>
    </w:p>
    <w:p>
      <w:pPr>
        <w:ind w:firstLine="480"/>
        <w:rPr>
          <w:color w:val="000000" w:themeColor="text1"/>
        </w:rPr>
      </w:pPr>
      <w:r>
        <w:rPr>
          <w:rFonts w:hint="eastAsia"/>
          <w:color w:val="000000" w:themeColor="text1"/>
        </w:rPr>
        <w:t>（10）《国务院关于印发大气污染防治行动计划的通知》，国发[2013]37号，2013年9月10日；</w:t>
      </w:r>
    </w:p>
    <w:p>
      <w:pPr>
        <w:ind w:firstLine="480"/>
        <w:rPr>
          <w:color w:val="000000" w:themeColor="text1"/>
        </w:rPr>
      </w:pPr>
      <w:r>
        <w:rPr>
          <w:rFonts w:hint="eastAsia"/>
          <w:color w:val="000000" w:themeColor="text1"/>
        </w:rPr>
        <w:t>（11）《畜禽规模养殖污染防治条例》，国务院令第643号，2014年1月1日实施；</w:t>
      </w:r>
    </w:p>
    <w:p>
      <w:pPr>
        <w:ind w:firstLine="480"/>
        <w:rPr>
          <w:color w:val="000000" w:themeColor="text1"/>
        </w:rPr>
      </w:pPr>
      <w:r>
        <w:rPr>
          <w:rFonts w:hint="eastAsia"/>
          <w:color w:val="000000" w:themeColor="text1"/>
        </w:rPr>
        <w:t>（12）《国务院关于印发水污染防治行动计划的通知》，国发[2015]17号，2015年4月2日；</w:t>
      </w:r>
    </w:p>
    <w:p>
      <w:pPr>
        <w:ind w:firstLine="480"/>
        <w:rPr>
          <w:color w:val="000000" w:themeColor="text1"/>
        </w:rPr>
      </w:pPr>
      <w:r>
        <w:rPr>
          <w:rFonts w:hint="eastAsia"/>
          <w:color w:val="000000" w:themeColor="text1"/>
        </w:rPr>
        <w:t>（13）《国务院关于印发土壤污染防治行动计划的通知》，国发[2016]31号，2016年5月28日；</w:t>
      </w:r>
    </w:p>
    <w:p>
      <w:pPr>
        <w:ind w:firstLine="480"/>
        <w:rPr>
          <w:color w:val="000000" w:themeColor="text1"/>
        </w:rPr>
      </w:pPr>
      <w:r>
        <w:rPr>
          <w:rFonts w:hint="eastAsia"/>
          <w:color w:val="000000" w:themeColor="text1"/>
        </w:rPr>
        <w:t>（14）《国务院关于印发“十三五”生态环境保护规划的通知》，国发[2016]65号，2016年11月24日；</w:t>
      </w:r>
    </w:p>
    <w:p>
      <w:pPr>
        <w:ind w:firstLine="480"/>
        <w:rPr>
          <w:color w:val="000000" w:themeColor="text1"/>
        </w:rPr>
      </w:pPr>
      <w:r>
        <w:rPr>
          <w:rFonts w:hint="eastAsia"/>
          <w:color w:val="000000" w:themeColor="text1"/>
        </w:rPr>
        <w:t>（15）《国务院关于印发“十三五”节能减排综合性工作方案的通知》，国发[2016]74号，2016年12月20日</w:t>
      </w:r>
    </w:p>
    <w:p>
      <w:pPr>
        <w:ind w:firstLine="480"/>
        <w:rPr>
          <w:color w:val="000000" w:themeColor="text1"/>
        </w:rPr>
      </w:pPr>
      <w:r>
        <w:rPr>
          <w:rFonts w:hint="eastAsia"/>
          <w:color w:val="000000" w:themeColor="text1"/>
        </w:rPr>
        <w:t>（16）《国务院关于印发打赢蓝天保卫战三年行动计划的通知》，（国发[2018]22号，2018年6月17日。</w:t>
      </w:r>
    </w:p>
    <w:p>
      <w:pPr>
        <w:pStyle w:val="57"/>
        <w:ind w:firstLine="482"/>
        <w:rPr>
          <w:color w:val="000000" w:themeColor="text1"/>
        </w:rPr>
      </w:pPr>
      <w:r>
        <w:rPr>
          <w:rFonts w:hint="eastAsia"/>
          <w:color w:val="000000" w:themeColor="text1"/>
        </w:rPr>
        <w:t>1.1.1.3国家环保部文件</w:t>
      </w:r>
    </w:p>
    <w:p>
      <w:pPr>
        <w:ind w:firstLine="480"/>
        <w:rPr>
          <w:color w:val="000000" w:themeColor="text1"/>
        </w:rPr>
      </w:pPr>
      <w:r>
        <w:rPr>
          <w:rFonts w:hint="eastAsia"/>
          <w:color w:val="000000" w:themeColor="text1"/>
        </w:rPr>
        <w:t>（1）《危险废物转移联单管理办法》，国家环境保护总局令第5号，1999年6月22日；</w:t>
      </w:r>
    </w:p>
    <w:p>
      <w:pPr>
        <w:ind w:firstLine="480"/>
        <w:rPr>
          <w:color w:val="000000" w:themeColor="text1"/>
        </w:rPr>
      </w:pPr>
      <w:r>
        <w:rPr>
          <w:rFonts w:hint="eastAsia"/>
          <w:color w:val="000000" w:themeColor="text1"/>
        </w:rPr>
        <w:t>（2）《关于发布&lt;危险废物污染防治技术政策&gt;的通知》，国家环保总局，环发[2001]199号，2001年12月17日；</w:t>
      </w:r>
    </w:p>
    <w:p>
      <w:pPr>
        <w:ind w:firstLine="480"/>
        <w:rPr>
          <w:color w:val="000000" w:themeColor="text1"/>
        </w:rPr>
      </w:pPr>
      <w:r>
        <w:rPr>
          <w:rFonts w:hint="eastAsia"/>
          <w:color w:val="000000" w:themeColor="text1"/>
        </w:rPr>
        <w:t>（3）《关于贯彻落实&lt;清洁生产促进法&gt;的若干意见》，国家环保总局，环发[2003]60号，2003年4月4日颁布并生效；</w:t>
      </w:r>
    </w:p>
    <w:p>
      <w:pPr>
        <w:ind w:firstLine="480"/>
        <w:rPr>
          <w:color w:val="000000" w:themeColor="text1"/>
        </w:rPr>
      </w:pPr>
      <w:r>
        <w:rPr>
          <w:rFonts w:hint="eastAsia"/>
          <w:color w:val="000000" w:themeColor="text1"/>
        </w:rPr>
        <w:t>（4）《清洁生产审核暂行办法》，国家环保总局令第16号，2004年8月16日发布，2004年10月1日施行；</w:t>
      </w:r>
    </w:p>
    <w:p>
      <w:pPr>
        <w:ind w:firstLine="480"/>
        <w:rPr>
          <w:color w:val="000000" w:themeColor="text1"/>
        </w:rPr>
      </w:pPr>
      <w:r>
        <w:rPr>
          <w:rFonts w:hint="eastAsia"/>
          <w:color w:val="000000" w:themeColor="text1"/>
        </w:rPr>
        <w:t>（5）《关于进一步加强饮用水水源安全保障工作的通知》，国家环保部，环办[2009]30号；2009年3月12日；</w:t>
      </w:r>
    </w:p>
    <w:p>
      <w:pPr>
        <w:ind w:firstLine="480"/>
        <w:rPr>
          <w:color w:val="000000" w:themeColor="text1"/>
        </w:rPr>
      </w:pPr>
      <w:r>
        <w:rPr>
          <w:rFonts w:hint="eastAsia"/>
          <w:color w:val="000000" w:themeColor="text1"/>
        </w:rPr>
        <w:t>（6）《关于建设项目环境影响评价工作中确定卫生防护距离的标准问题的复函》，环境保护部，环函[2009]第224号，2009年9月18日；</w:t>
      </w:r>
    </w:p>
    <w:p>
      <w:pPr>
        <w:ind w:firstLine="480"/>
        <w:rPr>
          <w:color w:val="000000" w:themeColor="text1"/>
        </w:rPr>
      </w:pPr>
      <w:r>
        <w:rPr>
          <w:rFonts w:hint="eastAsia"/>
          <w:color w:val="000000" w:themeColor="text1"/>
        </w:rPr>
        <w:t>（7）《关于进一步加强环境影响评价管理防范环境风险的通知》，环发[2012]第77号，2012年7月3日；</w:t>
      </w:r>
    </w:p>
    <w:p>
      <w:pPr>
        <w:ind w:firstLine="480"/>
        <w:rPr>
          <w:color w:val="000000" w:themeColor="text1"/>
        </w:rPr>
      </w:pPr>
      <w:r>
        <w:rPr>
          <w:rFonts w:hint="eastAsia"/>
          <w:color w:val="000000" w:themeColor="text1"/>
        </w:rPr>
        <w:t>（8）《关于切实加强风险防范严格环境影响评价管理的通知》，环发[2012]98号，2012年8月7日；</w:t>
      </w:r>
    </w:p>
    <w:p>
      <w:pPr>
        <w:ind w:firstLine="480"/>
        <w:rPr>
          <w:color w:val="000000" w:themeColor="text1"/>
        </w:rPr>
      </w:pPr>
      <w:r>
        <w:rPr>
          <w:rFonts w:hint="eastAsia"/>
          <w:color w:val="000000" w:themeColor="text1"/>
        </w:rPr>
        <w:t>（9）《建设项目环境影响评价政府信息公开指南（试行）》，环境保护部办公厅，环办[2013]103号，2013年11月14日；</w:t>
      </w:r>
    </w:p>
    <w:p>
      <w:pPr>
        <w:ind w:firstLine="480"/>
        <w:rPr>
          <w:color w:val="000000" w:themeColor="text1"/>
        </w:rPr>
      </w:pPr>
      <w:r>
        <w:rPr>
          <w:rFonts w:hint="eastAsia"/>
          <w:color w:val="000000" w:themeColor="text1"/>
        </w:rPr>
        <w:t>（10）《关于落实大气污染防治行动计划严格环境影响评价准入的通知》，环境保护部办公厅，环办[2014]30号，2014年3月25日；</w:t>
      </w:r>
    </w:p>
    <w:p>
      <w:pPr>
        <w:ind w:firstLine="480"/>
        <w:rPr>
          <w:color w:val="000000" w:themeColor="text1"/>
        </w:rPr>
      </w:pPr>
      <w:r>
        <w:rPr>
          <w:rFonts w:hint="eastAsia"/>
          <w:color w:val="000000" w:themeColor="text1"/>
        </w:rPr>
        <w:t>（11）《企业事业单位突发环境事件应急预案备案管理办法（试行）》，环境保护部，环发[2015]4号，2015年1月9日；</w:t>
      </w:r>
    </w:p>
    <w:p>
      <w:pPr>
        <w:ind w:firstLine="480"/>
        <w:rPr>
          <w:color w:val="000000" w:themeColor="text1"/>
        </w:rPr>
      </w:pPr>
      <w:r>
        <w:rPr>
          <w:rFonts w:hint="eastAsia"/>
          <w:color w:val="000000" w:themeColor="text1"/>
        </w:rPr>
        <w:t>（12）《突发环境事件应急预案管理办法》环境保护部令第34号，2015年6月5日；</w:t>
      </w:r>
    </w:p>
    <w:p>
      <w:pPr>
        <w:ind w:firstLine="480"/>
        <w:rPr>
          <w:color w:val="000000" w:themeColor="text1"/>
        </w:rPr>
      </w:pPr>
      <w:r>
        <w:rPr>
          <w:rFonts w:hint="eastAsia"/>
          <w:color w:val="000000" w:themeColor="text1"/>
        </w:rPr>
        <w:t>（13）《关于印发&lt;建设项目环境影响评价信息公开机制方案&gt;的通知》，环境保护部，环发[2015]162号，2015年12月10日；</w:t>
      </w:r>
    </w:p>
    <w:p>
      <w:pPr>
        <w:ind w:firstLine="480"/>
        <w:rPr>
          <w:color w:val="000000" w:themeColor="text1"/>
        </w:rPr>
      </w:pPr>
      <w:r>
        <w:rPr>
          <w:rFonts w:hint="eastAsia"/>
          <w:color w:val="000000" w:themeColor="text1"/>
        </w:rPr>
        <w:t>（14）《排污许可管理办法（试行）》，环境保护部令，第48号，2017年11月6日；</w:t>
      </w:r>
    </w:p>
    <w:p>
      <w:pPr>
        <w:ind w:firstLine="480"/>
        <w:rPr>
          <w:color w:val="000000" w:themeColor="text1"/>
        </w:rPr>
      </w:pPr>
      <w:r>
        <w:rPr>
          <w:rFonts w:hint="eastAsia"/>
          <w:color w:val="000000" w:themeColor="text1"/>
        </w:rPr>
        <w:t>（15）《建设项目环境影响评价分类管理名录（修订）》，生态环境部令第1号，2018年4月28日；</w:t>
      </w:r>
    </w:p>
    <w:p>
      <w:pPr>
        <w:ind w:firstLine="480"/>
        <w:rPr>
          <w:color w:val="000000" w:themeColor="text1"/>
        </w:rPr>
      </w:pPr>
      <w:r>
        <w:rPr>
          <w:rFonts w:hint="eastAsia"/>
          <w:color w:val="000000" w:themeColor="text1"/>
        </w:rPr>
        <w:t>（16）《环境影响评价公众参与办法》，生态环境部令第4号，2019年1月1日起施行；</w:t>
      </w:r>
    </w:p>
    <w:p>
      <w:pPr>
        <w:ind w:firstLine="480"/>
        <w:rPr>
          <w:color w:val="000000" w:themeColor="text1"/>
        </w:rPr>
      </w:pPr>
      <w:r>
        <w:rPr>
          <w:rFonts w:hint="eastAsia"/>
          <w:color w:val="000000" w:themeColor="text1"/>
        </w:rPr>
        <w:t>（17）环办大气[2019]16号《关于印发﹤2019年全国大气污染防治工作要点﹥的通知》。</w:t>
      </w:r>
    </w:p>
    <w:p>
      <w:pPr>
        <w:pStyle w:val="57"/>
        <w:ind w:firstLine="482"/>
        <w:rPr>
          <w:color w:val="000000" w:themeColor="text1"/>
        </w:rPr>
      </w:pPr>
      <w:r>
        <w:rPr>
          <w:rFonts w:hint="eastAsia"/>
          <w:color w:val="000000" w:themeColor="text1"/>
        </w:rPr>
        <w:t>1.1.1.4国家各部、委文件</w:t>
      </w:r>
    </w:p>
    <w:p>
      <w:pPr>
        <w:ind w:firstLine="480"/>
        <w:rPr>
          <w:color w:val="000000" w:themeColor="text1"/>
        </w:rPr>
      </w:pPr>
      <w:r>
        <w:rPr>
          <w:rFonts w:hint="eastAsia"/>
          <w:color w:val="000000" w:themeColor="text1"/>
        </w:rPr>
        <w:t>（1）《建设项目选址规划管理办法》，建规委[1991]583号，建设部、国家计委，1991年8月23日；</w:t>
      </w:r>
    </w:p>
    <w:p>
      <w:pPr>
        <w:ind w:firstLine="480"/>
        <w:rPr>
          <w:color w:val="000000" w:themeColor="text1"/>
        </w:rPr>
      </w:pPr>
      <w:r>
        <w:rPr>
          <w:rFonts w:hint="eastAsia"/>
          <w:color w:val="000000" w:themeColor="text1"/>
        </w:rPr>
        <w:t>（2）《关于加强工业节水工作的意见》，国经贸资源[2000]1015号，国家经济贸易委员会，2000年10月25日；</w:t>
      </w:r>
    </w:p>
    <w:p>
      <w:pPr>
        <w:ind w:firstLine="480"/>
        <w:rPr>
          <w:color w:val="000000" w:themeColor="text1"/>
        </w:rPr>
      </w:pPr>
      <w:r>
        <w:rPr>
          <w:rFonts w:hint="eastAsia"/>
          <w:color w:val="000000" w:themeColor="text1"/>
        </w:rPr>
        <w:t>（3）《产业结构调整指导目录（2019年本）》，国家发展和改革委员会第29号令，2019.10.30；</w:t>
      </w:r>
    </w:p>
    <w:p>
      <w:pPr>
        <w:ind w:firstLine="480"/>
        <w:rPr>
          <w:color w:val="000000" w:themeColor="text1"/>
        </w:rPr>
      </w:pPr>
      <w:r>
        <w:rPr>
          <w:rFonts w:hint="eastAsia"/>
          <w:color w:val="000000" w:themeColor="text1"/>
        </w:rPr>
        <w:t>（4）《关于印发节能减排全民行动实施方案的通知》，发改环资[2012]194号，2012年1月31日；</w:t>
      </w:r>
    </w:p>
    <w:p>
      <w:pPr>
        <w:ind w:firstLine="480"/>
        <w:rPr>
          <w:color w:val="000000" w:themeColor="text1"/>
        </w:rPr>
      </w:pPr>
      <w:r>
        <w:rPr>
          <w:rFonts w:hint="eastAsia"/>
          <w:color w:val="000000" w:themeColor="text1"/>
        </w:rPr>
        <w:t>（5）《限制用地项目目录（2012年本）》、《禁止用地项目目录（2012年本）》，国土资源部、国家发展改革委联合发布，2012年5月23日；</w:t>
      </w:r>
    </w:p>
    <w:p>
      <w:pPr>
        <w:ind w:firstLine="480"/>
        <w:rPr>
          <w:color w:val="000000" w:themeColor="text1"/>
        </w:rPr>
      </w:pPr>
      <w:r>
        <w:rPr>
          <w:rFonts w:hint="eastAsia"/>
          <w:color w:val="000000" w:themeColor="text1"/>
        </w:rPr>
        <w:t>（6）《动物防疫条件审查办法》（2010年农业部令第7号）；</w:t>
      </w:r>
    </w:p>
    <w:p>
      <w:pPr>
        <w:ind w:firstLine="480"/>
        <w:rPr>
          <w:color w:val="000000" w:themeColor="text1"/>
        </w:rPr>
      </w:pPr>
      <w:r>
        <w:rPr>
          <w:rFonts w:hint="eastAsia"/>
          <w:color w:val="000000" w:themeColor="text1"/>
        </w:rPr>
        <w:t>（7）《生猪屠宰管理条例》（农业部办公厅关于做好2017年屠宰行业管理工作的通知）。</w:t>
      </w:r>
    </w:p>
    <w:p>
      <w:pPr>
        <w:pStyle w:val="57"/>
        <w:ind w:firstLine="482"/>
        <w:rPr>
          <w:color w:val="000000" w:themeColor="text1"/>
        </w:rPr>
      </w:pPr>
      <w:r>
        <w:rPr>
          <w:rFonts w:hint="eastAsia"/>
          <w:color w:val="000000" w:themeColor="text1"/>
        </w:rPr>
        <w:t>1.1.1.5地方法规、政策及其他依据</w:t>
      </w:r>
    </w:p>
    <w:p>
      <w:pPr>
        <w:ind w:firstLine="480"/>
        <w:rPr>
          <w:color w:val="000000" w:themeColor="text1"/>
        </w:rPr>
      </w:pPr>
      <w:r>
        <w:rPr>
          <w:rFonts w:hint="eastAsia"/>
          <w:color w:val="000000" w:themeColor="text1"/>
        </w:rPr>
        <w:t>（1）《云南省环境保护条例》云南省人大常委会（2004年6月）；</w:t>
      </w:r>
    </w:p>
    <w:p>
      <w:pPr>
        <w:ind w:firstLine="480"/>
        <w:rPr>
          <w:color w:val="000000" w:themeColor="text1"/>
        </w:rPr>
      </w:pPr>
      <w:r>
        <w:rPr>
          <w:rFonts w:hint="eastAsia"/>
          <w:color w:val="000000" w:themeColor="text1"/>
        </w:rPr>
        <w:t>（2）《云南省建设项目环境保护管理规定》云南省人民政府令第105号（2002年1月）；</w:t>
      </w:r>
    </w:p>
    <w:p>
      <w:pPr>
        <w:ind w:firstLine="480"/>
        <w:rPr>
          <w:color w:val="000000" w:themeColor="text1"/>
        </w:rPr>
      </w:pPr>
      <w:r>
        <w:rPr>
          <w:rFonts w:hint="eastAsia"/>
          <w:color w:val="000000" w:themeColor="text1"/>
        </w:rPr>
        <w:t>（3）《云南省人民政府办公厅关于加快转变农业发展方式推进高原特色农业现代化的意见》；</w:t>
      </w:r>
    </w:p>
    <w:p>
      <w:pPr>
        <w:ind w:firstLine="480"/>
        <w:rPr>
          <w:color w:val="000000" w:themeColor="text1"/>
        </w:rPr>
      </w:pPr>
      <w:r>
        <w:rPr>
          <w:rFonts w:hint="eastAsia"/>
          <w:color w:val="000000" w:themeColor="text1"/>
        </w:rPr>
        <w:t>（4）《云南省地表水水环境功能区划》（2010~2020年）；</w:t>
      </w:r>
    </w:p>
    <w:p>
      <w:pPr>
        <w:ind w:firstLine="480"/>
        <w:rPr>
          <w:color w:val="000000" w:themeColor="text1"/>
        </w:rPr>
      </w:pPr>
      <w:r>
        <w:rPr>
          <w:rFonts w:hint="eastAsia"/>
          <w:color w:val="000000" w:themeColor="text1"/>
        </w:rPr>
        <w:t>（5）《云南省主体功能区规划》（云政发﹝2014﹞1号，2014年1月6日）；</w:t>
      </w:r>
    </w:p>
    <w:p>
      <w:pPr>
        <w:ind w:firstLine="480"/>
        <w:rPr>
          <w:color w:val="000000" w:themeColor="text1"/>
        </w:rPr>
      </w:pPr>
      <w:r>
        <w:rPr>
          <w:rFonts w:hint="eastAsia"/>
          <w:color w:val="000000" w:themeColor="text1"/>
        </w:rPr>
        <w:t>（6）《云南省人民政府关于印发云南省打赢蓝天保卫战三年行动实施方案的通知》（云政发〔2018〕44号）；</w:t>
      </w:r>
    </w:p>
    <w:p>
      <w:pPr>
        <w:ind w:firstLine="480"/>
        <w:rPr>
          <w:color w:val="000000" w:themeColor="text1"/>
        </w:rPr>
      </w:pPr>
      <w:r>
        <w:rPr>
          <w:rFonts w:hint="eastAsia"/>
          <w:color w:val="000000" w:themeColor="text1"/>
        </w:rPr>
        <w:t>（7）《云南省环境保护局关于加强建设项目主要污染物排放指标管理有关问题的通知》（云环发</w:t>
      </w:r>
      <w:r>
        <w:rPr>
          <w:color w:val="000000" w:themeColor="text1"/>
        </w:rPr>
        <w:t>[2007]287</w:t>
      </w:r>
      <w:r>
        <w:rPr>
          <w:rFonts w:hint="eastAsia"/>
          <w:color w:val="000000" w:themeColor="text1"/>
        </w:rPr>
        <w:t>号）（</w:t>
      </w:r>
      <w:r>
        <w:rPr>
          <w:color w:val="000000" w:themeColor="text1"/>
        </w:rPr>
        <w:t>2007.8.7</w:t>
      </w:r>
      <w:r>
        <w:rPr>
          <w:rFonts w:hint="eastAsia"/>
          <w:color w:val="000000" w:themeColor="text1"/>
        </w:rPr>
        <w:t>实施）；</w:t>
      </w:r>
    </w:p>
    <w:p>
      <w:pPr>
        <w:ind w:firstLine="480"/>
        <w:rPr>
          <w:color w:val="000000" w:themeColor="text1"/>
        </w:rPr>
      </w:pPr>
      <w:r>
        <w:rPr>
          <w:rFonts w:hint="eastAsia"/>
          <w:color w:val="000000" w:themeColor="text1"/>
        </w:rPr>
        <w:t>（8）《云南省人民政府关于印发云南省土壤污染防治工作方案的通知》（云政发〔2017〕8号）；</w:t>
      </w:r>
    </w:p>
    <w:p>
      <w:pPr>
        <w:ind w:firstLine="480"/>
        <w:rPr>
          <w:color w:val="000000" w:themeColor="text1"/>
        </w:rPr>
      </w:pPr>
      <w:r>
        <w:rPr>
          <w:rFonts w:hint="eastAsia"/>
          <w:color w:val="000000" w:themeColor="text1"/>
        </w:rPr>
        <w:t>（9）《云南省生态功能区划》；</w:t>
      </w:r>
    </w:p>
    <w:p>
      <w:pPr>
        <w:ind w:firstLine="480"/>
        <w:rPr>
          <w:color w:val="000000" w:themeColor="text1"/>
        </w:rPr>
      </w:pPr>
      <w:r>
        <w:rPr>
          <w:rFonts w:hint="eastAsia"/>
          <w:color w:val="000000" w:themeColor="text1"/>
        </w:rPr>
        <w:t>（10）《云南省工业产业结构调整指导目录》（2006年本）；</w:t>
      </w:r>
    </w:p>
    <w:p>
      <w:pPr>
        <w:ind w:firstLine="480"/>
        <w:rPr>
          <w:color w:val="000000" w:themeColor="text1"/>
        </w:rPr>
      </w:pPr>
      <w:r>
        <w:rPr>
          <w:rFonts w:hint="eastAsia"/>
          <w:color w:val="000000" w:themeColor="text1"/>
        </w:rPr>
        <w:t>（11）</w:t>
      </w:r>
      <w:r>
        <w:rPr>
          <w:color w:val="000000" w:themeColor="text1"/>
        </w:rPr>
        <w:t>《云南省环境保护“十三五”规划纲要》（云环发[2016]68 号）</w:t>
      </w:r>
      <w:r>
        <w:rPr>
          <w:rFonts w:hint="eastAsia"/>
          <w:color w:val="000000" w:themeColor="text1"/>
        </w:rPr>
        <w:t>；</w:t>
      </w:r>
    </w:p>
    <w:p>
      <w:pPr>
        <w:ind w:firstLine="480"/>
        <w:rPr>
          <w:color w:val="000000" w:themeColor="text1"/>
        </w:rPr>
      </w:pPr>
      <w:r>
        <w:rPr>
          <w:rFonts w:hint="eastAsia"/>
          <w:color w:val="000000" w:themeColor="text1"/>
        </w:rPr>
        <w:t>（12）《文山州国民经济和社会发展第十三个五年规划纲要》；</w:t>
      </w:r>
    </w:p>
    <w:p>
      <w:pPr>
        <w:ind w:firstLine="480"/>
        <w:rPr>
          <w:color w:val="000000" w:themeColor="text1"/>
        </w:rPr>
      </w:pPr>
      <w:r>
        <w:rPr>
          <w:rFonts w:hint="eastAsia"/>
          <w:color w:val="000000" w:themeColor="text1"/>
        </w:rPr>
        <w:t>（13）</w:t>
      </w:r>
      <w:r>
        <w:rPr>
          <w:color w:val="000000" w:themeColor="text1"/>
        </w:rPr>
        <w:t>《砚山县城市总体规划（2016－2030 年）》</w:t>
      </w:r>
      <w:r>
        <w:rPr>
          <w:rFonts w:hint="eastAsia"/>
          <w:color w:val="000000" w:themeColor="text1"/>
        </w:rPr>
        <w:t>。</w:t>
      </w:r>
    </w:p>
    <w:p>
      <w:pPr>
        <w:pStyle w:val="38"/>
        <w:ind w:firstLine="281"/>
        <w:rPr>
          <w:color w:val="000000" w:themeColor="text1"/>
        </w:rPr>
      </w:pPr>
      <w:bookmarkStart w:id="3" w:name="_Toc47375768"/>
      <w:r>
        <w:rPr>
          <w:rFonts w:hint="eastAsia"/>
          <w:color w:val="000000" w:themeColor="text1"/>
        </w:rPr>
        <w:t>1.1.2环境影响评价技术导则和技术规范</w:t>
      </w:r>
      <w:bookmarkEnd w:id="3"/>
    </w:p>
    <w:p>
      <w:pPr>
        <w:ind w:firstLine="480"/>
        <w:rPr>
          <w:color w:val="000000" w:themeColor="text1"/>
        </w:rPr>
      </w:pPr>
      <w:r>
        <w:rPr>
          <w:rFonts w:hint="eastAsia"/>
          <w:color w:val="000000" w:themeColor="text1"/>
        </w:rPr>
        <w:t>（1）《环境影响评价技术导则 总纲》HJ2.1-2016；</w:t>
      </w:r>
    </w:p>
    <w:p>
      <w:pPr>
        <w:ind w:firstLine="480"/>
        <w:rPr>
          <w:color w:val="000000" w:themeColor="text1"/>
        </w:rPr>
      </w:pPr>
      <w:r>
        <w:rPr>
          <w:rFonts w:hint="eastAsia"/>
          <w:color w:val="000000" w:themeColor="text1"/>
        </w:rPr>
        <w:t>（2）《环境影响评价技术导则 大气环境》HJ2.2-2018；</w:t>
      </w:r>
    </w:p>
    <w:p>
      <w:pPr>
        <w:ind w:firstLine="480"/>
        <w:rPr>
          <w:color w:val="000000" w:themeColor="text1"/>
        </w:rPr>
      </w:pPr>
      <w:r>
        <w:rPr>
          <w:rFonts w:hint="eastAsia"/>
          <w:color w:val="000000" w:themeColor="text1"/>
        </w:rPr>
        <w:t>（3）《环境影响评价技术导则 地表水环境》HJ/T2.3-2018；</w:t>
      </w:r>
    </w:p>
    <w:p>
      <w:pPr>
        <w:ind w:firstLine="480"/>
        <w:rPr>
          <w:color w:val="000000" w:themeColor="text1"/>
        </w:rPr>
      </w:pPr>
      <w:r>
        <w:rPr>
          <w:rFonts w:hint="eastAsia"/>
          <w:color w:val="000000" w:themeColor="text1"/>
        </w:rPr>
        <w:t>（4）《环境影响评价技术导则 地下水环境》HJ610-2016；</w:t>
      </w:r>
    </w:p>
    <w:p>
      <w:pPr>
        <w:ind w:firstLine="480"/>
        <w:rPr>
          <w:color w:val="000000" w:themeColor="text1"/>
        </w:rPr>
      </w:pPr>
      <w:r>
        <w:rPr>
          <w:rFonts w:hint="eastAsia"/>
          <w:color w:val="000000" w:themeColor="text1"/>
        </w:rPr>
        <w:t>（5）《环境影响评价技术导则 声环境》HJ2.4-2009；</w:t>
      </w:r>
    </w:p>
    <w:p>
      <w:pPr>
        <w:ind w:firstLine="480"/>
        <w:rPr>
          <w:color w:val="000000" w:themeColor="text1"/>
        </w:rPr>
      </w:pPr>
      <w:r>
        <w:rPr>
          <w:rFonts w:hint="eastAsia"/>
          <w:color w:val="000000" w:themeColor="text1"/>
        </w:rPr>
        <w:t>（6）《环境影响评价技术导则 生态影响》HJ19-2011；</w:t>
      </w:r>
    </w:p>
    <w:p>
      <w:pPr>
        <w:ind w:firstLine="480"/>
        <w:rPr>
          <w:color w:val="000000" w:themeColor="text1"/>
        </w:rPr>
      </w:pPr>
      <w:r>
        <w:rPr>
          <w:rFonts w:hint="eastAsia"/>
          <w:color w:val="000000" w:themeColor="text1"/>
        </w:rPr>
        <w:t>（7）《建设项目环境风险评价技术导则》HJ/T169-2018；</w:t>
      </w:r>
    </w:p>
    <w:p>
      <w:pPr>
        <w:ind w:firstLine="480"/>
        <w:rPr>
          <w:color w:val="000000" w:themeColor="text1"/>
        </w:rPr>
      </w:pPr>
      <w:r>
        <w:rPr>
          <w:rFonts w:hint="eastAsia"/>
          <w:color w:val="000000" w:themeColor="text1"/>
        </w:rPr>
        <w:t>（8）《环境影响评价技术导则 土壤环境（试行）》HJ964-2018；</w:t>
      </w:r>
    </w:p>
    <w:p>
      <w:pPr>
        <w:ind w:firstLine="480"/>
        <w:rPr>
          <w:color w:val="000000" w:themeColor="text1"/>
        </w:rPr>
      </w:pPr>
      <w:r>
        <w:rPr>
          <w:rFonts w:hint="eastAsia"/>
          <w:color w:val="000000" w:themeColor="text1"/>
        </w:rPr>
        <w:t>（9）《危险化学品重大危险源辨识》（GB18218-2018）；</w:t>
      </w:r>
    </w:p>
    <w:p>
      <w:pPr>
        <w:ind w:firstLine="480"/>
        <w:rPr>
          <w:color w:val="000000" w:themeColor="text1"/>
        </w:rPr>
      </w:pPr>
      <w:r>
        <w:rPr>
          <w:rFonts w:hint="eastAsia"/>
          <w:color w:val="000000" w:themeColor="text1"/>
        </w:rPr>
        <w:t>（10）《国家危险废物名录》（2016版）；</w:t>
      </w:r>
    </w:p>
    <w:p>
      <w:pPr>
        <w:ind w:firstLine="480"/>
        <w:rPr>
          <w:color w:val="000000" w:themeColor="text1"/>
        </w:rPr>
      </w:pPr>
      <w:r>
        <w:rPr>
          <w:rFonts w:hint="eastAsia"/>
          <w:color w:val="000000" w:themeColor="text1"/>
        </w:rPr>
        <w:t>（11）《一般工业固体废物贮存、处置场污染控制标准》（GB18599-2001）及其修改单；</w:t>
      </w:r>
    </w:p>
    <w:p>
      <w:pPr>
        <w:ind w:firstLine="480"/>
        <w:rPr>
          <w:color w:val="000000" w:themeColor="text1"/>
        </w:rPr>
      </w:pPr>
      <w:r>
        <w:rPr>
          <w:rFonts w:hint="eastAsia"/>
          <w:color w:val="000000" w:themeColor="text1"/>
        </w:rPr>
        <w:t>（12）《危险废物贮存污染控制标准》（GB18597-2001）及其修改单；</w:t>
      </w:r>
    </w:p>
    <w:p>
      <w:pPr>
        <w:ind w:firstLine="480"/>
        <w:rPr>
          <w:color w:val="000000" w:themeColor="text1"/>
        </w:rPr>
      </w:pPr>
      <w:r>
        <w:rPr>
          <w:rFonts w:hint="eastAsia"/>
          <w:color w:val="000000" w:themeColor="text1"/>
        </w:rPr>
        <w:t>（13）《屠宰与肉类加工废水治理工程技术规范》（HJ2004-2010）；</w:t>
      </w:r>
    </w:p>
    <w:p>
      <w:pPr>
        <w:ind w:firstLine="480"/>
        <w:rPr>
          <w:color w:val="000000" w:themeColor="text1"/>
        </w:rPr>
      </w:pPr>
      <w:r>
        <w:rPr>
          <w:rFonts w:hint="eastAsia"/>
          <w:color w:val="000000" w:themeColor="text1"/>
        </w:rPr>
        <w:t>（14）《畜禽粪便无害化处理技术规范》（NY/T1168-2006）</w:t>
      </w:r>
    </w:p>
    <w:p>
      <w:pPr>
        <w:ind w:firstLine="480"/>
        <w:rPr>
          <w:color w:val="000000" w:themeColor="text1"/>
        </w:rPr>
      </w:pPr>
      <w:r>
        <w:rPr>
          <w:rFonts w:hint="eastAsia"/>
          <w:color w:val="000000" w:themeColor="text1"/>
        </w:rPr>
        <w:t>（15）《病死动物无害化处理技术规范》（农医发[2013]34号）；</w:t>
      </w:r>
    </w:p>
    <w:p>
      <w:pPr>
        <w:ind w:firstLine="480"/>
        <w:rPr>
          <w:color w:val="000000" w:themeColor="text1"/>
        </w:rPr>
      </w:pPr>
      <w:r>
        <w:rPr>
          <w:rFonts w:hint="eastAsia"/>
          <w:color w:val="000000" w:themeColor="text1"/>
        </w:rPr>
        <w:t>（16）关于印发《病死及死因不明动物处置办法（试行）》的通知（农医发[2005]25号）；</w:t>
      </w:r>
    </w:p>
    <w:p>
      <w:pPr>
        <w:ind w:firstLine="480"/>
        <w:rPr>
          <w:color w:val="000000" w:themeColor="text1"/>
        </w:rPr>
      </w:pPr>
      <w:r>
        <w:rPr>
          <w:rFonts w:hint="eastAsia"/>
          <w:color w:val="000000" w:themeColor="text1"/>
        </w:rPr>
        <w:t>（17）《畜禽病害肉尸及其产品无害化处理规程》（GB16548-1996）。</w:t>
      </w:r>
    </w:p>
    <w:p>
      <w:pPr>
        <w:pStyle w:val="38"/>
        <w:ind w:firstLine="281"/>
        <w:rPr>
          <w:color w:val="000000" w:themeColor="text1"/>
        </w:rPr>
      </w:pPr>
      <w:bookmarkStart w:id="4" w:name="_Toc47375769"/>
      <w:r>
        <w:rPr>
          <w:rFonts w:hint="eastAsia"/>
          <w:color w:val="000000" w:themeColor="text1"/>
        </w:rPr>
        <w:t>1.1.3评价依据</w:t>
      </w:r>
      <w:bookmarkEnd w:id="4"/>
    </w:p>
    <w:p>
      <w:pPr>
        <w:ind w:firstLine="480"/>
        <w:rPr>
          <w:color w:val="000000" w:themeColor="text1"/>
        </w:rPr>
      </w:pPr>
      <w:r>
        <w:rPr>
          <w:rFonts w:hint="eastAsia"/>
          <w:color w:val="000000" w:themeColor="text1"/>
        </w:rPr>
        <w:t>（1）《砚山县康乐生猪屠宰场搬迁项目环境影响评价委托书》；</w:t>
      </w:r>
    </w:p>
    <w:p>
      <w:pPr>
        <w:ind w:firstLine="480"/>
        <w:rPr>
          <w:color w:val="000000" w:themeColor="text1"/>
        </w:rPr>
      </w:pPr>
      <w:r>
        <w:rPr>
          <w:rFonts w:hint="eastAsia"/>
          <w:color w:val="000000" w:themeColor="text1"/>
        </w:rPr>
        <w:t>（2）项目投资备案证明；</w:t>
      </w:r>
    </w:p>
    <w:p>
      <w:pPr>
        <w:ind w:firstLine="480"/>
        <w:rPr>
          <w:color w:val="000000" w:themeColor="text1"/>
        </w:rPr>
      </w:pPr>
      <w:r>
        <w:rPr>
          <w:rFonts w:hint="eastAsia"/>
          <w:color w:val="000000" w:themeColor="text1"/>
        </w:rPr>
        <w:t>（3）建设单位提供的与项目相关的其他资料。</w:t>
      </w:r>
    </w:p>
    <w:p>
      <w:pPr>
        <w:pStyle w:val="3"/>
        <w:rPr>
          <w:color w:val="000000" w:themeColor="text1"/>
        </w:rPr>
      </w:pPr>
      <w:bookmarkStart w:id="5" w:name="_Toc47375770"/>
      <w:r>
        <w:rPr>
          <w:rFonts w:hint="eastAsia"/>
          <w:color w:val="000000" w:themeColor="text1"/>
        </w:rPr>
        <w:t>1.2评价原则、目的、指导思想与评价重点</w:t>
      </w:r>
      <w:bookmarkEnd w:id="5"/>
    </w:p>
    <w:p>
      <w:pPr>
        <w:pStyle w:val="38"/>
        <w:ind w:firstLine="281"/>
        <w:rPr>
          <w:color w:val="000000" w:themeColor="text1"/>
        </w:rPr>
      </w:pPr>
      <w:bookmarkStart w:id="6" w:name="_Toc47375771"/>
      <w:r>
        <w:rPr>
          <w:rFonts w:hint="eastAsia"/>
          <w:color w:val="000000" w:themeColor="text1"/>
        </w:rPr>
        <w:t>1.2.1评价原则</w:t>
      </w:r>
      <w:bookmarkEnd w:id="6"/>
    </w:p>
    <w:p>
      <w:pPr>
        <w:ind w:firstLine="480"/>
        <w:rPr>
          <w:color w:val="000000" w:themeColor="text1"/>
        </w:rPr>
      </w:pPr>
      <w:r>
        <w:rPr>
          <w:color w:val="000000" w:themeColor="text1"/>
        </w:rPr>
        <w:t>突出环境影响评价的源头预防作用</w:t>
      </w:r>
      <w:r>
        <w:rPr>
          <w:rFonts w:hint="eastAsia"/>
          <w:color w:val="000000" w:themeColor="text1"/>
        </w:rPr>
        <w:t>，</w:t>
      </w:r>
      <w:r>
        <w:rPr>
          <w:color w:val="000000" w:themeColor="text1"/>
        </w:rPr>
        <w:t>坚持保护和改善环境质量</w:t>
      </w:r>
      <w:r>
        <w:rPr>
          <w:rFonts w:hint="eastAsia"/>
          <w:color w:val="000000" w:themeColor="text1"/>
        </w:rPr>
        <w:t>。</w:t>
      </w:r>
    </w:p>
    <w:p>
      <w:pPr>
        <w:ind w:firstLine="480"/>
        <w:rPr>
          <w:color w:val="000000" w:themeColor="text1"/>
        </w:rPr>
      </w:pPr>
      <w:r>
        <w:rPr>
          <w:rFonts w:hint="eastAsia"/>
          <w:color w:val="000000" w:themeColor="text1"/>
        </w:rPr>
        <w:t>（1）依法评价</w:t>
      </w:r>
    </w:p>
    <w:p>
      <w:pPr>
        <w:ind w:firstLine="480"/>
        <w:rPr>
          <w:color w:val="000000" w:themeColor="text1"/>
        </w:rPr>
      </w:pPr>
      <w:r>
        <w:rPr>
          <w:rFonts w:hint="eastAsia"/>
          <w:color w:val="000000" w:themeColor="text1"/>
        </w:rPr>
        <w:t>贯彻执行我国环境保护相关的法律法规、标准、政策和规划等，优化项目建设，服务环境管理。</w:t>
      </w:r>
    </w:p>
    <w:p>
      <w:pPr>
        <w:ind w:firstLine="480"/>
        <w:rPr>
          <w:color w:val="000000" w:themeColor="text1"/>
        </w:rPr>
      </w:pPr>
      <w:r>
        <w:rPr>
          <w:rFonts w:hint="eastAsia"/>
          <w:color w:val="000000" w:themeColor="text1"/>
        </w:rPr>
        <w:t>（2）科学评价</w:t>
      </w:r>
    </w:p>
    <w:p>
      <w:pPr>
        <w:ind w:firstLine="480"/>
        <w:rPr>
          <w:color w:val="000000" w:themeColor="text1"/>
        </w:rPr>
      </w:pPr>
      <w:r>
        <w:rPr>
          <w:rFonts w:hint="eastAsia"/>
          <w:color w:val="000000" w:themeColor="text1"/>
        </w:rPr>
        <w:t>规范环境影响评价方法，科学分析项目建设对环境质量的影响。</w:t>
      </w:r>
    </w:p>
    <w:p>
      <w:pPr>
        <w:ind w:firstLine="480"/>
        <w:rPr>
          <w:color w:val="000000" w:themeColor="text1"/>
        </w:rPr>
      </w:pPr>
      <w:r>
        <w:rPr>
          <w:rFonts w:hint="eastAsia"/>
          <w:color w:val="000000" w:themeColor="text1"/>
        </w:rPr>
        <w:t>（3）突出重点</w:t>
      </w:r>
    </w:p>
    <w:p>
      <w:pPr>
        <w:ind w:firstLine="480"/>
        <w:rPr>
          <w:color w:val="000000" w:themeColor="text1"/>
        </w:rPr>
      </w:pPr>
      <w:r>
        <w:rPr>
          <w:rFonts w:hint="eastAsia"/>
          <w:color w:val="000000" w:themeColor="text1"/>
        </w:rPr>
        <w:t>根据建设项目的工程内容及其特点，明确与环境要素间的作用效应关系，根据规划环境影响评价结论和审查意见，充分利用符合时效的数据资料和成果，对建设项目主要环境影响予以重点分析和评价。</w:t>
      </w:r>
    </w:p>
    <w:p>
      <w:pPr>
        <w:pStyle w:val="38"/>
        <w:ind w:firstLine="281"/>
        <w:rPr>
          <w:color w:val="000000" w:themeColor="text1"/>
        </w:rPr>
      </w:pPr>
      <w:bookmarkStart w:id="7" w:name="_Toc47375772"/>
      <w:r>
        <w:rPr>
          <w:rFonts w:hint="eastAsia"/>
          <w:color w:val="000000" w:themeColor="text1"/>
        </w:rPr>
        <w:t>1.2.2评价目的</w:t>
      </w:r>
      <w:bookmarkEnd w:id="7"/>
    </w:p>
    <w:p>
      <w:pPr>
        <w:ind w:firstLine="480"/>
        <w:rPr>
          <w:color w:val="000000" w:themeColor="text1"/>
        </w:rPr>
      </w:pPr>
      <w:r>
        <w:rPr>
          <w:rFonts w:hint="eastAsia"/>
          <w:color w:val="000000" w:themeColor="text1"/>
        </w:rPr>
        <w:t>（1）根据本工程屠宰规模、能耗和水耗，分析重点为屠宰场废气和废水的产排情况，分析项目生产工艺流程及污染物排放和回收处理情况，分析其处理效率可靠性、合理性；</w:t>
      </w:r>
    </w:p>
    <w:p>
      <w:pPr>
        <w:ind w:firstLine="480"/>
        <w:rPr>
          <w:color w:val="000000" w:themeColor="text1"/>
        </w:rPr>
      </w:pPr>
      <w:r>
        <w:rPr>
          <w:rFonts w:hint="eastAsia"/>
          <w:color w:val="000000" w:themeColor="text1"/>
        </w:rPr>
        <w:t>（2）通过现场实地调查，资料收集等技术手段，查清工程建设区域内的环境质量状况，对评价区域内环境质量现状（包括大气、水体、噪声等）进行评价；</w:t>
      </w:r>
    </w:p>
    <w:p>
      <w:pPr>
        <w:ind w:firstLine="480"/>
        <w:rPr>
          <w:color w:val="000000" w:themeColor="text1"/>
        </w:rPr>
      </w:pPr>
      <w:r>
        <w:rPr>
          <w:rFonts w:hint="eastAsia"/>
          <w:color w:val="000000" w:themeColor="text1"/>
        </w:rPr>
        <w:t>（3）针对主要污染因素和因子，选择适宜的计算模式进行环境影响预测，了解其污染影响范围和程度；</w:t>
      </w:r>
    </w:p>
    <w:p>
      <w:pPr>
        <w:ind w:firstLine="480"/>
        <w:rPr>
          <w:color w:val="000000" w:themeColor="text1"/>
        </w:rPr>
      </w:pPr>
      <w:r>
        <w:rPr>
          <w:rFonts w:hint="eastAsia"/>
          <w:color w:val="000000" w:themeColor="text1"/>
        </w:rPr>
        <w:t>（4）按照“达标排放”、“总量控制”、“清洁生产”的环保规定和要求，进行综合分析，并提出可行的环境保护对策措施；</w:t>
      </w:r>
    </w:p>
    <w:p>
      <w:pPr>
        <w:ind w:firstLine="480"/>
        <w:rPr>
          <w:color w:val="000000" w:themeColor="text1"/>
        </w:rPr>
      </w:pPr>
      <w:r>
        <w:rPr>
          <w:rFonts w:hint="eastAsia"/>
          <w:color w:val="000000" w:themeColor="text1"/>
        </w:rPr>
        <w:t>（5）通过对社会、环境、经济的损益分析，论证本工程社会效益、环境效益和经济效益的统一性；</w:t>
      </w:r>
    </w:p>
    <w:p>
      <w:pPr>
        <w:ind w:firstLine="480"/>
        <w:rPr>
          <w:color w:val="000000" w:themeColor="text1"/>
        </w:rPr>
      </w:pPr>
      <w:r>
        <w:rPr>
          <w:rFonts w:hint="eastAsia"/>
          <w:color w:val="000000" w:themeColor="text1"/>
        </w:rPr>
        <w:t>（6）客观公正给出评价结论，提出科学、经济、合理、可行的环境污染防治措施，为决策部门和建设、设计单位提供依据。</w:t>
      </w:r>
    </w:p>
    <w:p>
      <w:pPr>
        <w:pStyle w:val="38"/>
        <w:ind w:firstLine="281"/>
        <w:rPr>
          <w:color w:val="000000" w:themeColor="text1"/>
        </w:rPr>
      </w:pPr>
      <w:bookmarkStart w:id="8" w:name="_Toc47375773"/>
      <w:r>
        <w:rPr>
          <w:rFonts w:hint="eastAsia"/>
          <w:color w:val="000000" w:themeColor="text1"/>
        </w:rPr>
        <w:t>1.2.3指导思想</w:t>
      </w:r>
      <w:bookmarkEnd w:id="8"/>
    </w:p>
    <w:p>
      <w:pPr>
        <w:ind w:firstLine="480"/>
        <w:rPr>
          <w:color w:val="000000" w:themeColor="text1"/>
        </w:rPr>
      </w:pPr>
      <w:r>
        <w:rPr>
          <w:rFonts w:hint="eastAsia"/>
          <w:color w:val="000000" w:themeColor="text1"/>
        </w:rPr>
        <w:t>根据项目特点，抓住影响环境的主要因子，有重点的进行评价；评价方法力求科学严谨，实事求是；分析论证力求客观公正；贯彻达标排放、总量控制、清洁生产等环境保护政策，环保措施和建议力求合理可行；在充分说明工程环境影响的前提下，缩短评价周期。</w:t>
      </w:r>
    </w:p>
    <w:p>
      <w:pPr>
        <w:pStyle w:val="38"/>
        <w:ind w:firstLine="281"/>
        <w:rPr>
          <w:color w:val="000000" w:themeColor="text1"/>
        </w:rPr>
      </w:pPr>
      <w:bookmarkStart w:id="9" w:name="_Toc47375774"/>
      <w:r>
        <w:rPr>
          <w:rFonts w:hint="eastAsia"/>
          <w:color w:val="000000" w:themeColor="text1"/>
        </w:rPr>
        <w:t>1.2.4评价重点</w:t>
      </w:r>
      <w:bookmarkEnd w:id="9"/>
    </w:p>
    <w:p>
      <w:pPr>
        <w:ind w:firstLine="480"/>
        <w:rPr>
          <w:color w:val="000000" w:themeColor="text1"/>
        </w:rPr>
      </w:pPr>
      <w:r>
        <w:rPr>
          <w:rFonts w:hint="eastAsia"/>
          <w:color w:val="000000" w:themeColor="text1"/>
        </w:rPr>
        <w:t>根据项目建设的特点和环境功能要求，以工程分析为基础，确定评价重点为恶臭气体、固体废物（宰前处理工序产生的生猪（鸡）粪便、刨毛工序产生的猪（鸡）毛、不合格内脏、不合格胴体等）、屠宰废水（屠宰前待宰圈排放的冲洗废水，宰前活猪冲淋废水，预清洗、烫毛、内脏清洗、设备冲洗、车间地面冲洗等工序的废水）对大气、地表水、地下水等环境因素的影响，兼评价事故风险和噪声以及项目建设合理合法性分析，并着重分析项目废气、废水防治措施、固废处理措施等污染物治理措施的可行性。</w:t>
      </w:r>
    </w:p>
    <w:p>
      <w:pPr>
        <w:pStyle w:val="3"/>
        <w:rPr>
          <w:color w:val="000000" w:themeColor="text1"/>
        </w:rPr>
      </w:pPr>
      <w:bookmarkStart w:id="10" w:name="_Toc47375775"/>
      <w:r>
        <w:rPr>
          <w:rFonts w:hint="eastAsia"/>
          <w:color w:val="000000" w:themeColor="text1"/>
        </w:rPr>
        <w:t>1.3环境影响因子识别及确定</w:t>
      </w:r>
      <w:bookmarkEnd w:id="10"/>
    </w:p>
    <w:p>
      <w:pPr>
        <w:pStyle w:val="38"/>
        <w:ind w:firstLine="281"/>
        <w:rPr>
          <w:color w:val="000000" w:themeColor="text1"/>
        </w:rPr>
      </w:pPr>
      <w:bookmarkStart w:id="11" w:name="_Toc47375776"/>
      <w:r>
        <w:rPr>
          <w:rFonts w:hint="eastAsia"/>
          <w:color w:val="000000" w:themeColor="text1"/>
        </w:rPr>
        <w:t>1.3.1环境影响因子识别</w:t>
      </w:r>
      <w:bookmarkEnd w:id="11"/>
    </w:p>
    <w:p>
      <w:pPr>
        <w:ind w:firstLine="480"/>
        <w:rPr>
          <w:color w:val="000000" w:themeColor="text1"/>
        </w:rPr>
      </w:pPr>
      <w:r>
        <w:rPr>
          <w:rFonts w:hint="eastAsia"/>
          <w:color w:val="000000" w:themeColor="text1"/>
        </w:rPr>
        <w:t>（1）施工期环境影响识别</w:t>
      </w:r>
    </w:p>
    <w:p>
      <w:pPr>
        <w:ind w:firstLine="480"/>
        <w:rPr>
          <w:color w:val="000000" w:themeColor="text1"/>
        </w:rPr>
      </w:pPr>
      <w:r>
        <w:rPr>
          <w:rFonts w:hint="eastAsia"/>
          <w:color w:val="000000" w:themeColor="text1"/>
        </w:rPr>
        <w:t>施工期对环境的影响很大程度上取决于工程特点、施工季节及工程所处的地形、地貌等环境因素。本工程在建设施工期，平整场地、土方挖掘时，将会带来地面建筑垃圾的堆放、运输及机械噪声；随着施工的进行，建设设备的运输、装卸及地面建(构)筑物的施工，将会产生二次扬尘和噪声；施工活动及人员所排放的废水、废渣及噪声等，对周围大气、水体、土壤等可能产生一定影响。但由于施工期短，故影响并不突出。本工程施工期主要环境影响因素见表 1.3.1-1。</w:t>
      </w:r>
    </w:p>
    <w:p>
      <w:pPr>
        <w:pStyle w:val="54"/>
        <w:rPr>
          <w:color w:val="000000" w:themeColor="text1"/>
        </w:rPr>
      </w:pPr>
      <w:r>
        <w:rPr>
          <w:rFonts w:hint="eastAsia"/>
          <w:color w:val="000000" w:themeColor="text1"/>
        </w:rPr>
        <w:t>表1.3.1-1  施工期环境影响因素识别一览表</w:t>
      </w:r>
    </w:p>
    <w:tbl>
      <w:tblPr>
        <w:tblStyle w:val="43"/>
        <w:tblW w:w="8522" w:type="dxa"/>
        <w:tblInd w:w="0" w:type="dxa"/>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68"/>
        <w:gridCol w:w="4819"/>
        <w:gridCol w:w="2035"/>
      </w:tblGrid>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vAlign w:val="center"/>
          </w:tcPr>
          <w:p>
            <w:pPr>
              <w:pStyle w:val="55"/>
              <w:rPr>
                <w:b/>
                <w:color w:val="000000" w:themeColor="text1"/>
              </w:rPr>
            </w:pPr>
            <w:r>
              <w:rPr>
                <w:b/>
                <w:color w:val="000000" w:themeColor="text1"/>
              </w:rPr>
              <w:t>环境要素</w:t>
            </w:r>
          </w:p>
        </w:tc>
        <w:tc>
          <w:tcPr>
            <w:tcW w:w="4819" w:type="dxa"/>
            <w:vAlign w:val="center"/>
          </w:tcPr>
          <w:p>
            <w:pPr>
              <w:pStyle w:val="55"/>
              <w:rPr>
                <w:b/>
                <w:color w:val="000000" w:themeColor="text1"/>
              </w:rPr>
            </w:pPr>
            <w:r>
              <w:rPr>
                <w:b/>
                <w:color w:val="000000" w:themeColor="text1"/>
              </w:rPr>
              <w:t>产生环境影响的主要内容</w:t>
            </w:r>
          </w:p>
        </w:tc>
        <w:tc>
          <w:tcPr>
            <w:tcW w:w="2035" w:type="dxa"/>
            <w:vAlign w:val="center"/>
          </w:tcPr>
          <w:p>
            <w:pPr>
              <w:pStyle w:val="55"/>
              <w:rPr>
                <w:b/>
                <w:color w:val="000000" w:themeColor="text1"/>
              </w:rPr>
            </w:pPr>
            <w:r>
              <w:rPr>
                <w:b/>
                <w:color w:val="000000" w:themeColor="text1"/>
              </w:rPr>
              <w:t>主要影响因素</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PrEx>
        <w:tc>
          <w:tcPr>
            <w:tcW w:w="1668" w:type="dxa"/>
            <w:vMerge w:val="restart"/>
            <w:vAlign w:val="center"/>
          </w:tcPr>
          <w:p>
            <w:pPr>
              <w:pStyle w:val="55"/>
              <w:rPr>
                <w:color w:val="000000" w:themeColor="text1"/>
              </w:rPr>
            </w:pPr>
            <w:r>
              <w:rPr>
                <w:rFonts w:hint="eastAsia"/>
                <w:color w:val="000000" w:themeColor="text1"/>
              </w:rPr>
              <w:t>环境空气</w:t>
            </w:r>
          </w:p>
        </w:tc>
        <w:tc>
          <w:tcPr>
            <w:tcW w:w="4819" w:type="dxa"/>
            <w:vAlign w:val="center"/>
          </w:tcPr>
          <w:p>
            <w:pPr>
              <w:pStyle w:val="55"/>
              <w:rPr>
                <w:color w:val="000000" w:themeColor="text1"/>
              </w:rPr>
            </w:pPr>
            <w:r>
              <w:rPr>
                <w:rFonts w:hint="eastAsia"/>
                <w:color w:val="000000" w:themeColor="text1"/>
              </w:rPr>
              <w:t>土地平整、挖掘、土石方、建材运输、存放、使用</w:t>
            </w:r>
          </w:p>
        </w:tc>
        <w:tc>
          <w:tcPr>
            <w:tcW w:w="2035" w:type="dxa"/>
            <w:vAlign w:val="center"/>
          </w:tcPr>
          <w:p>
            <w:pPr>
              <w:pStyle w:val="55"/>
              <w:rPr>
                <w:color w:val="000000" w:themeColor="text1"/>
              </w:rPr>
            </w:pPr>
            <w:r>
              <w:rPr>
                <w:color w:val="000000" w:themeColor="text1"/>
              </w:rPr>
              <w:t>扬尘</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PrEx>
        <w:tc>
          <w:tcPr>
            <w:tcW w:w="1668" w:type="dxa"/>
            <w:vMerge w:val="continue"/>
            <w:vAlign w:val="center"/>
          </w:tcPr>
          <w:p>
            <w:pPr>
              <w:pStyle w:val="55"/>
              <w:rPr>
                <w:color w:val="000000" w:themeColor="text1"/>
              </w:rPr>
            </w:pPr>
          </w:p>
        </w:tc>
        <w:tc>
          <w:tcPr>
            <w:tcW w:w="4819" w:type="dxa"/>
            <w:vAlign w:val="center"/>
          </w:tcPr>
          <w:p>
            <w:pPr>
              <w:pStyle w:val="55"/>
              <w:rPr>
                <w:color w:val="000000" w:themeColor="text1"/>
              </w:rPr>
            </w:pPr>
            <w:r>
              <w:rPr>
                <w:rFonts w:hint="eastAsia"/>
                <w:color w:val="000000" w:themeColor="text1"/>
              </w:rPr>
              <w:t>施工车辆尾气</w:t>
            </w:r>
          </w:p>
        </w:tc>
        <w:tc>
          <w:tcPr>
            <w:tcW w:w="2035" w:type="dxa"/>
            <w:vAlign w:val="center"/>
          </w:tcPr>
          <w:p>
            <w:pPr>
              <w:pStyle w:val="55"/>
              <w:rPr>
                <w:color w:val="000000" w:themeColor="text1"/>
              </w:rPr>
            </w:pPr>
            <w:r>
              <w:rPr>
                <w:rFonts w:hint="eastAsia"/>
                <w:color w:val="000000" w:themeColor="text1"/>
              </w:rPr>
              <w:t>TSP、NOx、SO</w:t>
            </w:r>
            <w:r>
              <w:rPr>
                <w:rFonts w:hint="eastAsia"/>
                <w:color w:val="000000" w:themeColor="text1"/>
                <w:vertAlign w:val="subscript"/>
              </w:rPr>
              <w:t>2</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vAlign w:val="center"/>
          </w:tcPr>
          <w:p>
            <w:pPr>
              <w:pStyle w:val="55"/>
              <w:rPr>
                <w:color w:val="000000" w:themeColor="text1"/>
              </w:rPr>
            </w:pPr>
            <w:r>
              <w:rPr>
                <w:rFonts w:hint="eastAsia"/>
                <w:color w:val="000000" w:themeColor="text1"/>
              </w:rPr>
              <w:t>水环境</w:t>
            </w:r>
          </w:p>
        </w:tc>
        <w:tc>
          <w:tcPr>
            <w:tcW w:w="4819" w:type="dxa"/>
            <w:vAlign w:val="center"/>
          </w:tcPr>
          <w:p>
            <w:pPr>
              <w:pStyle w:val="55"/>
              <w:rPr>
                <w:color w:val="000000" w:themeColor="text1"/>
              </w:rPr>
            </w:pPr>
            <w:r>
              <w:rPr>
                <w:rFonts w:hint="eastAsia"/>
                <w:color w:val="000000" w:themeColor="text1"/>
              </w:rPr>
              <w:t>施工人员生活污水等</w:t>
            </w:r>
          </w:p>
        </w:tc>
        <w:tc>
          <w:tcPr>
            <w:tcW w:w="2035" w:type="dxa"/>
            <w:vAlign w:val="center"/>
          </w:tcPr>
          <w:p>
            <w:pPr>
              <w:pStyle w:val="55"/>
              <w:rPr>
                <w:color w:val="000000" w:themeColor="text1"/>
              </w:rPr>
            </w:pPr>
            <w:r>
              <w:rPr>
                <w:rFonts w:hint="eastAsia"/>
                <w:color w:val="000000" w:themeColor="text1"/>
              </w:rPr>
              <w:t>COD、BOD</w:t>
            </w:r>
            <w:r>
              <w:rPr>
                <w:rFonts w:hint="eastAsia"/>
                <w:color w:val="000000" w:themeColor="text1"/>
                <w:vertAlign w:val="subscript"/>
              </w:rPr>
              <w:t>5</w:t>
            </w:r>
            <w:r>
              <w:rPr>
                <w:rFonts w:hint="eastAsia"/>
                <w:color w:val="000000" w:themeColor="text1"/>
              </w:rPr>
              <w:t>、SS</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PrEx>
        <w:tc>
          <w:tcPr>
            <w:tcW w:w="1668" w:type="dxa"/>
            <w:vAlign w:val="center"/>
          </w:tcPr>
          <w:p>
            <w:pPr>
              <w:pStyle w:val="55"/>
              <w:rPr>
                <w:color w:val="000000" w:themeColor="text1"/>
              </w:rPr>
            </w:pPr>
            <w:r>
              <w:rPr>
                <w:rFonts w:hint="eastAsia"/>
                <w:color w:val="000000" w:themeColor="text1"/>
              </w:rPr>
              <w:t>声环境</w:t>
            </w:r>
          </w:p>
        </w:tc>
        <w:tc>
          <w:tcPr>
            <w:tcW w:w="4819" w:type="dxa"/>
            <w:vAlign w:val="center"/>
          </w:tcPr>
          <w:p>
            <w:pPr>
              <w:pStyle w:val="55"/>
              <w:rPr>
                <w:color w:val="000000" w:themeColor="text1"/>
              </w:rPr>
            </w:pPr>
            <w:r>
              <w:rPr>
                <w:rFonts w:hint="eastAsia"/>
                <w:color w:val="000000" w:themeColor="text1"/>
              </w:rPr>
              <w:t>施工机械、车辆噪声</w:t>
            </w:r>
          </w:p>
        </w:tc>
        <w:tc>
          <w:tcPr>
            <w:tcW w:w="2035" w:type="dxa"/>
            <w:vAlign w:val="center"/>
          </w:tcPr>
          <w:p>
            <w:pPr>
              <w:pStyle w:val="55"/>
              <w:rPr>
                <w:color w:val="000000" w:themeColor="text1"/>
              </w:rPr>
            </w:pPr>
            <w:r>
              <w:rPr>
                <w:color w:val="000000" w:themeColor="text1"/>
              </w:rPr>
              <w:t>噪声</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PrEx>
        <w:tc>
          <w:tcPr>
            <w:tcW w:w="1668" w:type="dxa"/>
            <w:vAlign w:val="center"/>
          </w:tcPr>
          <w:p>
            <w:pPr>
              <w:pStyle w:val="55"/>
              <w:rPr>
                <w:color w:val="000000" w:themeColor="text1"/>
              </w:rPr>
            </w:pPr>
            <w:r>
              <w:rPr>
                <w:rFonts w:hint="eastAsia"/>
                <w:color w:val="000000" w:themeColor="text1"/>
              </w:rPr>
              <w:t>生态环境</w:t>
            </w:r>
          </w:p>
        </w:tc>
        <w:tc>
          <w:tcPr>
            <w:tcW w:w="4819" w:type="dxa"/>
            <w:vAlign w:val="center"/>
          </w:tcPr>
          <w:p>
            <w:pPr>
              <w:pStyle w:val="55"/>
              <w:rPr>
                <w:color w:val="000000" w:themeColor="text1"/>
              </w:rPr>
            </w:pPr>
            <w:r>
              <w:rPr>
                <w:rFonts w:hint="eastAsia"/>
                <w:color w:val="000000" w:themeColor="text1"/>
              </w:rPr>
              <w:t>土地平整、挖掘及工程占地</w:t>
            </w:r>
          </w:p>
        </w:tc>
        <w:tc>
          <w:tcPr>
            <w:tcW w:w="2035" w:type="dxa"/>
            <w:vAlign w:val="center"/>
          </w:tcPr>
          <w:p>
            <w:pPr>
              <w:pStyle w:val="55"/>
              <w:rPr>
                <w:color w:val="000000" w:themeColor="text1"/>
              </w:rPr>
            </w:pPr>
            <w:r>
              <w:rPr>
                <w:color w:val="000000" w:themeColor="text1"/>
              </w:rPr>
              <w:t>水土流失</w:t>
            </w:r>
            <w:r>
              <w:rPr>
                <w:rFonts w:hint="eastAsia"/>
                <w:color w:val="000000" w:themeColor="text1"/>
              </w:rPr>
              <w:t>、</w:t>
            </w:r>
            <w:r>
              <w:rPr>
                <w:color w:val="000000" w:themeColor="text1"/>
              </w:rPr>
              <w:t>植被破坏</w:t>
            </w:r>
          </w:p>
        </w:tc>
      </w:tr>
    </w:tbl>
    <w:p>
      <w:pPr>
        <w:ind w:firstLine="480"/>
        <w:rPr>
          <w:color w:val="000000" w:themeColor="text1"/>
        </w:rPr>
      </w:pPr>
      <w:r>
        <w:rPr>
          <w:rFonts w:hint="eastAsia"/>
          <w:color w:val="000000" w:themeColor="text1"/>
        </w:rPr>
        <w:t>（2）运营期环境影响识别</w:t>
      </w:r>
    </w:p>
    <w:p>
      <w:pPr>
        <w:ind w:firstLine="480"/>
        <w:rPr>
          <w:color w:val="000000" w:themeColor="text1"/>
        </w:rPr>
      </w:pPr>
      <w:r>
        <w:rPr>
          <w:rFonts w:hint="eastAsia"/>
          <w:color w:val="000000" w:themeColor="text1"/>
        </w:rPr>
        <w:t>项目运营期将产生废气、废水、固体废物、噪声等污染，对周围环境产生一定影响。根据项目排污特点及所处自然、社会环境特征，确定运营期环境影响要素见表1.3.1-2。</w:t>
      </w:r>
    </w:p>
    <w:p>
      <w:pPr>
        <w:pStyle w:val="54"/>
        <w:ind w:firstLine="480"/>
        <w:rPr>
          <w:color w:val="000000" w:themeColor="text1"/>
        </w:rPr>
      </w:pPr>
      <w:r>
        <w:rPr>
          <w:rFonts w:hint="eastAsia"/>
          <w:color w:val="000000" w:themeColor="text1"/>
        </w:rPr>
        <w:t>表1.3.1-2  运营期环境影响因素识别一览表</w:t>
      </w:r>
    </w:p>
    <w:tbl>
      <w:tblPr>
        <w:tblStyle w:val="43"/>
        <w:tblW w:w="8522" w:type="dxa"/>
        <w:tblInd w:w="0" w:type="dxa"/>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68"/>
        <w:gridCol w:w="4819"/>
        <w:gridCol w:w="2035"/>
      </w:tblGrid>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vAlign w:val="center"/>
          </w:tcPr>
          <w:p>
            <w:pPr>
              <w:pStyle w:val="55"/>
              <w:rPr>
                <w:b/>
                <w:color w:val="000000" w:themeColor="text1"/>
              </w:rPr>
            </w:pPr>
            <w:r>
              <w:rPr>
                <w:b/>
                <w:color w:val="000000" w:themeColor="text1"/>
              </w:rPr>
              <w:t>环境要素</w:t>
            </w:r>
          </w:p>
        </w:tc>
        <w:tc>
          <w:tcPr>
            <w:tcW w:w="4819" w:type="dxa"/>
            <w:vAlign w:val="center"/>
          </w:tcPr>
          <w:p>
            <w:pPr>
              <w:pStyle w:val="55"/>
              <w:rPr>
                <w:b/>
                <w:color w:val="000000" w:themeColor="text1"/>
              </w:rPr>
            </w:pPr>
            <w:r>
              <w:rPr>
                <w:rFonts w:hint="eastAsia"/>
                <w:b/>
                <w:color w:val="000000" w:themeColor="text1"/>
              </w:rPr>
              <w:t>污染物</w:t>
            </w:r>
          </w:p>
        </w:tc>
        <w:tc>
          <w:tcPr>
            <w:tcW w:w="2035" w:type="dxa"/>
            <w:vAlign w:val="center"/>
          </w:tcPr>
          <w:p>
            <w:pPr>
              <w:pStyle w:val="55"/>
              <w:rPr>
                <w:b/>
                <w:color w:val="000000" w:themeColor="text1"/>
              </w:rPr>
            </w:pPr>
            <w:r>
              <w:rPr>
                <w:rFonts w:hint="eastAsia"/>
                <w:b/>
                <w:color w:val="000000" w:themeColor="text1"/>
              </w:rPr>
              <w:t>环境要素</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vAlign w:val="center"/>
          </w:tcPr>
          <w:p>
            <w:pPr>
              <w:pStyle w:val="55"/>
              <w:rPr>
                <w:color w:val="000000" w:themeColor="text1"/>
              </w:rPr>
            </w:pPr>
            <w:r>
              <w:rPr>
                <w:color w:val="000000" w:themeColor="text1"/>
              </w:rPr>
              <w:t>废气</w:t>
            </w:r>
          </w:p>
        </w:tc>
        <w:tc>
          <w:tcPr>
            <w:tcW w:w="4819" w:type="dxa"/>
            <w:vAlign w:val="center"/>
          </w:tcPr>
          <w:p>
            <w:pPr>
              <w:pStyle w:val="55"/>
              <w:rPr>
                <w:color w:val="000000" w:themeColor="text1"/>
              </w:rPr>
            </w:pPr>
            <w:r>
              <w:rPr>
                <w:rFonts w:hint="eastAsia"/>
                <w:color w:val="000000" w:themeColor="text1"/>
              </w:rPr>
              <w:t>待宰及屠宰工序中产生的恶臭、污水处理站恶臭、生物质锅炉及焚烧炉运行产生的颗粒物、SO</w:t>
            </w:r>
            <w:r>
              <w:rPr>
                <w:rFonts w:hint="eastAsia"/>
                <w:color w:val="000000" w:themeColor="text1"/>
                <w:vertAlign w:val="subscript"/>
              </w:rPr>
              <w:t>2</w:t>
            </w:r>
            <w:r>
              <w:rPr>
                <w:rFonts w:hint="eastAsia"/>
                <w:color w:val="000000" w:themeColor="text1"/>
              </w:rPr>
              <w:t>、NOx</w:t>
            </w:r>
          </w:p>
        </w:tc>
        <w:tc>
          <w:tcPr>
            <w:tcW w:w="2035" w:type="dxa"/>
            <w:vAlign w:val="center"/>
          </w:tcPr>
          <w:p>
            <w:pPr>
              <w:pStyle w:val="55"/>
              <w:rPr>
                <w:color w:val="000000" w:themeColor="text1"/>
              </w:rPr>
            </w:pPr>
            <w:r>
              <w:rPr>
                <w:rFonts w:hint="eastAsia"/>
                <w:color w:val="000000" w:themeColor="text1"/>
              </w:rPr>
              <w:t>环境空气</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vAlign w:val="center"/>
          </w:tcPr>
          <w:p>
            <w:pPr>
              <w:pStyle w:val="55"/>
              <w:rPr>
                <w:color w:val="000000" w:themeColor="text1"/>
              </w:rPr>
            </w:pPr>
            <w:r>
              <w:rPr>
                <w:color w:val="000000" w:themeColor="text1"/>
              </w:rPr>
              <w:t>废水</w:t>
            </w:r>
          </w:p>
        </w:tc>
        <w:tc>
          <w:tcPr>
            <w:tcW w:w="4819" w:type="dxa"/>
            <w:vAlign w:val="center"/>
          </w:tcPr>
          <w:p>
            <w:pPr>
              <w:pStyle w:val="55"/>
              <w:rPr>
                <w:color w:val="000000" w:themeColor="text1"/>
              </w:rPr>
            </w:pPr>
            <w:r>
              <w:rPr>
                <w:rFonts w:hint="eastAsia"/>
                <w:color w:val="000000" w:themeColor="text1"/>
              </w:rPr>
              <w:t>COD、BOD</w:t>
            </w:r>
            <w:r>
              <w:rPr>
                <w:rFonts w:hint="eastAsia"/>
                <w:color w:val="000000" w:themeColor="text1"/>
                <w:vertAlign w:val="subscript"/>
              </w:rPr>
              <w:t>5</w:t>
            </w:r>
            <w:r>
              <w:rPr>
                <w:rFonts w:hint="eastAsia"/>
                <w:color w:val="000000" w:themeColor="text1"/>
              </w:rPr>
              <w:t>、NH</w:t>
            </w:r>
            <w:r>
              <w:rPr>
                <w:rFonts w:hint="eastAsia"/>
                <w:color w:val="000000" w:themeColor="text1"/>
                <w:vertAlign w:val="subscript"/>
              </w:rPr>
              <w:t>3</w:t>
            </w:r>
            <w:r>
              <w:rPr>
                <w:rFonts w:hint="eastAsia"/>
                <w:color w:val="000000" w:themeColor="text1"/>
              </w:rPr>
              <w:t>-N、SS、高锰酸盐指数、总氮、总磷等</w:t>
            </w:r>
          </w:p>
        </w:tc>
        <w:tc>
          <w:tcPr>
            <w:tcW w:w="2035" w:type="dxa"/>
            <w:vAlign w:val="center"/>
          </w:tcPr>
          <w:p>
            <w:pPr>
              <w:pStyle w:val="55"/>
              <w:rPr>
                <w:color w:val="000000" w:themeColor="text1"/>
              </w:rPr>
            </w:pPr>
            <w:r>
              <w:rPr>
                <w:rFonts w:hint="eastAsia"/>
                <w:color w:val="000000" w:themeColor="text1"/>
              </w:rPr>
              <w:t>地表水、地下水</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vAlign w:val="center"/>
          </w:tcPr>
          <w:p>
            <w:pPr>
              <w:pStyle w:val="55"/>
              <w:rPr>
                <w:color w:val="000000" w:themeColor="text1"/>
              </w:rPr>
            </w:pPr>
            <w:r>
              <w:rPr>
                <w:color w:val="000000" w:themeColor="text1"/>
              </w:rPr>
              <w:t>固体废物</w:t>
            </w:r>
          </w:p>
        </w:tc>
        <w:tc>
          <w:tcPr>
            <w:tcW w:w="4819" w:type="dxa"/>
            <w:vAlign w:val="center"/>
          </w:tcPr>
          <w:p>
            <w:pPr>
              <w:pStyle w:val="55"/>
              <w:rPr>
                <w:color w:val="000000" w:themeColor="text1"/>
              </w:rPr>
            </w:pPr>
            <w:r>
              <w:rPr>
                <w:rFonts w:hint="eastAsia"/>
                <w:color w:val="000000" w:themeColor="text1"/>
              </w:rPr>
              <w:t>粪便、污水处理站污泥、不合格胴体、胃肠内容物以及不合格的内脏、生活垃圾等</w:t>
            </w:r>
          </w:p>
        </w:tc>
        <w:tc>
          <w:tcPr>
            <w:tcW w:w="2035" w:type="dxa"/>
            <w:vAlign w:val="center"/>
          </w:tcPr>
          <w:p>
            <w:pPr>
              <w:pStyle w:val="55"/>
              <w:rPr>
                <w:color w:val="000000" w:themeColor="text1"/>
              </w:rPr>
            </w:pPr>
            <w:r>
              <w:rPr>
                <w:rFonts w:hint="eastAsia"/>
                <w:color w:val="000000" w:themeColor="text1"/>
              </w:rPr>
              <w:t>地下水</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vAlign w:val="center"/>
          </w:tcPr>
          <w:p>
            <w:pPr>
              <w:pStyle w:val="55"/>
              <w:rPr>
                <w:color w:val="000000" w:themeColor="text1"/>
              </w:rPr>
            </w:pPr>
            <w:r>
              <w:rPr>
                <w:color w:val="000000" w:themeColor="text1"/>
              </w:rPr>
              <w:t>噪声</w:t>
            </w:r>
          </w:p>
        </w:tc>
        <w:tc>
          <w:tcPr>
            <w:tcW w:w="4819" w:type="dxa"/>
            <w:vAlign w:val="center"/>
          </w:tcPr>
          <w:p>
            <w:pPr>
              <w:pStyle w:val="55"/>
              <w:rPr>
                <w:color w:val="000000" w:themeColor="text1"/>
              </w:rPr>
            </w:pPr>
            <w:r>
              <w:rPr>
                <w:rFonts w:hint="eastAsia"/>
                <w:color w:val="000000" w:themeColor="text1"/>
              </w:rPr>
              <w:t>猪（鸡）叫声、设备噪声等</w:t>
            </w:r>
          </w:p>
        </w:tc>
        <w:tc>
          <w:tcPr>
            <w:tcW w:w="2035" w:type="dxa"/>
            <w:vAlign w:val="center"/>
          </w:tcPr>
          <w:p>
            <w:pPr>
              <w:pStyle w:val="55"/>
              <w:rPr>
                <w:color w:val="000000" w:themeColor="text1"/>
              </w:rPr>
            </w:pPr>
            <w:r>
              <w:rPr>
                <w:rFonts w:hint="eastAsia"/>
                <w:color w:val="000000" w:themeColor="text1"/>
              </w:rPr>
              <w:t>声环境</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vAlign w:val="center"/>
          </w:tcPr>
          <w:p>
            <w:pPr>
              <w:pStyle w:val="55"/>
              <w:rPr>
                <w:color w:val="000000" w:themeColor="text1"/>
              </w:rPr>
            </w:pPr>
            <w:r>
              <w:rPr>
                <w:color w:val="000000" w:themeColor="text1"/>
              </w:rPr>
              <w:t>环境风险</w:t>
            </w:r>
          </w:p>
        </w:tc>
        <w:tc>
          <w:tcPr>
            <w:tcW w:w="4819" w:type="dxa"/>
            <w:vAlign w:val="center"/>
          </w:tcPr>
          <w:p>
            <w:pPr>
              <w:pStyle w:val="55"/>
              <w:rPr>
                <w:color w:val="000000" w:themeColor="text1"/>
              </w:rPr>
            </w:pPr>
            <w:r>
              <w:rPr>
                <w:rFonts w:hint="eastAsia"/>
                <w:color w:val="000000" w:themeColor="text1"/>
              </w:rPr>
              <w:t>次氯酸钠泄漏、污水事故排放、病死猪（鸡）外流等</w:t>
            </w:r>
          </w:p>
        </w:tc>
        <w:tc>
          <w:tcPr>
            <w:tcW w:w="2035" w:type="dxa"/>
            <w:vAlign w:val="center"/>
          </w:tcPr>
          <w:p>
            <w:pPr>
              <w:pStyle w:val="55"/>
              <w:rPr>
                <w:color w:val="000000" w:themeColor="text1"/>
              </w:rPr>
            </w:pPr>
            <w:r>
              <w:rPr>
                <w:rFonts w:hint="eastAsia"/>
                <w:color w:val="000000" w:themeColor="text1"/>
              </w:rPr>
              <w:t>环境空气、</w:t>
            </w:r>
            <w:r>
              <w:rPr>
                <w:color w:val="000000" w:themeColor="text1"/>
              </w:rPr>
              <w:t>地表水</w:t>
            </w:r>
            <w:r>
              <w:rPr>
                <w:rFonts w:hint="eastAsia"/>
                <w:color w:val="000000" w:themeColor="text1"/>
              </w:rPr>
              <w:t>、地下水</w:t>
            </w:r>
          </w:p>
        </w:tc>
      </w:tr>
    </w:tbl>
    <w:p>
      <w:pPr>
        <w:pStyle w:val="38"/>
        <w:ind w:firstLine="281"/>
        <w:rPr>
          <w:color w:val="000000" w:themeColor="text1"/>
        </w:rPr>
      </w:pPr>
      <w:bookmarkStart w:id="12" w:name="_Toc47375777"/>
      <w:r>
        <w:rPr>
          <w:rFonts w:hint="eastAsia"/>
          <w:color w:val="000000" w:themeColor="text1"/>
        </w:rPr>
        <w:t>1.3.2评价因子的确定</w:t>
      </w:r>
      <w:bookmarkEnd w:id="12"/>
    </w:p>
    <w:p>
      <w:pPr>
        <w:ind w:firstLine="480"/>
        <w:rPr>
          <w:color w:val="000000" w:themeColor="text1"/>
        </w:rPr>
      </w:pPr>
      <w:r>
        <w:rPr>
          <w:rFonts w:hint="eastAsia"/>
          <w:color w:val="000000" w:themeColor="text1"/>
        </w:rPr>
        <w:t>根据工程分析，结合环境影响因素的识别，确定评价工作的评价因子见表 1.3.2-1。</w:t>
      </w:r>
    </w:p>
    <w:p>
      <w:pPr>
        <w:pStyle w:val="54"/>
        <w:ind w:firstLine="480"/>
        <w:rPr>
          <w:color w:val="000000" w:themeColor="text1"/>
        </w:rPr>
      </w:pPr>
      <w:r>
        <w:rPr>
          <w:rFonts w:hint="eastAsia"/>
          <w:color w:val="000000" w:themeColor="text1"/>
        </w:rPr>
        <w:t>表1.3.2-1  评价因子筛选结果一览表</w:t>
      </w:r>
    </w:p>
    <w:tbl>
      <w:tblPr>
        <w:tblStyle w:val="43"/>
        <w:tblW w:w="8522" w:type="dxa"/>
        <w:tblInd w:w="0" w:type="dxa"/>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68"/>
        <w:gridCol w:w="4819"/>
        <w:gridCol w:w="2035"/>
      </w:tblGrid>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vAlign w:val="center"/>
          </w:tcPr>
          <w:p>
            <w:pPr>
              <w:pStyle w:val="55"/>
              <w:rPr>
                <w:b/>
                <w:color w:val="000000" w:themeColor="text1"/>
              </w:rPr>
            </w:pPr>
            <w:r>
              <w:rPr>
                <w:rFonts w:hint="eastAsia"/>
                <w:b/>
                <w:color w:val="000000" w:themeColor="text1"/>
              </w:rPr>
              <w:t>项目</w:t>
            </w:r>
          </w:p>
        </w:tc>
        <w:tc>
          <w:tcPr>
            <w:tcW w:w="4819" w:type="dxa"/>
            <w:vAlign w:val="center"/>
          </w:tcPr>
          <w:p>
            <w:pPr>
              <w:pStyle w:val="55"/>
              <w:rPr>
                <w:b/>
                <w:color w:val="000000" w:themeColor="text1"/>
              </w:rPr>
            </w:pPr>
            <w:r>
              <w:rPr>
                <w:rFonts w:hint="eastAsia"/>
                <w:b/>
                <w:color w:val="000000" w:themeColor="text1"/>
              </w:rPr>
              <w:t>现状评价因子</w:t>
            </w:r>
          </w:p>
        </w:tc>
        <w:tc>
          <w:tcPr>
            <w:tcW w:w="2035" w:type="dxa"/>
            <w:vAlign w:val="center"/>
          </w:tcPr>
          <w:p>
            <w:pPr>
              <w:pStyle w:val="55"/>
              <w:rPr>
                <w:b/>
                <w:color w:val="000000" w:themeColor="text1"/>
              </w:rPr>
            </w:pPr>
            <w:r>
              <w:rPr>
                <w:rFonts w:hint="eastAsia"/>
                <w:b/>
                <w:color w:val="000000" w:themeColor="text1"/>
              </w:rPr>
              <w:t>影响预测因子</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vAlign w:val="center"/>
          </w:tcPr>
          <w:p>
            <w:pPr>
              <w:pStyle w:val="55"/>
              <w:rPr>
                <w:color w:val="000000" w:themeColor="text1"/>
              </w:rPr>
            </w:pPr>
            <w:r>
              <w:rPr>
                <w:rFonts w:hint="eastAsia"/>
                <w:color w:val="000000" w:themeColor="text1"/>
              </w:rPr>
              <w:t>环境空气</w:t>
            </w:r>
          </w:p>
        </w:tc>
        <w:tc>
          <w:tcPr>
            <w:tcW w:w="4819" w:type="dxa"/>
            <w:vAlign w:val="center"/>
          </w:tcPr>
          <w:p>
            <w:pPr>
              <w:pStyle w:val="55"/>
              <w:rPr>
                <w:color w:val="000000" w:themeColor="text1"/>
              </w:rPr>
            </w:pPr>
            <w:r>
              <w:rPr>
                <w:rFonts w:hint="eastAsia"/>
                <w:color w:val="000000" w:themeColor="text1"/>
              </w:rPr>
              <w:t>SO</w:t>
            </w:r>
            <w:r>
              <w:rPr>
                <w:rFonts w:hint="eastAsia"/>
                <w:color w:val="000000" w:themeColor="text1"/>
                <w:vertAlign w:val="subscript"/>
              </w:rPr>
              <w:t>2</w:t>
            </w:r>
            <w:r>
              <w:rPr>
                <w:rFonts w:hint="eastAsia"/>
                <w:color w:val="000000" w:themeColor="text1"/>
              </w:rPr>
              <w:t>、NO</w:t>
            </w:r>
            <w:r>
              <w:rPr>
                <w:rFonts w:hint="eastAsia"/>
                <w:color w:val="000000" w:themeColor="text1"/>
                <w:vertAlign w:val="subscript"/>
              </w:rPr>
              <w:t>2</w:t>
            </w:r>
            <w:r>
              <w:rPr>
                <w:rFonts w:hint="eastAsia"/>
                <w:color w:val="000000" w:themeColor="text1"/>
              </w:rPr>
              <w:t>、PM</w:t>
            </w:r>
            <w:r>
              <w:rPr>
                <w:rFonts w:hint="eastAsia"/>
                <w:color w:val="000000" w:themeColor="text1"/>
                <w:vertAlign w:val="subscript"/>
              </w:rPr>
              <w:t>10</w:t>
            </w:r>
            <w:r>
              <w:rPr>
                <w:rFonts w:hint="eastAsia"/>
                <w:color w:val="000000" w:themeColor="text1"/>
              </w:rPr>
              <w:t>、PM</w:t>
            </w:r>
            <w:r>
              <w:rPr>
                <w:rFonts w:hint="eastAsia"/>
                <w:color w:val="000000" w:themeColor="text1"/>
                <w:vertAlign w:val="subscript"/>
              </w:rPr>
              <w:t>2.5</w:t>
            </w:r>
            <w:r>
              <w:rPr>
                <w:rFonts w:hint="eastAsia"/>
                <w:color w:val="000000" w:themeColor="text1"/>
              </w:rPr>
              <w:t>、CO、O</w:t>
            </w:r>
            <w:r>
              <w:rPr>
                <w:rFonts w:hint="eastAsia"/>
                <w:color w:val="000000" w:themeColor="text1"/>
                <w:vertAlign w:val="subscript"/>
              </w:rPr>
              <w:t>3</w:t>
            </w:r>
            <w:r>
              <w:rPr>
                <w:rFonts w:hint="eastAsia"/>
                <w:color w:val="000000" w:themeColor="text1"/>
              </w:rPr>
              <w:t>、NH</w:t>
            </w:r>
            <w:r>
              <w:rPr>
                <w:rFonts w:hint="eastAsia"/>
                <w:color w:val="000000" w:themeColor="text1"/>
                <w:vertAlign w:val="subscript"/>
              </w:rPr>
              <w:t>3</w:t>
            </w:r>
            <w:r>
              <w:rPr>
                <w:rFonts w:hint="eastAsia"/>
                <w:color w:val="000000" w:themeColor="text1"/>
              </w:rPr>
              <w:t>、H</w:t>
            </w:r>
            <w:r>
              <w:rPr>
                <w:rFonts w:hint="eastAsia"/>
                <w:color w:val="000000" w:themeColor="text1"/>
                <w:vertAlign w:val="subscript"/>
              </w:rPr>
              <w:t>2</w:t>
            </w:r>
            <w:r>
              <w:rPr>
                <w:rFonts w:hint="eastAsia"/>
                <w:color w:val="000000" w:themeColor="text1"/>
              </w:rPr>
              <w:t>S、臭气浓度</w:t>
            </w:r>
          </w:p>
        </w:tc>
        <w:tc>
          <w:tcPr>
            <w:tcW w:w="2035" w:type="dxa"/>
            <w:vAlign w:val="center"/>
          </w:tcPr>
          <w:p>
            <w:pPr>
              <w:pStyle w:val="55"/>
              <w:rPr>
                <w:color w:val="000000" w:themeColor="text1"/>
              </w:rPr>
            </w:pPr>
            <w:r>
              <w:rPr>
                <w:rFonts w:hint="eastAsia"/>
                <w:color w:val="000000" w:themeColor="text1"/>
              </w:rPr>
              <w:t>NH</w:t>
            </w:r>
            <w:r>
              <w:rPr>
                <w:rFonts w:hint="eastAsia"/>
                <w:color w:val="000000" w:themeColor="text1"/>
                <w:vertAlign w:val="subscript"/>
              </w:rPr>
              <w:t>3</w:t>
            </w:r>
            <w:r>
              <w:rPr>
                <w:rFonts w:hint="eastAsia"/>
                <w:color w:val="000000" w:themeColor="text1"/>
              </w:rPr>
              <w:t>、H</w:t>
            </w:r>
            <w:r>
              <w:rPr>
                <w:rFonts w:hint="eastAsia"/>
                <w:color w:val="000000" w:themeColor="text1"/>
                <w:vertAlign w:val="subscript"/>
              </w:rPr>
              <w:t>2</w:t>
            </w:r>
            <w:r>
              <w:rPr>
                <w:rFonts w:hint="eastAsia"/>
                <w:color w:val="000000" w:themeColor="text1"/>
              </w:rPr>
              <w:t>S</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vAlign w:val="center"/>
          </w:tcPr>
          <w:p>
            <w:pPr>
              <w:pStyle w:val="55"/>
              <w:rPr>
                <w:color w:val="000000" w:themeColor="text1"/>
              </w:rPr>
            </w:pPr>
            <w:r>
              <w:rPr>
                <w:rFonts w:hint="eastAsia"/>
                <w:color w:val="000000" w:themeColor="text1"/>
              </w:rPr>
              <w:t>地表水</w:t>
            </w:r>
          </w:p>
        </w:tc>
        <w:tc>
          <w:tcPr>
            <w:tcW w:w="4819" w:type="dxa"/>
            <w:vAlign w:val="center"/>
          </w:tcPr>
          <w:p>
            <w:pPr>
              <w:pStyle w:val="55"/>
              <w:rPr>
                <w:color w:val="000000" w:themeColor="text1"/>
              </w:rPr>
            </w:pPr>
            <w:r>
              <w:rPr>
                <w:rFonts w:hint="eastAsia"/>
                <w:color w:val="000000" w:themeColor="text1"/>
              </w:rPr>
              <w:t>pH值、COD、BOD</w:t>
            </w:r>
            <w:r>
              <w:rPr>
                <w:rFonts w:hint="eastAsia"/>
                <w:color w:val="000000" w:themeColor="text1"/>
                <w:vertAlign w:val="subscript"/>
              </w:rPr>
              <w:t>5</w:t>
            </w:r>
            <w:r>
              <w:rPr>
                <w:rFonts w:hint="eastAsia"/>
                <w:color w:val="000000" w:themeColor="text1"/>
              </w:rPr>
              <w:t>、氨氮、高锰酸盐指数、石油类、挥发酚、总磷等</w:t>
            </w:r>
          </w:p>
        </w:tc>
        <w:tc>
          <w:tcPr>
            <w:tcW w:w="2035" w:type="dxa"/>
            <w:vAlign w:val="center"/>
          </w:tcPr>
          <w:p>
            <w:pPr>
              <w:pStyle w:val="55"/>
              <w:rPr>
                <w:color w:val="000000" w:themeColor="text1"/>
              </w:rPr>
            </w:pPr>
            <w:r>
              <w:rPr>
                <w:rFonts w:hint="eastAsia"/>
                <w:color w:val="000000" w:themeColor="text1"/>
              </w:rPr>
              <w:t>-</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vAlign w:val="center"/>
          </w:tcPr>
          <w:p>
            <w:pPr>
              <w:pStyle w:val="55"/>
              <w:rPr>
                <w:color w:val="000000" w:themeColor="text1"/>
              </w:rPr>
            </w:pPr>
            <w:r>
              <w:rPr>
                <w:rFonts w:hint="eastAsia"/>
                <w:color w:val="000000" w:themeColor="text1"/>
              </w:rPr>
              <w:t>地下水</w:t>
            </w:r>
          </w:p>
        </w:tc>
        <w:tc>
          <w:tcPr>
            <w:tcW w:w="4819" w:type="dxa"/>
            <w:vAlign w:val="center"/>
          </w:tcPr>
          <w:p>
            <w:pPr>
              <w:pStyle w:val="55"/>
              <w:rPr>
                <w:color w:val="000000" w:themeColor="text1"/>
              </w:rPr>
            </w:pPr>
            <w:r>
              <w:rPr>
                <w:rFonts w:hint="eastAsia"/>
                <w:color w:val="000000" w:themeColor="text1"/>
              </w:rPr>
              <w:t>水温、pH、总硬度、溶解性总固体、硫酸盐、氯化物、挥发酚、耗氧量、硝酸盐、亚硝酸盐、氨氮、氟化物、氰化物、六价铬、汞、砷、镉、总大肠菌群等</w:t>
            </w:r>
          </w:p>
        </w:tc>
        <w:tc>
          <w:tcPr>
            <w:tcW w:w="2035" w:type="dxa"/>
            <w:vAlign w:val="center"/>
          </w:tcPr>
          <w:p>
            <w:pPr>
              <w:pStyle w:val="55"/>
              <w:rPr>
                <w:color w:val="000000" w:themeColor="text1"/>
              </w:rPr>
            </w:pPr>
            <w:r>
              <w:rPr>
                <w:rFonts w:hint="eastAsia"/>
                <w:color w:val="000000" w:themeColor="text1"/>
              </w:rPr>
              <w:t>耗氧量、氨氮</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vAlign w:val="center"/>
          </w:tcPr>
          <w:p>
            <w:pPr>
              <w:pStyle w:val="55"/>
              <w:rPr>
                <w:color w:val="000000" w:themeColor="text1"/>
              </w:rPr>
            </w:pPr>
            <w:r>
              <w:rPr>
                <w:color w:val="000000" w:themeColor="text1"/>
              </w:rPr>
              <w:t>噪声</w:t>
            </w:r>
          </w:p>
        </w:tc>
        <w:tc>
          <w:tcPr>
            <w:tcW w:w="4819" w:type="dxa"/>
            <w:vAlign w:val="center"/>
          </w:tcPr>
          <w:p>
            <w:pPr>
              <w:pStyle w:val="55"/>
              <w:rPr>
                <w:color w:val="000000" w:themeColor="text1"/>
              </w:rPr>
            </w:pPr>
            <w:r>
              <w:rPr>
                <w:color w:val="000000" w:themeColor="text1"/>
              </w:rPr>
              <w:t>L</w:t>
            </w:r>
            <w:r>
              <w:rPr>
                <w:color w:val="000000" w:themeColor="text1"/>
                <w:vertAlign w:val="subscript"/>
              </w:rPr>
              <w:t>Aeq</w:t>
            </w:r>
          </w:p>
        </w:tc>
        <w:tc>
          <w:tcPr>
            <w:tcW w:w="2035" w:type="dxa"/>
            <w:vAlign w:val="center"/>
          </w:tcPr>
          <w:p>
            <w:pPr>
              <w:pStyle w:val="55"/>
              <w:rPr>
                <w:color w:val="000000" w:themeColor="text1"/>
              </w:rPr>
            </w:pPr>
            <w:r>
              <w:rPr>
                <w:color w:val="000000" w:themeColor="text1"/>
              </w:rPr>
              <w:t>L</w:t>
            </w:r>
            <w:r>
              <w:rPr>
                <w:color w:val="000000" w:themeColor="text1"/>
                <w:vertAlign w:val="subscript"/>
              </w:rPr>
              <w:t>Aeq</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vAlign w:val="center"/>
          </w:tcPr>
          <w:p>
            <w:pPr>
              <w:pStyle w:val="55"/>
              <w:rPr>
                <w:color w:val="000000" w:themeColor="text1"/>
              </w:rPr>
            </w:pPr>
            <w:r>
              <w:rPr>
                <w:rFonts w:hint="eastAsia"/>
                <w:color w:val="000000" w:themeColor="text1"/>
              </w:rPr>
              <w:t>环境土壤</w:t>
            </w:r>
          </w:p>
        </w:tc>
        <w:tc>
          <w:tcPr>
            <w:tcW w:w="4819" w:type="dxa"/>
            <w:vAlign w:val="center"/>
          </w:tcPr>
          <w:p>
            <w:pPr>
              <w:pStyle w:val="55"/>
              <w:rPr>
                <w:color w:val="000000" w:themeColor="text1"/>
              </w:rPr>
            </w:pPr>
            <w:r>
              <w:rPr>
                <w:rFonts w:hint="eastAsia"/>
                <w:color w:val="000000" w:themeColor="text1"/>
              </w:rPr>
              <w:t>-</w:t>
            </w:r>
          </w:p>
        </w:tc>
        <w:tc>
          <w:tcPr>
            <w:tcW w:w="2035" w:type="dxa"/>
            <w:vAlign w:val="center"/>
          </w:tcPr>
          <w:p>
            <w:pPr>
              <w:pStyle w:val="55"/>
              <w:rPr>
                <w:color w:val="000000" w:themeColor="text1"/>
              </w:rPr>
            </w:pPr>
            <w:r>
              <w:rPr>
                <w:rFonts w:hint="eastAsia"/>
                <w:color w:val="000000" w:themeColor="text1"/>
              </w:rPr>
              <w:t>-</w:t>
            </w:r>
          </w:p>
        </w:tc>
      </w:tr>
    </w:tbl>
    <w:p>
      <w:pPr>
        <w:pStyle w:val="3"/>
        <w:rPr>
          <w:color w:val="000000" w:themeColor="text1"/>
        </w:rPr>
      </w:pPr>
      <w:bookmarkStart w:id="13" w:name="_Toc47375778"/>
      <w:r>
        <w:rPr>
          <w:rFonts w:hint="eastAsia"/>
          <w:color w:val="000000" w:themeColor="text1"/>
        </w:rPr>
        <w:t>1.4评价标准</w:t>
      </w:r>
      <w:bookmarkEnd w:id="13"/>
    </w:p>
    <w:p>
      <w:pPr>
        <w:pStyle w:val="38"/>
        <w:ind w:firstLine="281"/>
        <w:rPr>
          <w:color w:val="000000" w:themeColor="text1"/>
        </w:rPr>
      </w:pPr>
      <w:bookmarkStart w:id="14" w:name="_Toc47375779"/>
      <w:r>
        <w:rPr>
          <w:rFonts w:hint="eastAsia"/>
          <w:color w:val="000000" w:themeColor="text1"/>
        </w:rPr>
        <w:t>1.4.1环境质量标准</w:t>
      </w:r>
      <w:bookmarkEnd w:id="14"/>
    </w:p>
    <w:p>
      <w:pPr>
        <w:ind w:firstLine="480"/>
        <w:rPr>
          <w:color w:val="000000" w:themeColor="text1"/>
        </w:rPr>
      </w:pPr>
      <w:r>
        <w:rPr>
          <w:color w:val="000000" w:themeColor="text1"/>
        </w:rPr>
        <w:t>1、环境空气质量</w:t>
      </w:r>
    </w:p>
    <w:p>
      <w:pPr>
        <w:ind w:firstLine="480"/>
        <w:rPr>
          <w:rFonts w:hAnsi="宋体" w:cs="Times New Roman"/>
          <w:color w:val="000000" w:themeColor="text1"/>
          <w:szCs w:val="24"/>
        </w:rPr>
      </w:pPr>
      <w:r>
        <w:rPr>
          <w:rFonts w:hAnsi="宋体" w:cs="Times New Roman"/>
          <w:color w:val="000000" w:themeColor="text1"/>
          <w:szCs w:val="24"/>
        </w:rPr>
        <w:t>本项目位于</w:t>
      </w:r>
      <w:r>
        <w:rPr>
          <w:rFonts w:hint="eastAsia" w:hAnsi="宋体" w:cs="Times New Roman"/>
          <w:color w:val="000000" w:themeColor="text1"/>
          <w:szCs w:val="24"/>
        </w:rPr>
        <w:t>砚山县干河乡</w:t>
      </w:r>
      <w:r>
        <w:rPr>
          <w:rFonts w:hAnsi="宋体" w:cs="Times New Roman"/>
          <w:color w:val="000000" w:themeColor="text1"/>
          <w:szCs w:val="24"/>
        </w:rPr>
        <w:t>，项目所在地为环境空气功能规划为二类区，故本项目所在地</w:t>
      </w:r>
      <w:r>
        <w:rPr>
          <w:rFonts w:cs="Times New Roman"/>
          <w:color w:val="000000" w:themeColor="text1"/>
          <w:szCs w:val="24"/>
        </w:rPr>
        <w:t>SO</w:t>
      </w:r>
      <w:r>
        <w:rPr>
          <w:rFonts w:cs="Times New Roman"/>
          <w:color w:val="000000" w:themeColor="text1"/>
          <w:szCs w:val="24"/>
          <w:vertAlign w:val="subscript"/>
        </w:rPr>
        <w:t>2</w:t>
      </w:r>
      <w:r>
        <w:rPr>
          <w:rFonts w:hAnsi="宋体" w:cs="Times New Roman"/>
          <w:color w:val="000000" w:themeColor="text1"/>
          <w:szCs w:val="24"/>
        </w:rPr>
        <w:t>、</w:t>
      </w:r>
      <w:r>
        <w:rPr>
          <w:rFonts w:cs="Times New Roman"/>
          <w:color w:val="000000" w:themeColor="text1"/>
          <w:szCs w:val="24"/>
        </w:rPr>
        <w:t>NO</w:t>
      </w:r>
      <w:r>
        <w:rPr>
          <w:rFonts w:cs="Times New Roman"/>
          <w:color w:val="000000" w:themeColor="text1"/>
          <w:szCs w:val="24"/>
          <w:vertAlign w:val="subscript"/>
        </w:rPr>
        <w:t>2</w:t>
      </w:r>
      <w:r>
        <w:rPr>
          <w:rFonts w:hAnsi="宋体" w:cs="Times New Roman"/>
          <w:color w:val="000000" w:themeColor="text1"/>
          <w:szCs w:val="24"/>
        </w:rPr>
        <w:t>、</w:t>
      </w:r>
      <w:r>
        <w:rPr>
          <w:rFonts w:cs="Times New Roman"/>
          <w:color w:val="000000" w:themeColor="text1"/>
          <w:szCs w:val="24"/>
        </w:rPr>
        <w:t>PM</w:t>
      </w:r>
      <w:r>
        <w:rPr>
          <w:rFonts w:cs="Times New Roman"/>
          <w:color w:val="000000" w:themeColor="text1"/>
          <w:szCs w:val="24"/>
          <w:vertAlign w:val="subscript"/>
        </w:rPr>
        <w:t>10</w:t>
      </w:r>
      <w:r>
        <w:rPr>
          <w:rFonts w:hAnsi="宋体" w:cs="Times New Roman"/>
          <w:color w:val="000000" w:themeColor="text1"/>
          <w:szCs w:val="24"/>
        </w:rPr>
        <w:t>、</w:t>
      </w:r>
      <w:r>
        <w:rPr>
          <w:rFonts w:cs="Times New Roman"/>
          <w:color w:val="000000" w:themeColor="text1"/>
          <w:szCs w:val="24"/>
        </w:rPr>
        <w:t>PM</w:t>
      </w:r>
      <w:r>
        <w:rPr>
          <w:rFonts w:cs="Times New Roman"/>
          <w:color w:val="000000" w:themeColor="text1"/>
          <w:szCs w:val="24"/>
          <w:vertAlign w:val="subscript"/>
        </w:rPr>
        <w:t>2.5</w:t>
      </w:r>
      <w:r>
        <w:rPr>
          <w:rFonts w:hAnsi="宋体" w:cs="Times New Roman"/>
          <w:color w:val="000000" w:themeColor="text1"/>
          <w:szCs w:val="24"/>
        </w:rPr>
        <w:t>、</w:t>
      </w:r>
      <w:r>
        <w:rPr>
          <w:rFonts w:cs="Times New Roman"/>
          <w:color w:val="000000" w:themeColor="text1"/>
          <w:szCs w:val="24"/>
        </w:rPr>
        <w:t>CO</w:t>
      </w:r>
      <w:r>
        <w:rPr>
          <w:rFonts w:hAnsi="宋体" w:cs="Times New Roman"/>
          <w:color w:val="000000" w:themeColor="text1"/>
          <w:szCs w:val="24"/>
        </w:rPr>
        <w:t>、</w:t>
      </w:r>
      <w:r>
        <w:rPr>
          <w:rFonts w:cs="Times New Roman"/>
          <w:color w:val="000000" w:themeColor="text1"/>
          <w:szCs w:val="24"/>
        </w:rPr>
        <w:t>O</w:t>
      </w:r>
      <w:r>
        <w:rPr>
          <w:rFonts w:cs="Times New Roman"/>
          <w:color w:val="000000" w:themeColor="text1"/>
          <w:szCs w:val="24"/>
          <w:vertAlign w:val="subscript"/>
        </w:rPr>
        <w:t>3</w:t>
      </w:r>
      <w:r>
        <w:rPr>
          <w:rFonts w:hAnsi="宋体" w:cs="Times New Roman"/>
          <w:color w:val="000000" w:themeColor="text1"/>
          <w:szCs w:val="24"/>
        </w:rPr>
        <w:t>执行《环境空气质量标准》（</w:t>
      </w:r>
      <w:r>
        <w:rPr>
          <w:rFonts w:cs="Times New Roman"/>
          <w:color w:val="000000" w:themeColor="text1"/>
          <w:szCs w:val="24"/>
        </w:rPr>
        <w:t>GB3095-2012</w:t>
      </w:r>
      <w:r>
        <w:rPr>
          <w:rFonts w:hAnsi="宋体" w:cs="Times New Roman"/>
          <w:color w:val="000000" w:themeColor="text1"/>
          <w:szCs w:val="24"/>
        </w:rPr>
        <w:t>）及修改单（生态环境部公告</w:t>
      </w:r>
      <w:r>
        <w:rPr>
          <w:rFonts w:cs="Times New Roman"/>
          <w:color w:val="000000" w:themeColor="text1"/>
          <w:szCs w:val="24"/>
        </w:rPr>
        <w:t xml:space="preserve">2018 </w:t>
      </w:r>
      <w:r>
        <w:rPr>
          <w:rFonts w:hAnsi="宋体" w:cs="Times New Roman"/>
          <w:color w:val="000000" w:themeColor="text1"/>
          <w:szCs w:val="24"/>
        </w:rPr>
        <w:t>年第</w:t>
      </w:r>
      <w:r>
        <w:rPr>
          <w:rFonts w:cs="Times New Roman"/>
          <w:color w:val="000000" w:themeColor="text1"/>
          <w:szCs w:val="24"/>
        </w:rPr>
        <w:t xml:space="preserve">29 </w:t>
      </w:r>
      <w:r>
        <w:rPr>
          <w:rFonts w:hAnsi="宋体" w:cs="Times New Roman"/>
          <w:color w:val="000000" w:themeColor="text1"/>
          <w:szCs w:val="24"/>
        </w:rPr>
        <w:t>号）二级标准，</w:t>
      </w:r>
      <w:r>
        <w:rPr>
          <w:rFonts w:cs="Times New Roman"/>
          <w:color w:val="000000" w:themeColor="text1"/>
          <w:szCs w:val="24"/>
        </w:rPr>
        <w:t>NH</w:t>
      </w:r>
      <w:r>
        <w:rPr>
          <w:rFonts w:cs="Times New Roman"/>
          <w:color w:val="000000" w:themeColor="text1"/>
          <w:szCs w:val="24"/>
          <w:vertAlign w:val="subscript"/>
        </w:rPr>
        <w:t>3</w:t>
      </w:r>
      <w:r>
        <w:rPr>
          <w:rFonts w:hAnsi="宋体" w:cs="Times New Roman"/>
          <w:color w:val="000000" w:themeColor="text1"/>
          <w:szCs w:val="24"/>
        </w:rPr>
        <w:t>和</w:t>
      </w:r>
      <w:r>
        <w:rPr>
          <w:rFonts w:cs="Times New Roman"/>
          <w:color w:val="000000" w:themeColor="text1"/>
          <w:szCs w:val="24"/>
        </w:rPr>
        <w:t>H</w:t>
      </w:r>
      <w:r>
        <w:rPr>
          <w:rFonts w:cs="Times New Roman"/>
          <w:color w:val="000000" w:themeColor="text1"/>
          <w:szCs w:val="24"/>
          <w:vertAlign w:val="subscript"/>
        </w:rPr>
        <w:t>2</w:t>
      </w:r>
      <w:r>
        <w:rPr>
          <w:rFonts w:cs="Times New Roman"/>
          <w:color w:val="000000" w:themeColor="text1"/>
          <w:szCs w:val="24"/>
        </w:rPr>
        <w:t>S</w:t>
      </w:r>
      <w:r>
        <w:rPr>
          <w:rFonts w:hAnsi="宋体" w:cs="Times New Roman"/>
          <w:color w:val="000000" w:themeColor="text1"/>
          <w:szCs w:val="24"/>
        </w:rPr>
        <w:t>执行《环境影响评价技术导则</w:t>
      </w:r>
      <w:r>
        <w:rPr>
          <w:rFonts w:cs="Times New Roman"/>
          <w:color w:val="000000" w:themeColor="text1"/>
          <w:szCs w:val="24"/>
        </w:rPr>
        <w:t xml:space="preserve">  </w:t>
      </w:r>
      <w:r>
        <w:rPr>
          <w:rFonts w:hAnsi="宋体" w:cs="Times New Roman"/>
          <w:color w:val="000000" w:themeColor="text1"/>
          <w:szCs w:val="24"/>
        </w:rPr>
        <w:t>大气环境》（</w:t>
      </w:r>
      <w:r>
        <w:rPr>
          <w:rFonts w:cs="Times New Roman"/>
          <w:color w:val="000000" w:themeColor="text1"/>
          <w:szCs w:val="24"/>
        </w:rPr>
        <w:t>HJ2.2</w:t>
      </w:r>
      <w:r>
        <w:rPr>
          <w:rFonts w:hAnsi="宋体" w:cs="Times New Roman"/>
          <w:color w:val="000000" w:themeColor="text1"/>
          <w:szCs w:val="24"/>
        </w:rPr>
        <w:t>－</w:t>
      </w:r>
      <w:r>
        <w:rPr>
          <w:rFonts w:cs="Times New Roman"/>
          <w:color w:val="000000" w:themeColor="text1"/>
          <w:szCs w:val="24"/>
        </w:rPr>
        <w:t>2018</w:t>
      </w:r>
      <w:r>
        <w:rPr>
          <w:rFonts w:hAnsi="宋体" w:cs="Times New Roman"/>
          <w:color w:val="000000" w:themeColor="text1"/>
          <w:szCs w:val="24"/>
        </w:rPr>
        <w:t>）附录</w:t>
      </w:r>
      <w:r>
        <w:rPr>
          <w:rFonts w:cs="Times New Roman"/>
          <w:color w:val="000000" w:themeColor="text1"/>
          <w:szCs w:val="24"/>
        </w:rPr>
        <w:t>D</w:t>
      </w:r>
      <w:r>
        <w:rPr>
          <w:rFonts w:hAnsi="宋体" w:cs="Times New Roman"/>
          <w:color w:val="000000" w:themeColor="text1"/>
          <w:szCs w:val="24"/>
        </w:rPr>
        <w:t>表</w:t>
      </w:r>
      <w:r>
        <w:rPr>
          <w:rFonts w:cs="Times New Roman"/>
          <w:color w:val="000000" w:themeColor="text1"/>
          <w:szCs w:val="24"/>
        </w:rPr>
        <w:t>D.1</w:t>
      </w:r>
      <w:r>
        <w:rPr>
          <w:rFonts w:hAnsi="宋体" w:cs="Times New Roman"/>
          <w:color w:val="000000" w:themeColor="text1"/>
          <w:szCs w:val="24"/>
        </w:rPr>
        <w:t>标准，具体标准限值见表</w:t>
      </w:r>
      <w:r>
        <w:rPr>
          <w:rFonts w:hint="eastAsia" w:cs="Times New Roman"/>
          <w:color w:val="000000" w:themeColor="text1"/>
          <w:szCs w:val="24"/>
        </w:rPr>
        <w:t>1.4.1</w:t>
      </w:r>
      <w:r>
        <w:rPr>
          <w:rFonts w:cs="Times New Roman"/>
          <w:color w:val="000000" w:themeColor="text1"/>
          <w:szCs w:val="24"/>
        </w:rPr>
        <w:t>-1</w:t>
      </w:r>
      <w:r>
        <w:rPr>
          <w:rFonts w:hAnsi="宋体" w:cs="Times New Roman"/>
          <w:color w:val="000000" w:themeColor="text1"/>
          <w:szCs w:val="24"/>
        </w:rPr>
        <w:t>。</w:t>
      </w:r>
    </w:p>
    <w:p>
      <w:pPr>
        <w:pStyle w:val="54"/>
        <w:rPr>
          <w:color w:val="000000" w:themeColor="text1"/>
        </w:rPr>
      </w:pPr>
      <w:r>
        <w:rPr>
          <w:rFonts w:hint="eastAsia"/>
          <w:color w:val="000000" w:themeColor="text1"/>
        </w:rPr>
        <w:t>表1.4.1-1  环境空气质量标准</w:t>
      </w:r>
    </w:p>
    <w:tbl>
      <w:tblPr>
        <w:tblStyle w:val="42"/>
        <w:tblW w:w="8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6"/>
        <w:gridCol w:w="1968"/>
        <w:gridCol w:w="1752"/>
        <w:gridCol w:w="2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bookmarkStart w:id="15" w:name="_Hlk531080821"/>
            <w:r>
              <w:rPr>
                <w:rFonts w:hint="eastAsia"/>
                <w:color w:val="000000" w:themeColor="text1"/>
              </w:rPr>
              <w:t>评价因子</w:t>
            </w:r>
          </w:p>
        </w:tc>
        <w:tc>
          <w:tcPr>
            <w:tcW w:w="196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平均时段</w:t>
            </w:r>
          </w:p>
        </w:tc>
        <w:tc>
          <w:tcPr>
            <w:tcW w:w="17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标准值（</w:t>
            </w:r>
            <w:r>
              <w:rPr>
                <w:rFonts w:cs="Times New Roman"/>
                <w:color w:val="000000" w:themeColor="text1"/>
              </w:rPr>
              <w:t>μ</w:t>
            </w:r>
            <w:r>
              <w:rPr>
                <w:rFonts w:hint="eastAsia"/>
                <w:color w:val="000000" w:themeColor="text1"/>
              </w:rPr>
              <w:t>g/m</w:t>
            </w:r>
            <w:r>
              <w:rPr>
                <w:rFonts w:hint="eastAsia"/>
                <w:color w:val="000000" w:themeColor="text1"/>
                <w:vertAlign w:val="superscript"/>
              </w:rPr>
              <w:t>3</w:t>
            </w:r>
            <w:r>
              <w:rPr>
                <w:rFonts w:hint="eastAsia"/>
                <w:color w:val="000000" w:themeColor="text1"/>
              </w:rPr>
              <w:t>）</w:t>
            </w:r>
          </w:p>
        </w:tc>
        <w:tc>
          <w:tcPr>
            <w:tcW w:w="299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6"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SO</w:t>
            </w:r>
            <w:r>
              <w:rPr>
                <w:rFonts w:hint="eastAsia"/>
                <w:color w:val="000000" w:themeColor="text1"/>
                <w:vertAlign w:val="subscript"/>
              </w:rPr>
              <w:t>2</w:t>
            </w:r>
          </w:p>
        </w:tc>
        <w:tc>
          <w:tcPr>
            <w:tcW w:w="196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年平均</w:t>
            </w:r>
          </w:p>
        </w:tc>
        <w:tc>
          <w:tcPr>
            <w:tcW w:w="17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60</w:t>
            </w:r>
          </w:p>
        </w:tc>
        <w:tc>
          <w:tcPr>
            <w:tcW w:w="2990"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《环境空气质量标准》</w:t>
            </w:r>
          </w:p>
          <w:p>
            <w:pPr>
              <w:pStyle w:val="55"/>
              <w:rPr>
                <w:color w:val="000000" w:themeColor="text1"/>
              </w:rPr>
            </w:pPr>
            <w:r>
              <w:rPr>
                <w:rFonts w:hint="eastAsia"/>
                <w:color w:val="000000" w:themeColor="text1"/>
              </w:rPr>
              <w:t>（GB3095－2012）二级标准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96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24小时平均</w:t>
            </w:r>
          </w:p>
        </w:tc>
        <w:tc>
          <w:tcPr>
            <w:tcW w:w="17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150</w:t>
            </w:r>
          </w:p>
        </w:tc>
        <w:tc>
          <w:tcPr>
            <w:tcW w:w="2990"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96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1小时平均</w:t>
            </w:r>
          </w:p>
        </w:tc>
        <w:tc>
          <w:tcPr>
            <w:tcW w:w="17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500</w:t>
            </w:r>
          </w:p>
        </w:tc>
        <w:tc>
          <w:tcPr>
            <w:tcW w:w="2990"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6"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NOx</w:t>
            </w:r>
          </w:p>
        </w:tc>
        <w:tc>
          <w:tcPr>
            <w:tcW w:w="196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年平均</w:t>
            </w:r>
          </w:p>
        </w:tc>
        <w:tc>
          <w:tcPr>
            <w:tcW w:w="17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50</w:t>
            </w:r>
          </w:p>
        </w:tc>
        <w:tc>
          <w:tcPr>
            <w:tcW w:w="2990"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96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24小时平均</w:t>
            </w:r>
          </w:p>
        </w:tc>
        <w:tc>
          <w:tcPr>
            <w:tcW w:w="17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100</w:t>
            </w:r>
          </w:p>
        </w:tc>
        <w:tc>
          <w:tcPr>
            <w:tcW w:w="2990"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96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1小时平均</w:t>
            </w:r>
          </w:p>
        </w:tc>
        <w:tc>
          <w:tcPr>
            <w:tcW w:w="17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250</w:t>
            </w:r>
          </w:p>
        </w:tc>
        <w:tc>
          <w:tcPr>
            <w:tcW w:w="2990"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6"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NO</w:t>
            </w:r>
            <w:r>
              <w:rPr>
                <w:rFonts w:hint="eastAsia"/>
                <w:color w:val="000000" w:themeColor="text1"/>
                <w:vertAlign w:val="subscript"/>
              </w:rPr>
              <w:t>2</w:t>
            </w:r>
          </w:p>
        </w:tc>
        <w:tc>
          <w:tcPr>
            <w:tcW w:w="196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年平均</w:t>
            </w:r>
          </w:p>
        </w:tc>
        <w:tc>
          <w:tcPr>
            <w:tcW w:w="17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40</w:t>
            </w:r>
          </w:p>
        </w:tc>
        <w:tc>
          <w:tcPr>
            <w:tcW w:w="2990"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6" w:type="dxa"/>
            <w:vMerge w:val="continue"/>
            <w:tcBorders>
              <w:left w:val="single" w:color="auto" w:sz="4" w:space="0"/>
              <w:right w:val="single" w:color="auto" w:sz="4" w:space="0"/>
            </w:tcBorders>
            <w:vAlign w:val="center"/>
          </w:tcPr>
          <w:p>
            <w:pPr>
              <w:pStyle w:val="55"/>
              <w:rPr>
                <w:color w:val="000000" w:themeColor="text1"/>
              </w:rPr>
            </w:pPr>
          </w:p>
        </w:tc>
        <w:tc>
          <w:tcPr>
            <w:tcW w:w="196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24小时平均</w:t>
            </w:r>
          </w:p>
        </w:tc>
        <w:tc>
          <w:tcPr>
            <w:tcW w:w="17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80</w:t>
            </w:r>
          </w:p>
        </w:tc>
        <w:tc>
          <w:tcPr>
            <w:tcW w:w="2990"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6"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196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1小时平均</w:t>
            </w:r>
          </w:p>
        </w:tc>
        <w:tc>
          <w:tcPr>
            <w:tcW w:w="17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200</w:t>
            </w:r>
          </w:p>
        </w:tc>
        <w:tc>
          <w:tcPr>
            <w:tcW w:w="2990"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6"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CO</w:t>
            </w:r>
          </w:p>
        </w:tc>
        <w:tc>
          <w:tcPr>
            <w:tcW w:w="196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24小时平均</w:t>
            </w:r>
          </w:p>
        </w:tc>
        <w:tc>
          <w:tcPr>
            <w:tcW w:w="17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w:t>
            </w:r>
          </w:p>
        </w:tc>
        <w:tc>
          <w:tcPr>
            <w:tcW w:w="2990"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96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1小时平均</w:t>
            </w:r>
          </w:p>
        </w:tc>
        <w:tc>
          <w:tcPr>
            <w:tcW w:w="17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10</w:t>
            </w:r>
          </w:p>
        </w:tc>
        <w:tc>
          <w:tcPr>
            <w:tcW w:w="2990"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6"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O</w:t>
            </w:r>
            <w:r>
              <w:rPr>
                <w:rFonts w:hint="eastAsia"/>
                <w:color w:val="000000" w:themeColor="text1"/>
                <w:vertAlign w:val="subscript"/>
              </w:rPr>
              <w:t>3</w:t>
            </w:r>
          </w:p>
        </w:tc>
        <w:tc>
          <w:tcPr>
            <w:tcW w:w="196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日最大8小时平均</w:t>
            </w:r>
          </w:p>
        </w:tc>
        <w:tc>
          <w:tcPr>
            <w:tcW w:w="17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160</w:t>
            </w:r>
          </w:p>
        </w:tc>
        <w:tc>
          <w:tcPr>
            <w:tcW w:w="2990"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96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1小时平均</w:t>
            </w:r>
          </w:p>
        </w:tc>
        <w:tc>
          <w:tcPr>
            <w:tcW w:w="17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200</w:t>
            </w:r>
          </w:p>
        </w:tc>
        <w:tc>
          <w:tcPr>
            <w:tcW w:w="2990"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6"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PM</w:t>
            </w:r>
            <w:r>
              <w:rPr>
                <w:rFonts w:hint="eastAsia"/>
                <w:color w:val="000000" w:themeColor="text1"/>
                <w:vertAlign w:val="subscript"/>
              </w:rPr>
              <w:t>10</w:t>
            </w:r>
          </w:p>
        </w:tc>
        <w:tc>
          <w:tcPr>
            <w:tcW w:w="196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年平均</w:t>
            </w:r>
          </w:p>
        </w:tc>
        <w:tc>
          <w:tcPr>
            <w:tcW w:w="17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70</w:t>
            </w:r>
          </w:p>
        </w:tc>
        <w:tc>
          <w:tcPr>
            <w:tcW w:w="2990"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96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24小时平均</w:t>
            </w:r>
          </w:p>
        </w:tc>
        <w:tc>
          <w:tcPr>
            <w:tcW w:w="17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150</w:t>
            </w:r>
          </w:p>
        </w:tc>
        <w:tc>
          <w:tcPr>
            <w:tcW w:w="2990"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6"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PM</w:t>
            </w:r>
            <w:r>
              <w:rPr>
                <w:rFonts w:hint="eastAsia"/>
                <w:color w:val="000000" w:themeColor="text1"/>
                <w:vertAlign w:val="subscript"/>
              </w:rPr>
              <w:t>2.5</w:t>
            </w:r>
          </w:p>
        </w:tc>
        <w:tc>
          <w:tcPr>
            <w:tcW w:w="196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年平均</w:t>
            </w:r>
          </w:p>
        </w:tc>
        <w:tc>
          <w:tcPr>
            <w:tcW w:w="17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35</w:t>
            </w:r>
          </w:p>
        </w:tc>
        <w:tc>
          <w:tcPr>
            <w:tcW w:w="2990"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96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24小时平均</w:t>
            </w:r>
          </w:p>
        </w:tc>
        <w:tc>
          <w:tcPr>
            <w:tcW w:w="17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75</w:t>
            </w:r>
          </w:p>
        </w:tc>
        <w:tc>
          <w:tcPr>
            <w:tcW w:w="2990"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30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氨</w:t>
            </w:r>
          </w:p>
        </w:tc>
        <w:tc>
          <w:tcPr>
            <w:tcW w:w="196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color w:val="000000" w:themeColor="text1"/>
              </w:rPr>
              <w:t>1</w:t>
            </w:r>
            <w:r>
              <w:rPr>
                <w:rFonts w:hint="eastAsia"/>
                <w:color w:val="000000" w:themeColor="text1"/>
              </w:rPr>
              <w:t>小时平均</w:t>
            </w:r>
          </w:p>
        </w:tc>
        <w:tc>
          <w:tcPr>
            <w:tcW w:w="17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200</w:t>
            </w:r>
          </w:p>
        </w:tc>
        <w:tc>
          <w:tcPr>
            <w:tcW w:w="2990"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《环境影响评价技术导则  大气环境》（HJ2.2－2018）附录D表D.1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硫化氢</w:t>
            </w:r>
          </w:p>
        </w:tc>
        <w:tc>
          <w:tcPr>
            <w:tcW w:w="196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color w:val="000000" w:themeColor="text1"/>
              </w:rPr>
              <w:t>1</w:t>
            </w:r>
            <w:r>
              <w:rPr>
                <w:rFonts w:hint="eastAsia"/>
                <w:color w:val="000000" w:themeColor="text1"/>
              </w:rPr>
              <w:t>小时平均</w:t>
            </w:r>
          </w:p>
        </w:tc>
        <w:tc>
          <w:tcPr>
            <w:tcW w:w="17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10</w:t>
            </w:r>
          </w:p>
        </w:tc>
        <w:tc>
          <w:tcPr>
            <w:tcW w:w="2990"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r>
      <w:bookmarkEnd w:id="15"/>
    </w:tbl>
    <w:p>
      <w:pPr>
        <w:ind w:firstLine="480"/>
        <w:rPr>
          <w:color w:val="000000" w:themeColor="text1"/>
          <w:kern w:val="0"/>
        </w:rPr>
      </w:pPr>
      <w:r>
        <w:rPr>
          <w:rFonts w:hint="eastAsia"/>
          <w:color w:val="000000" w:themeColor="text1"/>
          <w:kern w:val="0"/>
        </w:rPr>
        <w:t>2、地表水环境质量标准</w:t>
      </w:r>
    </w:p>
    <w:p>
      <w:pPr>
        <w:ind w:firstLine="480"/>
        <w:rPr>
          <w:color w:val="000000" w:themeColor="text1"/>
          <w:kern w:val="0"/>
        </w:rPr>
      </w:pPr>
      <w:r>
        <w:rPr>
          <w:rFonts w:hint="eastAsia"/>
          <w:color w:val="000000" w:themeColor="text1"/>
          <w:kern w:val="0"/>
        </w:rPr>
        <w:t>距离本</w:t>
      </w:r>
      <w:r>
        <w:rPr>
          <w:rFonts w:hint="eastAsia"/>
          <w:color w:val="000000" w:themeColor="text1"/>
        </w:rPr>
        <w:t>项目区最近的地表水为东南面3175</w:t>
      </w:r>
      <w:r>
        <w:rPr>
          <w:color w:val="000000" w:themeColor="text1"/>
        </w:rPr>
        <w:t>m</w:t>
      </w:r>
      <w:r>
        <w:rPr>
          <w:rFonts w:hint="eastAsia"/>
          <w:color w:val="000000" w:themeColor="text1"/>
        </w:rPr>
        <w:t>处的听湖水库，</w:t>
      </w:r>
      <w:r>
        <w:rPr>
          <w:rFonts w:hint="eastAsia"/>
          <w:color w:val="000000" w:themeColor="text1"/>
          <w:kern w:val="0"/>
        </w:rPr>
        <w:t>依据《云南省地表水水环境功能区划（</w:t>
      </w:r>
      <w:r>
        <w:rPr>
          <w:color w:val="000000" w:themeColor="text1"/>
          <w:kern w:val="0"/>
        </w:rPr>
        <w:t>2010-2020</w:t>
      </w:r>
      <w:r>
        <w:rPr>
          <w:rFonts w:hint="eastAsia"/>
          <w:color w:val="000000" w:themeColor="text1"/>
          <w:kern w:val="0"/>
        </w:rPr>
        <w:t>）》，听湖水库水环境功能属于农业用水、工业用水，水功能类别为</w:t>
      </w:r>
      <w:r>
        <w:rPr>
          <w:color w:val="000000" w:themeColor="text1"/>
          <w:kern w:val="0"/>
        </w:rPr>
        <w:t>Ⅲ</w:t>
      </w:r>
      <w:r>
        <w:rPr>
          <w:rFonts w:hint="eastAsia"/>
          <w:color w:val="000000" w:themeColor="text1"/>
          <w:kern w:val="0"/>
        </w:rPr>
        <w:t>类水体，执行《地表水环境质量标准》（</w:t>
      </w:r>
      <w:r>
        <w:rPr>
          <w:color w:val="000000" w:themeColor="text1"/>
          <w:kern w:val="0"/>
        </w:rPr>
        <w:t>GB3838-2002</w:t>
      </w:r>
      <w:r>
        <w:rPr>
          <w:rFonts w:hint="eastAsia"/>
          <w:color w:val="000000" w:themeColor="text1"/>
          <w:kern w:val="0"/>
        </w:rPr>
        <w:t>）中的</w:t>
      </w:r>
      <w:r>
        <w:rPr>
          <w:color w:val="000000" w:themeColor="text1"/>
          <w:kern w:val="0"/>
        </w:rPr>
        <w:t>III</w:t>
      </w:r>
      <w:r>
        <w:rPr>
          <w:rFonts w:hint="eastAsia"/>
          <w:color w:val="000000" w:themeColor="text1"/>
          <w:kern w:val="0"/>
        </w:rPr>
        <w:t>类标准，标准值见表1.4.1-2。</w:t>
      </w:r>
    </w:p>
    <w:p>
      <w:pPr>
        <w:pStyle w:val="54"/>
        <w:rPr>
          <w:bCs/>
          <w:color w:val="000000" w:themeColor="text1"/>
          <w:kern w:val="0"/>
          <w:sz w:val="24"/>
        </w:rPr>
      </w:pPr>
      <w:r>
        <w:rPr>
          <w:rFonts w:hint="eastAsia"/>
          <w:color w:val="000000" w:themeColor="text1"/>
        </w:rPr>
        <w:t>表1.4.1</w:t>
      </w:r>
      <w:r>
        <w:rPr>
          <w:color w:val="000000" w:themeColor="text1"/>
        </w:rPr>
        <w:t xml:space="preserve">-2 </w:t>
      </w:r>
      <w:r>
        <w:rPr>
          <w:rFonts w:hint="eastAsia"/>
          <w:color w:val="000000" w:themeColor="text1"/>
        </w:rPr>
        <w:t>《地表水环境质量标准》（</w:t>
      </w:r>
      <w:r>
        <w:rPr>
          <w:color w:val="000000" w:themeColor="text1"/>
        </w:rPr>
        <w:t>GB3838-2002</w:t>
      </w:r>
      <w:r>
        <w:rPr>
          <w:rFonts w:hint="eastAsia"/>
          <w:color w:val="000000" w:themeColor="text1"/>
        </w:rPr>
        <w:t>）</w:t>
      </w:r>
      <w:r>
        <w:rPr>
          <w:color w:val="000000" w:themeColor="text1"/>
        </w:rPr>
        <w:t>Ⅲ</w:t>
      </w:r>
      <w:r>
        <w:rPr>
          <w:rFonts w:hint="eastAsia"/>
          <w:color w:val="000000" w:themeColor="text1"/>
        </w:rPr>
        <w:t>类标准</w:t>
      </w:r>
      <w:r>
        <w:rPr>
          <w:color w:val="000000" w:themeColor="text1"/>
        </w:rPr>
        <w:t xml:space="preserve"> </w:t>
      </w:r>
      <w:r>
        <w:rPr>
          <w:rFonts w:hint="eastAsia"/>
          <w:color w:val="000000" w:themeColor="text1"/>
        </w:rPr>
        <w:t>单位：</w:t>
      </w:r>
      <w:r>
        <w:rPr>
          <w:color w:val="000000" w:themeColor="text1"/>
        </w:rPr>
        <w:t>mg/L</w:t>
      </w:r>
    </w:p>
    <w:tbl>
      <w:tblPr>
        <w:tblStyle w:val="42"/>
        <w:tblW w:w="793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110"/>
        <w:gridCol w:w="1891"/>
        <w:gridCol w:w="2221"/>
        <w:gridCol w:w="171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110" w:type="dxa"/>
            <w:tcBorders>
              <w:top w:val="single" w:color="auto" w:sz="2" w:space="0"/>
              <w:left w:val="single" w:color="auto" w:sz="2" w:space="0"/>
              <w:bottom w:val="single" w:color="auto" w:sz="2" w:space="0"/>
              <w:right w:val="single" w:color="auto" w:sz="2" w:space="0"/>
            </w:tcBorders>
            <w:vAlign w:val="center"/>
          </w:tcPr>
          <w:p>
            <w:pPr>
              <w:pStyle w:val="55"/>
              <w:rPr>
                <w:color w:val="000000" w:themeColor="text1"/>
                <w:kern w:val="0"/>
              </w:rPr>
            </w:pPr>
            <w:r>
              <w:rPr>
                <w:rFonts w:hint="eastAsia"/>
                <w:color w:val="000000" w:themeColor="text1"/>
                <w:kern w:val="0"/>
              </w:rPr>
              <w:t>指标名称</w:t>
            </w:r>
          </w:p>
        </w:tc>
        <w:tc>
          <w:tcPr>
            <w:tcW w:w="1891" w:type="dxa"/>
            <w:tcBorders>
              <w:top w:val="single" w:color="auto" w:sz="2" w:space="0"/>
              <w:left w:val="single" w:color="auto" w:sz="2" w:space="0"/>
              <w:bottom w:val="single" w:color="auto" w:sz="2" w:space="0"/>
              <w:right w:val="single" w:color="auto" w:sz="2" w:space="0"/>
            </w:tcBorders>
            <w:vAlign w:val="center"/>
          </w:tcPr>
          <w:p>
            <w:pPr>
              <w:pStyle w:val="55"/>
              <w:rPr>
                <w:color w:val="000000" w:themeColor="text1"/>
                <w:kern w:val="0"/>
              </w:rPr>
            </w:pPr>
            <w:r>
              <w:rPr>
                <w:rFonts w:hint="eastAsia"/>
                <w:color w:val="000000" w:themeColor="text1"/>
                <w:kern w:val="0"/>
              </w:rPr>
              <w:t>标准值</w:t>
            </w:r>
          </w:p>
        </w:tc>
        <w:tc>
          <w:tcPr>
            <w:tcW w:w="2221" w:type="dxa"/>
            <w:tcBorders>
              <w:top w:val="single" w:color="auto" w:sz="2" w:space="0"/>
              <w:left w:val="single" w:color="auto" w:sz="2" w:space="0"/>
              <w:bottom w:val="single" w:color="auto" w:sz="2" w:space="0"/>
              <w:right w:val="single" w:color="auto" w:sz="2" w:space="0"/>
            </w:tcBorders>
            <w:vAlign w:val="center"/>
          </w:tcPr>
          <w:p>
            <w:pPr>
              <w:pStyle w:val="55"/>
              <w:rPr>
                <w:color w:val="000000" w:themeColor="text1"/>
                <w:kern w:val="0"/>
              </w:rPr>
            </w:pPr>
            <w:r>
              <w:rPr>
                <w:rFonts w:hint="eastAsia"/>
                <w:color w:val="000000" w:themeColor="text1"/>
                <w:kern w:val="0"/>
              </w:rPr>
              <w:t>指标名称</w:t>
            </w:r>
          </w:p>
        </w:tc>
        <w:tc>
          <w:tcPr>
            <w:tcW w:w="1716" w:type="dxa"/>
            <w:tcBorders>
              <w:top w:val="single" w:color="auto" w:sz="2" w:space="0"/>
              <w:left w:val="single" w:color="auto" w:sz="2" w:space="0"/>
              <w:bottom w:val="single" w:color="auto" w:sz="2" w:space="0"/>
              <w:right w:val="single" w:color="auto" w:sz="2" w:space="0"/>
            </w:tcBorders>
            <w:vAlign w:val="center"/>
          </w:tcPr>
          <w:p>
            <w:pPr>
              <w:pStyle w:val="55"/>
              <w:rPr>
                <w:color w:val="000000" w:themeColor="text1"/>
                <w:kern w:val="0"/>
              </w:rPr>
            </w:pPr>
            <w:r>
              <w:rPr>
                <w:rFonts w:hint="eastAsia"/>
                <w:color w:val="000000" w:themeColor="text1"/>
                <w:kern w:val="0"/>
              </w:rPr>
              <w:t>标准值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110" w:type="dxa"/>
            <w:tcBorders>
              <w:top w:val="single" w:color="auto" w:sz="2" w:space="0"/>
              <w:left w:val="single" w:color="auto" w:sz="2" w:space="0"/>
              <w:bottom w:val="single" w:color="auto" w:sz="2" w:space="0"/>
              <w:right w:val="single" w:color="auto" w:sz="2" w:space="0"/>
            </w:tcBorders>
            <w:vAlign w:val="center"/>
          </w:tcPr>
          <w:p>
            <w:pPr>
              <w:pStyle w:val="55"/>
              <w:rPr>
                <w:color w:val="000000" w:themeColor="text1"/>
                <w:kern w:val="0"/>
              </w:rPr>
            </w:pPr>
            <w:r>
              <w:rPr>
                <w:color w:val="000000" w:themeColor="text1"/>
                <w:kern w:val="0"/>
              </w:rPr>
              <w:t>pH</w:t>
            </w:r>
          </w:p>
        </w:tc>
        <w:tc>
          <w:tcPr>
            <w:tcW w:w="1891" w:type="dxa"/>
            <w:tcBorders>
              <w:top w:val="single" w:color="auto" w:sz="2" w:space="0"/>
              <w:left w:val="single" w:color="auto" w:sz="2" w:space="0"/>
              <w:bottom w:val="single" w:color="auto" w:sz="2" w:space="0"/>
              <w:right w:val="single" w:color="auto" w:sz="2" w:space="0"/>
            </w:tcBorders>
            <w:vAlign w:val="center"/>
          </w:tcPr>
          <w:p>
            <w:pPr>
              <w:pStyle w:val="55"/>
              <w:rPr>
                <w:color w:val="000000" w:themeColor="text1"/>
                <w:kern w:val="0"/>
              </w:rPr>
            </w:pPr>
            <w:r>
              <w:rPr>
                <w:color w:val="000000" w:themeColor="text1"/>
                <w:kern w:val="0"/>
              </w:rPr>
              <w:t>6-9</w:t>
            </w:r>
          </w:p>
        </w:tc>
        <w:tc>
          <w:tcPr>
            <w:tcW w:w="2221" w:type="dxa"/>
            <w:tcBorders>
              <w:top w:val="single" w:color="auto" w:sz="2" w:space="0"/>
              <w:left w:val="single" w:color="auto" w:sz="2" w:space="0"/>
              <w:bottom w:val="single" w:color="auto" w:sz="2" w:space="0"/>
              <w:right w:val="single" w:color="auto" w:sz="2" w:space="0"/>
            </w:tcBorders>
            <w:vAlign w:val="center"/>
          </w:tcPr>
          <w:p>
            <w:pPr>
              <w:pStyle w:val="55"/>
              <w:rPr>
                <w:color w:val="000000" w:themeColor="text1"/>
                <w:kern w:val="0"/>
              </w:rPr>
            </w:pPr>
            <w:r>
              <w:rPr>
                <w:color w:val="000000" w:themeColor="text1"/>
                <w:kern w:val="0"/>
              </w:rPr>
              <w:t>COD</w:t>
            </w:r>
          </w:p>
        </w:tc>
        <w:tc>
          <w:tcPr>
            <w:tcW w:w="1716" w:type="dxa"/>
            <w:tcBorders>
              <w:top w:val="single" w:color="auto" w:sz="2" w:space="0"/>
              <w:left w:val="single" w:color="auto" w:sz="2" w:space="0"/>
              <w:bottom w:val="single" w:color="auto" w:sz="2" w:space="0"/>
              <w:right w:val="single" w:color="auto" w:sz="2" w:space="0"/>
            </w:tcBorders>
            <w:vAlign w:val="center"/>
          </w:tcPr>
          <w:p>
            <w:pPr>
              <w:pStyle w:val="55"/>
              <w:rPr>
                <w:color w:val="000000" w:themeColor="text1"/>
                <w:kern w:val="0"/>
              </w:rPr>
            </w:pPr>
            <w:r>
              <w:rPr>
                <w:color w:val="000000" w:themeColor="text1"/>
                <w:kern w:val="0"/>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110" w:type="dxa"/>
            <w:tcBorders>
              <w:top w:val="single" w:color="auto" w:sz="2" w:space="0"/>
              <w:left w:val="single" w:color="auto" w:sz="2" w:space="0"/>
              <w:bottom w:val="single" w:color="auto" w:sz="2" w:space="0"/>
              <w:right w:val="single" w:color="auto" w:sz="2" w:space="0"/>
            </w:tcBorders>
            <w:vAlign w:val="center"/>
          </w:tcPr>
          <w:p>
            <w:pPr>
              <w:pStyle w:val="55"/>
              <w:rPr>
                <w:color w:val="000000" w:themeColor="text1"/>
                <w:kern w:val="0"/>
              </w:rPr>
            </w:pPr>
            <w:r>
              <w:rPr>
                <w:color w:val="000000" w:themeColor="text1"/>
                <w:kern w:val="0"/>
              </w:rPr>
              <w:t>NH</w:t>
            </w:r>
            <w:r>
              <w:rPr>
                <w:color w:val="000000" w:themeColor="text1"/>
                <w:kern w:val="0"/>
                <w:vertAlign w:val="subscript"/>
              </w:rPr>
              <w:t>3</w:t>
            </w:r>
            <w:r>
              <w:rPr>
                <w:color w:val="000000" w:themeColor="text1"/>
                <w:kern w:val="0"/>
              </w:rPr>
              <w:t>-N</w:t>
            </w:r>
          </w:p>
        </w:tc>
        <w:tc>
          <w:tcPr>
            <w:tcW w:w="1891" w:type="dxa"/>
            <w:tcBorders>
              <w:top w:val="single" w:color="auto" w:sz="2" w:space="0"/>
              <w:left w:val="single" w:color="auto" w:sz="2" w:space="0"/>
              <w:bottom w:val="single" w:color="auto" w:sz="2" w:space="0"/>
              <w:right w:val="single" w:color="auto" w:sz="2" w:space="0"/>
            </w:tcBorders>
            <w:vAlign w:val="center"/>
          </w:tcPr>
          <w:p>
            <w:pPr>
              <w:pStyle w:val="55"/>
              <w:rPr>
                <w:color w:val="000000" w:themeColor="text1"/>
                <w:kern w:val="0"/>
              </w:rPr>
            </w:pPr>
            <w:r>
              <w:rPr>
                <w:color w:val="000000" w:themeColor="text1"/>
                <w:kern w:val="0"/>
              </w:rPr>
              <w:t>≤1.0</w:t>
            </w:r>
          </w:p>
        </w:tc>
        <w:tc>
          <w:tcPr>
            <w:tcW w:w="2221" w:type="dxa"/>
            <w:tcBorders>
              <w:top w:val="single" w:color="auto" w:sz="2" w:space="0"/>
              <w:left w:val="single" w:color="auto" w:sz="2" w:space="0"/>
              <w:bottom w:val="single" w:color="auto" w:sz="2" w:space="0"/>
              <w:right w:val="single" w:color="auto" w:sz="2" w:space="0"/>
            </w:tcBorders>
            <w:vAlign w:val="center"/>
          </w:tcPr>
          <w:p>
            <w:pPr>
              <w:pStyle w:val="55"/>
              <w:rPr>
                <w:color w:val="000000" w:themeColor="text1"/>
                <w:kern w:val="0"/>
              </w:rPr>
            </w:pPr>
            <w:r>
              <w:rPr>
                <w:color w:val="000000" w:themeColor="text1"/>
                <w:kern w:val="0"/>
              </w:rPr>
              <w:t>BOD</w:t>
            </w:r>
            <w:r>
              <w:rPr>
                <w:color w:val="000000" w:themeColor="text1"/>
                <w:kern w:val="0"/>
                <w:vertAlign w:val="subscript"/>
              </w:rPr>
              <w:t>5</w:t>
            </w:r>
          </w:p>
        </w:tc>
        <w:tc>
          <w:tcPr>
            <w:tcW w:w="1716" w:type="dxa"/>
            <w:tcBorders>
              <w:top w:val="single" w:color="auto" w:sz="2" w:space="0"/>
              <w:left w:val="single" w:color="auto" w:sz="2" w:space="0"/>
              <w:bottom w:val="single" w:color="auto" w:sz="2" w:space="0"/>
              <w:right w:val="single" w:color="auto" w:sz="2" w:space="0"/>
            </w:tcBorders>
            <w:vAlign w:val="center"/>
          </w:tcPr>
          <w:p>
            <w:pPr>
              <w:pStyle w:val="55"/>
              <w:rPr>
                <w:color w:val="000000" w:themeColor="text1"/>
                <w:kern w:val="0"/>
              </w:rPr>
            </w:pPr>
            <w:r>
              <w:rPr>
                <w:color w:val="000000" w:themeColor="text1"/>
                <w:kern w:val="0"/>
              </w:rPr>
              <w:t>≤4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110" w:type="dxa"/>
            <w:tcBorders>
              <w:top w:val="single" w:color="auto" w:sz="2" w:space="0"/>
              <w:left w:val="single" w:color="auto" w:sz="2" w:space="0"/>
              <w:bottom w:val="single" w:color="auto" w:sz="2" w:space="0"/>
              <w:right w:val="single" w:color="auto" w:sz="2" w:space="0"/>
            </w:tcBorders>
            <w:vAlign w:val="center"/>
          </w:tcPr>
          <w:p>
            <w:pPr>
              <w:pStyle w:val="55"/>
              <w:rPr>
                <w:color w:val="000000" w:themeColor="text1"/>
                <w:kern w:val="0"/>
              </w:rPr>
            </w:pPr>
            <w:r>
              <w:rPr>
                <w:rFonts w:hint="eastAsia"/>
                <w:color w:val="000000" w:themeColor="text1"/>
                <w:kern w:val="0"/>
              </w:rPr>
              <w:t>总磷</w:t>
            </w:r>
          </w:p>
        </w:tc>
        <w:tc>
          <w:tcPr>
            <w:tcW w:w="1891" w:type="dxa"/>
            <w:tcBorders>
              <w:top w:val="single" w:color="auto" w:sz="2" w:space="0"/>
              <w:left w:val="single" w:color="auto" w:sz="2" w:space="0"/>
              <w:bottom w:val="single" w:color="auto" w:sz="2" w:space="0"/>
              <w:right w:val="single" w:color="auto" w:sz="2" w:space="0"/>
            </w:tcBorders>
            <w:vAlign w:val="center"/>
          </w:tcPr>
          <w:p>
            <w:pPr>
              <w:pStyle w:val="55"/>
              <w:rPr>
                <w:color w:val="000000" w:themeColor="text1"/>
                <w:kern w:val="0"/>
              </w:rPr>
            </w:pPr>
            <w:r>
              <w:rPr>
                <w:color w:val="000000" w:themeColor="text1"/>
                <w:kern w:val="0"/>
              </w:rPr>
              <w:t>≤0.2</w:t>
            </w:r>
            <w:r>
              <w:rPr>
                <w:rFonts w:hint="eastAsia"/>
                <w:color w:val="000000" w:themeColor="text1"/>
                <w:kern w:val="0"/>
              </w:rPr>
              <w:t>（湖库</w:t>
            </w:r>
            <w:r>
              <w:rPr>
                <w:color w:val="000000" w:themeColor="text1"/>
                <w:kern w:val="0"/>
              </w:rPr>
              <w:t>≤</w:t>
            </w:r>
            <w:r>
              <w:rPr>
                <w:rFonts w:hint="eastAsia"/>
                <w:color w:val="000000" w:themeColor="text1"/>
                <w:kern w:val="0"/>
              </w:rPr>
              <w:t>0.05）</w:t>
            </w:r>
          </w:p>
        </w:tc>
        <w:tc>
          <w:tcPr>
            <w:tcW w:w="2221" w:type="dxa"/>
            <w:tcBorders>
              <w:top w:val="single" w:color="auto" w:sz="2" w:space="0"/>
              <w:left w:val="single" w:color="auto" w:sz="2" w:space="0"/>
              <w:bottom w:val="single" w:color="auto" w:sz="2" w:space="0"/>
              <w:right w:val="single" w:color="auto" w:sz="2" w:space="0"/>
            </w:tcBorders>
            <w:vAlign w:val="center"/>
          </w:tcPr>
          <w:p>
            <w:pPr>
              <w:pStyle w:val="55"/>
              <w:rPr>
                <w:color w:val="000000" w:themeColor="text1"/>
                <w:kern w:val="0"/>
              </w:rPr>
            </w:pPr>
            <w:r>
              <w:rPr>
                <w:rFonts w:hint="eastAsia"/>
                <w:color w:val="000000" w:themeColor="text1"/>
                <w:kern w:val="0"/>
              </w:rPr>
              <w:t>总氮</w:t>
            </w:r>
          </w:p>
        </w:tc>
        <w:tc>
          <w:tcPr>
            <w:tcW w:w="1716" w:type="dxa"/>
            <w:tcBorders>
              <w:top w:val="single" w:color="auto" w:sz="2" w:space="0"/>
              <w:left w:val="single" w:color="auto" w:sz="2" w:space="0"/>
              <w:bottom w:val="single" w:color="auto" w:sz="2" w:space="0"/>
              <w:right w:val="single" w:color="auto" w:sz="2" w:space="0"/>
            </w:tcBorders>
            <w:vAlign w:val="center"/>
          </w:tcPr>
          <w:p>
            <w:pPr>
              <w:pStyle w:val="55"/>
              <w:rPr>
                <w:color w:val="000000" w:themeColor="text1"/>
                <w:kern w:val="0"/>
              </w:rPr>
            </w:pPr>
            <w:r>
              <w:rPr>
                <w:color w:val="000000" w:themeColor="text1"/>
                <w:kern w:val="0"/>
              </w:rPr>
              <w:t>≤1.0</w:t>
            </w:r>
          </w:p>
        </w:tc>
      </w:tr>
    </w:tbl>
    <w:p>
      <w:pPr>
        <w:ind w:firstLine="480"/>
        <w:rPr>
          <w:color w:val="000000" w:themeColor="text1"/>
        </w:rPr>
      </w:pPr>
      <w:r>
        <w:rPr>
          <w:rFonts w:hint="eastAsia"/>
          <w:color w:val="000000" w:themeColor="text1"/>
        </w:rPr>
        <w:t>3、地下水环境质量标准</w:t>
      </w:r>
    </w:p>
    <w:p>
      <w:pPr>
        <w:ind w:firstLine="480"/>
        <w:rPr>
          <w:color w:val="000000" w:themeColor="text1"/>
        </w:rPr>
      </w:pPr>
      <w:r>
        <w:rPr>
          <w:rFonts w:hint="eastAsia"/>
          <w:color w:val="000000" w:themeColor="text1"/>
        </w:rPr>
        <w:t>地下水执行《地下水质量标准》（</w:t>
      </w:r>
      <w:r>
        <w:rPr>
          <w:color w:val="000000" w:themeColor="text1"/>
        </w:rPr>
        <w:t>GB/T14848-2017</w:t>
      </w:r>
      <w:r>
        <w:rPr>
          <w:rFonts w:hint="eastAsia"/>
          <w:color w:val="000000" w:themeColor="text1"/>
        </w:rPr>
        <w:t>）</w:t>
      </w:r>
      <w:r>
        <w:rPr>
          <w:color w:val="000000" w:themeColor="text1"/>
        </w:rPr>
        <w:t>Ⅲ</w:t>
      </w:r>
      <w:r>
        <w:rPr>
          <w:rFonts w:hint="eastAsia"/>
          <w:color w:val="000000" w:themeColor="text1"/>
        </w:rPr>
        <w:t>类标准，标准值见表1.4.1</w:t>
      </w:r>
      <w:r>
        <w:rPr>
          <w:color w:val="000000" w:themeColor="text1"/>
        </w:rPr>
        <w:t>-3</w:t>
      </w:r>
      <w:r>
        <w:rPr>
          <w:rFonts w:hint="eastAsia"/>
          <w:color w:val="000000" w:themeColor="text1"/>
        </w:rPr>
        <w:t>。</w:t>
      </w:r>
    </w:p>
    <w:p>
      <w:pPr>
        <w:pStyle w:val="54"/>
        <w:rPr>
          <w:color w:val="000000" w:themeColor="text1"/>
          <w:sz w:val="24"/>
        </w:rPr>
      </w:pPr>
      <w:r>
        <w:rPr>
          <w:rFonts w:hint="eastAsia"/>
          <w:color w:val="000000" w:themeColor="text1"/>
        </w:rPr>
        <w:t>表1.4.1</w:t>
      </w:r>
      <w:r>
        <w:rPr>
          <w:color w:val="000000" w:themeColor="text1"/>
        </w:rPr>
        <w:t xml:space="preserve">-3 </w:t>
      </w:r>
      <w:r>
        <w:rPr>
          <w:rFonts w:hint="eastAsia"/>
          <w:color w:val="000000" w:themeColor="text1"/>
        </w:rPr>
        <w:t>《地下水质量标准》（</w:t>
      </w:r>
      <w:r>
        <w:rPr>
          <w:color w:val="000000" w:themeColor="text1"/>
        </w:rPr>
        <w:t>GB/T14848-2017</w:t>
      </w:r>
      <w:r>
        <w:rPr>
          <w:rFonts w:hint="eastAsia"/>
          <w:color w:val="000000" w:themeColor="text1"/>
        </w:rPr>
        <w:t>）单位：</w:t>
      </w:r>
      <w:r>
        <w:rPr>
          <w:color w:val="000000" w:themeColor="text1"/>
        </w:rPr>
        <w:t>mg/L</w:t>
      </w:r>
      <w:r>
        <w:rPr>
          <w:rFonts w:hint="eastAsia"/>
          <w:color w:val="000000" w:themeColor="text1"/>
        </w:rPr>
        <w:t>（</w:t>
      </w:r>
      <w:r>
        <w:rPr>
          <w:color w:val="000000" w:themeColor="text1"/>
        </w:rPr>
        <w:t>pH</w:t>
      </w:r>
      <w:r>
        <w:rPr>
          <w:rFonts w:hint="eastAsia"/>
          <w:color w:val="000000" w:themeColor="text1"/>
        </w:rPr>
        <w:t>无量纲）</w:t>
      </w:r>
    </w:p>
    <w:tbl>
      <w:tblPr>
        <w:tblStyle w:val="42"/>
        <w:tblW w:w="8352" w:type="dxa"/>
        <w:jc w:val="center"/>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Layout w:type="fixed"/>
        <w:tblCellMar>
          <w:top w:w="0" w:type="dxa"/>
          <w:left w:w="108" w:type="dxa"/>
          <w:bottom w:w="0" w:type="dxa"/>
          <w:right w:w="108" w:type="dxa"/>
        </w:tblCellMar>
      </w:tblPr>
      <w:tblGrid>
        <w:gridCol w:w="1138"/>
        <w:gridCol w:w="1823"/>
        <w:gridCol w:w="1147"/>
        <w:gridCol w:w="1553"/>
        <w:gridCol w:w="1105"/>
        <w:gridCol w:w="347"/>
        <w:gridCol w:w="1239"/>
      </w:tblGrid>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20" w:hRule="atLeast"/>
          <w:jc w:val="center"/>
        </w:trPr>
        <w:tc>
          <w:tcPr>
            <w:tcW w:w="1138" w:type="dxa"/>
            <w:tcBorders>
              <w:top w:val="single" w:color="auto" w:sz="8" w:space="0"/>
              <w:left w:val="single" w:color="auto" w:sz="4" w:space="0"/>
              <w:bottom w:val="single" w:color="auto" w:sz="8" w:space="0"/>
              <w:right w:val="single" w:color="auto" w:sz="4" w:space="0"/>
            </w:tcBorders>
            <w:vAlign w:val="center"/>
          </w:tcPr>
          <w:p>
            <w:pPr>
              <w:pStyle w:val="55"/>
              <w:rPr>
                <w:bCs/>
                <w:snapToGrid w:val="0"/>
                <w:color w:val="000000" w:themeColor="text1"/>
                <w:kern w:val="28"/>
                <w:lang w:val="sq-AL"/>
              </w:rPr>
            </w:pPr>
            <w:r>
              <w:rPr>
                <w:rFonts w:hint="eastAsia"/>
                <w:bCs/>
                <w:snapToGrid w:val="0"/>
                <w:color w:val="000000" w:themeColor="text1"/>
                <w:kern w:val="28"/>
                <w:lang w:val="sq-AL"/>
              </w:rPr>
              <w:t>项目</w:t>
            </w:r>
          </w:p>
        </w:tc>
        <w:tc>
          <w:tcPr>
            <w:tcW w:w="1823" w:type="dxa"/>
            <w:tcBorders>
              <w:top w:val="single" w:color="auto" w:sz="8" w:space="0"/>
              <w:left w:val="single" w:color="auto" w:sz="4" w:space="0"/>
              <w:bottom w:val="single" w:color="auto" w:sz="8" w:space="0"/>
              <w:right w:val="single" w:color="auto" w:sz="4" w:space="0"/>
            </w:tcBorders>
            <w:vAlign w:val="center"/>
          </w:tcPr>
          <w:p>
            <w:pPr>
              <w:pStyle w:val="55"/>
              <w:rPr>
                <w:bCs/>
                <w:snapToGrid w:val="0"/>
                <w:color w:val="000000" w:themeColor="text1"/>
                <w:kern w:val="28"/>
                <w:lang w:val="sq-AL"/>
              </w:rPr>
            </w:pPr>
            <w:r>
              <w:rPr>
                <w:bCs/>
                <w:snapToGrid w:val="0"/>
                <w:color w:val="000000" w:themeColor="text1"/>
                <w:kern w:val="28"/>
                <w:lang w:val="sq-AL"/>
              </w:rPr>
              <w:t>pH</w:t>
            </w:r>
          </w:p>
        </w:tc>
        <w:tc>
          <w:tcPr>
            <w:tcW w:w="1147" w:type="dxa"/>
            <w:tcBorders>
              <w:top w:val="single" w:color="auto" w:sz="8" w:space="0"/>
              <w:left w:val="single" w:color="auto" w:sz="4" w:space="0"/>
              <w:bottom w:val="single" w:color="auto" w:sz="8" w:space="0"/>
              <w:right w:val="single" w:color="auto" w:sz="4" w:space="0"/>
            </w:tcBorders>
            <w:vAlign w:val="center"/>
          </w:tcPr>
          <w:p>
            <w:pPr>
              <w:pStyle w:val="55"/>
              <w:rPr>
                <w:bCs/>
                <w:snapToGrid w:val="0"/>
                <w:color w:val="000000" w:themeColor="text1"/>
                <w:kern w:val="28"/>
                <w:lang w:val="sq-AL"/>
              </w:rPr>
            </w:pPr>
            <w:r>
              <w:rPr>
                <w:rFonts w:hint="eastAsia"/>
                <w:bCs/>
                <w:snapToGrid w:val="0"/>
                <w:color w:val="000000" w:themeColor="text1"/>
                <w:kern w:val="28"/>
                <w:lang w:val="sq-AL"/>
              </w:rPr>
              <w:t>氨氮</w:t>
            </w:r>
          </w:p>
        </w:tc>
        <w:tc>
          <w:tcPr>
            <w:tcW w:w="1553" w:type="dxa"/>
            <w:tcBorders>
              <w:top w:val="single" w:color="auto" w:sz="8" w:space="0"/>
              <w:left w:val="single" w:color="auto" w:sz="4" w:space="0"/>
              <w:bottom w:val="single" w:color="auto" w:sz="8" w:space="0"/>
              <w:right w:val="single" w:color="auto" w:sz="4" w:space="0"/>
            </w:tcBorders>
            <w:vAlign w:val="center"/>
          </w:tcPr>
          <w:p>
            <w:pPr>
              <w:pStyle w:val="55"/>
              <w:rPr>
                <w:bCs/>
                <w:snapToGrid w:val="0"/>
                <w:color w:val="000000" w:themeColor="text1"/>
                <w:kern w:val="28"/>
                <w:lang w:val="sq-AL"/>
              </w:rPr>
            </w:pPr>
            <w:r>
              <w:rPr>
                <w:rFonts w:hint="eastAsia"/>
                <w:bCs/>
                <w:snapToGrid w:val="0"/>
                <w:color w:val="000000" w:themeColor="text1"/>
                <w:kern w:val="28"/>
                <w:lang w:val="sq-AL"/>
              </w:rPr>
              <w:t>硝酸盐</w:t>
            </w:r>
          </w:p>
        </w:tc>
        <w:tc>
          <w:tcPr>
            <w:tcW w:w="1105" w:type="dxa"/>
            <w:tcBorders>
              <w:top w:val="single" w:color="auto" w:sz="8" w:space="0"/>
              <w:left w:val="single" w:color="auto" w:sz="4" w:space="0"/>
              <w:bottom w:val="single" w:color="auto" w:sz="8" w:space="0"/>
              <w:right w:val="single" w:color="auto" w:sz="4" w:space="0"/>
            </w:tcBorders>
            <w:vAlign w:val="center"/>
          </w:tcPr>
          <w:p>
            <w:pPr>
              <w:pStyle w:val="55"/>
              <w:rPr>
                <w:bCs/>
                <w:snapToGrid w:val="0"/>
                <w:color w:val="000000" w:themeColor="text1"/>
                <w:kern w:val="28"/>
                <w:lang w:val="sq-AL"/>
              </w:rPr>
            </w:pPr>
            <w:r>
              <w:rPr>
                <w:rFonts w:hint="eastAsia"/>
                <w:bCs/>
                <w:snapToGrid w:val="0"/>
                <w:color w:val="000000" w:themeColor="text1"/>
                <w:kern w:val="28"/>
                <w:lang w:val="sq-AL"/>
              </w:rPr>
              <w:t>挥发酚</w:t>
            </w:r>
          </w:p>
        </w:tc>
        <w:tc>
          <w:tcPr>
            <w:tcW w:w="1586" w:type="dxa"/>
            <w:gridSpan w:val="2"/>
            <w:tcBorders>
              <w:top w:val="single" w:color="auto" w:sz="8" w:space="0"/>
              <w:left w:val="single" w:color="auto" w:sz="4" w:space="0"/>
              <w:bottom w:val="single" w:color="auto" w:sz="8" w:space="0"/>
              <w:right w:val="single" w:color="auto" w:sz="4" w:space="0"/>
            </w:tcBorders>
            <w:vAlign w:val="center"/>
          </w:tcPr>
          <w:p>
            <w:pPr>
              <w:pStyle w:val="55"/>
              <w:rPr>
                <w:bCs/>
                <w:snapToGrid w:val="0"/>
                <w:color w:val="000000" w:themeColor="text1"/>
                <w:kern w:val="28"/>
                <w:lang w:val="sq-AL"/>
              </w:rPr>
            </w:pPr>
            <w:r>
              <w:rPr>
                <w:rFonts w:hint="eastAsia"/>
                <w:bCs/>
                <w:snapToGrid w:val="0"/>
                <w:color w:val="000000" w:themeColor="text1"/>
                <w:kern w:val="28"/>
                <w:lang w:val="sq-AL"/>
              </w:rPr>
              <w:t>总硬度</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20" w:hRule="atLeast"/>
          <w:jc w:val="center"/>
        </w:trPr>
        <w:tc>
          <w:tcPr>
            <w:tcW w:w="1138" w:type="dxa"/>
            <w:tcBorders>
              <w:top w:val="single" w:color="auto" w:sz="8" w:space="0"/>
              <w:left w:val="single" w:color="auto" w:sz="4" w:space="0"/>
              <w:bottom w:val="single" w:color="auto" w:sz="8" w:space="0"/>
              <w:right w:val="single" w:color="auto" w:sz="4" w:space="0"/>
            </w:tcBorders>
            <w:vAlign w:val="center"/>
          </w:tcPr>
          <w:p>
            <w:pPr>
              <w:pStyle w:val="55"/>
              <w:rPr>
                <w:bCs/>
                <w:snapToGrid w:val="0"/>
                <w:color w:val="000000" w:themeColor="text1"/>
                <w:kern w:val="28"/>
                <w:lang w:val="sq-AL"/>
              </w:rPr>
            </w:pPr>
            <w:r>
              <w:rPr>
                <w:rFonts w:hint="eastAsia"/>
                <w:bCs/>
                <w:snapToGrid w:val="0"/>
                <w:color w:val="000000" w:themeColor="text1"/>
                <w:kern w:val="28"/>
                <w:lang w:val="sq-AL"/>
              </w:rPr>
              <w:t>标准值</w:t>
            </w:r>
          </w:p>
        </w:tc>
        <w:tc>
          <w:tcPr>
            <w:tcW w:w="1823" w:type="dxa"/>
            <w:tcBorders>
              <w:top w:val="single" w:color="auto" w:sz="8" w:space="0"/>
              <w:left w:val="single" w:color="auto" w:sz="4" w:space="0"/>
              <w:bottom w:val="single" w:color="auto" w:sz="8" w:space="0"/>
              <w:right w:val="single" w:color="auto" w:sz="4" w:space="0"/>
            </w:tcBorders>
            <w:vAlign w:val="center"/>
          </w:tcPr>
          <w:p>
            <w:pPr>
              <w:pStyle w:val="55"/>
              <w:rPr>
                <w:bCs/>
                <w:snapToGrid w:val="0"/>
                <w:color w:val="000000" w:themeColor="text1"/>
                <w:kern w:val="28"/>
                <w:lang w:val="sq-AL"/>
              </w:rPr>
            </w:pPr>
            <w:r>
              <w:rPr>
                <w:bCs/>
                <w:snapToGrid w:val="0"/>
                <w:color w:val="000000" w:themeColor="text1"/>
                <w:kern w:val="28"/>
                <w:lang w:val="sq-AL"/>
              </w:rPr>
              <w:t>6.5</w:t>
            </w:r>
            <w:r>
              <w:rPr>
                <w:rFonts w:hint="eastAsia"/>
                <w:bCs/>
                <w:snapToGrid w:val="0"/>
                <w:color w:val="000000" w:themeColor="text1"/>
                <w:kern w:val="28"/>
                <w:lang w:val="sq-AL"/>
              </w:rPr>
              <w:t>～</w:t>
            </w:r>
            <w:r>
              <w:rPr>
                <w:bCs/>
                <w:snapToGrid w:val="0"/>
                <w:color w:val="000000" w:themeColor="text1"/>
                <w:kern w:val="28"/>
                <w:lang w:val="sq-AL"/>
              </w:rPr>
              <w:t>8.5</w:t>
            </w:r>
          </w:p>
        </w:tc>
        <w:tc>
          <w:tcPr>
            <w:tcW w:w="1147" w:type="dxa"/>
            <w:tcBorders>
              <w:top w:val="single" w:color="auto" w:sz="8" w:space="0"/>
              <w:left w:val="single" w:color="auto" w:sz="4" w:space="0"/>
              <w:bottom w:val="single" w:color="auto" w:sz="8" w:space="0"/>
              <w:right w:val="single" w:color="auto" w:sz="4" w:space="0"/>
            </w:tcBorders>
            <w:vAlign w:val="center"/>
          </w:tcPr>
          <w:p>
            <w:pPr>
              <w:pStyle w:val="55"/>
              <w:rPr>
                <w:bCs/>
                <w:snapToGrid w:val="0"/>
                <w:color w:val="000000" w:themeColor="text1"/>
                <w:kern w:val="28"/>
                <w:lang w:val="sq-AL"/>
              </w:rPr>
            </w:pPr>
            <w:r>
              <w:rPr>
                <w:bCs/>
                <w:snapToGrid w:val="0"/>
                <w:color w:val="000000" w:themeColor="text1"/>
                <w:kern w:val="28"/>
                <w:lang w:val="sq-AL"/>
              </w:rPr>
              <w:t>≤0.5</w:t>
            </w:r>
          </w:p>
        </w:tc>
        <w:tc>
          <w:tcPr>
            <w:tcW w:w="1553" w:type="dxa"/>
            <w:tcBorders>
              <w:top w:val="single" w:color="auto" w:sz="8" w:space="0"/>
              <w:left w:val="single" w:color="auto" w:sz="4" w:space="0"/>
              <w:bottom w:val="single" w:color="auto" w:sz="8" w:space="0"/>
              <w:right w:val="single" w:color="auto" w:sz="4" w:space="0"/>
            </w:tcBorders>
            <w:vAlign w:val="center"/>
          </w:tcPr>
          <w:p>
            <w:pPr>
              <w:pStyle w:val="55"/>
              <w:rPr>
                <w:bCs/>
                <w:snapToGrid w:val="0"/>
                <w:color w:val="000000" w:themeColor="text1"/>
                <w:kern w:val="28"/>
                <w:lang w:val="sq-AL"/>
              </w:rPr>
            </w:pPr>
            <w:r>
              <w:rPr>
                <w:bCs/>
                <w:snapToGrid w:val="0"/>
                <w:color w:val="000000" w:themeColor="text1"/>
                <w:kern w:val="28"/>
                <w:lang w:val="sq-AL"/>
              </w:rPr>
              <w:t>≤20</w:t>
            </w:r>
          </w:p>
        </w:tc>
        <w:tc>
          <w:tcPr>
            <w:tcW w:w="1105" w:type="dxa"/>
            <w:tcBorders>
              <w:top w:val="single" w:color="auto" w:sz="8" w:space="0"/>
              <w:left w:val="single" w:color="auto" w:sz="4" w:space="0"/>
              <w:bottom w:val="single" w:color="auto" w:sz="8" w:space="0"/>
              <w:right w:val="single" w:color="auto" w:sz="4" w:space="0"/>
            </w:tcBorders>
            <w:vAlign w:val="center"/>
          </w:tcPr>
          <w:p>
            <w:pPr>
              <w:pStyle w:val="55"/>
              <w:rPr>
                <w:bCs/>
                <w:snapToGrid w:val="0"/>
                <w:color w:val="000000" w:themeColor="text1"/>
                <w:kern w:val="28"/>
                <w:lang w:val="sq-AL"/>
              </w:rPr>
            </w:pPr>
            <w:r>
              <w:rPr>
                <w:bCs/>
                <w:snapToGrid w:val="0"/>
                <w:color w:val="000000" w:themeColor="text1"/>
                <w:kern w:val="28"/>
                <w:lang w:val="sq-AL"/>
              </w:rPr>
              <w:t>≤0.002</w:t>
            </w:r>
          </w:p>
        </w:tc>
        <w:tc>
          <w:tcPr>
            <w:tcW w:w="1586" w:type="dxa"/>
            <w:gridSpan w:val="2"/>
            <w:tcBorders>
              <w:top w:val="single" w:color="auto" w:sz="8" w:space="0"/>
              <w:left w:val="single" w:color="auto" w:sz="4" w:space="0"/>
              <w:bottom w:val="single" w:color="auto" w:sz="8" w:space="0"/>
              <w:right w:val="single" w:color="auto" w:sz="4" w:space="0"/>
            </w:tcBorders>
            <w:vAlign w:val="center"/>
          </w:tcPr>
          <w:p>
            <w:pPr>
              <w:pStyle w:val="55"/>
              <w:rPr>
                <w:bCs/>
                <w:snapToGrid w:val="0"/>
                <w:color w:val="000000" w:themeColor="text1"/>
                <w:kern w:val="28"/>
                <w:lang w:val="sq-AL"/>
              </w:rPr>
            </w:pPr>
            <w:r>
              <w:rPr>
                <w:bCs/>
                <w:snapToGrid w:val="0"/>
                <w:color w:val="000000" w:themeColor="text1"/>
                <w:kern w:val="28"/>
                <w:lang w:val="sq-AL"/>
              </w:rPr>
              <w:t>≤450</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20" w:hRule="atLeast"/>
          <w:jc w:val="center"/>
        </w:trPr>
        <w:tc>
          <w:tcPr>
            <w:tcW w:w="1138" w:type="dxa"/>
            <w:tcBorders>
              <w:top w:val="single" w:color="auto" w:sz="8" w:space="0"/>
              <w:left w:val="single" w:color="auto" w:sz="4" w:space="0"/>
              <w:bottom w:val="single" w:color="auto" w:sz="8" w:space="0"/>
              <w:right w:val="single" w:color="auto" w:sz="4" w:space="0"/>
            </w:tcBorders>
            <w:vAlign w:val="center"/>
          </w:tcPr>
          <w:p>
            <w:pPr>
              <w:pStyle w:val="55"/>
              <w:rPr>
                <w:bCs/>
                <w:snapToGrid w:val="0"/>
                <w:color w:val="000000" w:themeColor="text1"/>
                <w:kern w:val="28"/>
                <w:lang w:val="sq-AL"/>
              </w:rPr>
            </w:pPr>
            <w:r>
              <w:rPr>
                <w:rFonts w:hint="eastAsia"/>
                <w:bCs/>
                <w:snapToGrid w:val="0"/>
                <w:color w:val="000000" w:themeColor="text1"/>
                <w:kern w:val="28"/>
                <w:lang w:val="sq-AL"/>
              </w:rPr>
              <w:t>项目</w:t>
            </w:r>
          </w:p>
        </w:tc>
        <w:tc>
          <w:tcPr>
            <w:tcW w:w="1823" w:type="dxa"/>
            <w:tcBorders>
              <w:top w:val="single" w:color="auto" w:sz="8" w:space="0"/>
              <w:left w:val="single" w:color="auto" w:sz="4" w:space="0"/>
              <w:bottom w:val="single" w:color="auto" w:sz="8" w:space="0"/>
              <w:right w:val="single" w:color="auto" w:sz="4" w:space="0"/>
            </w:tcBorders>
            <w:vAlign w:val="center"/>
          </w:tcPr>
          <w:p>
            <w:pPr>
              <w:pStyle w:val="55"/>
              <w:rPr>
                <w:bCs/>
                <w:snapToGrid w:val="0"/>
                <w:color w:val="000000" w:themeColor="text1"/>
                <w:kern w:val="28"/>
                <w:lang w:val="sq-AL"/>
              </w:rPr>
            </w:pPr>
            <w:r>
              <w:rPr>
                <w:rFonts w:hint="eastAsia"/>
                <w:bCs/>
                <w:snapToGrid w:val="0"/>
                <w:color w:val="000000" w:themeColor="text1"/>
                <w:kern w:val="28"/>
                <w:lang w:val="sq-AL"/>
              </w:rPr>
              <w:t>嗅和味</w:t>
            </w:r>
          </w:p>
        </w:tc>
        <w:tc>
          <w:tcPr>
            <w:tcW w:w="1147" w:type="dxa"/>
            <w:tcBorders>
              <w:top w:val="single" w:color="auto" w:sz="8" w:space="0"/>
              <w:left w:val="single" w:color="auto" w:sz="4" w:space="0"/>
              <w:bottom w:val="single" w:color="auto" w:sz="8" w:space="0"/>
              <w:right w:val="single" w:color="auto" w:sz="4" w:space="0"/>
            </w:tcBorders>
            <w:vAlign w:val="center"/>
          </w:tcPr>
          <w:p>
            <w:pPr>
              <w:pStyle w:val="55"/>
              <w:rPr>
                <w:bCs/>
                <w:snapToGrid w:val="0"/>
                <w:color w:val="000000" w:themeColor="text1"/>
                <w:kern w:val="28"/>
                <w:lang w:val="sq-AL"/>
              </w:rPr>
            </w:pPr>
            <w:r>
              <w:rPr>
                <w:rFonts w:hint="eastAsia"/>
                <w:bCs/>
                <w:snapToGrid w:val="0"/>
                <w:color w:val="000000" w:themeColor="text1"/>
                <w:kern w:val="28"/>
                <w:lang w:val="sq-AL"/>
              </w:rPr>
              <w:t>硫酸盐</w:t>
            </w:r>
          </w:p>
        </w:tc>
        <w:tc>
          <w:tcPr>
            <w:tcW w:w="1553" w:type="dxa"/>
            <w:tcBorders>
              <w:top w:val="single" w:color="auto" w:sz="8" w:space="0"/>
              <w:left w:val="single" w:color="auto" w:sz="4" w:space="0"/>
              <w:bottom w:val="single" w:color="auto" w:sz="8" w:space="0"/>
              <w:right w:val="single" w:color="auto" w:sz="4" w:space="0"/>
            </w:tcBorders>
            <w:vAlign w:val="center"/>
          </w:tcPr>
          <w:p>
            <w:pPr>
              <w:pStyle w:val="55"/>
              <w:rPr>
                <w:bCs/>
                <w:snapToGrid w:val="0"/>
                <w:color w:val="000000" w:themeColor="text1"/>
                <w:kern w:val="28"/>
                <w:lang w:val="sq-AL"/>
              </w:rPr>
            </w:pPr>
            <w:r>
              <w:rPr>
                <w:rFonts w:hint="eastAsia"/>
                <w:bCs/>
                <w:snapToGrid w:val="0"/>
                <w:color w:val="000000" w:themeColor="text1"/>
                <w:kern w:val="28"/>
                <w:lang w:val="sq-AL"/>
              </w:rPr>
              <w:t>溶解性总固体</w:t>
            </w:r>
          </w:p>
        </w:tc>
        <w:tc>
          <w:tcPr>
            <w:tcW w:w="2691" w:type="dxa"/>
            <w:gridSpan w:val="3"/>
            <w:tcBorders>
              <w:top w:val="single" w:color="auto" w:sz="8" w:space="0"/>
              <w:left w:val="single" w:color="auto" w:sz="4" w:space="0"/>
              <w:bottom w:val="single" w:color="auto" w:sz="8" w:space="0"/>
              <w:right w:val="single" w:color="auto" w:sz="4" w:space="0"/>
            </w:tcBorders>
            <w:vAlign w:val="center"/>
          </w:tcPr>
          <w:p>
            <w:pPr>
              <w:pStyle w:val="55"/>
              <w:rPr>
                <w:bCs/>
                <w:snapToGrid w:val="0"/>
                <w:color w:val="000000" w:themeColor="text1"/>
                <w:kern w:val="28"/>
                <w:lang w:val="sq-AL"/>
              </w:rPr>
            </w:pPr>
            <w:r>
              <w:rPr>
                <w:rFonts w:hint="eastAsia"/>
                <w:bCs/>
                <w:snapToGrid w:val="0"/>
                <w:color w:val="000000" w:themeColor="text1"/>
                <w:kern w:val="28"/>
                <w:lang w:val="sq-AL"/>
              </w:rPr>
              <w:t>总大肠菌群（</w:t>
            </w:r>
            <w:r>
              <w:rPr>
                <w:bCs/>
                <w:snapToGrid w:val="0"/>
                <w:color w:val="000000" w:themeColor="text1"/>
                <w:kern w:val="28"/>
                <w:lang w:val="sq-AL"/>
              </w:rPr>
              <w:t>MPN/100mL</w:t>
            </w:r>
            <w:r>
              <w:rPr>
                <w:rFonts w:hint="eastAsia"/>
                <w:bCs/>
                <w:snapToGrid w:val="0"/>
                <w:color w:val="000000" w:themeColor="text1"/>
                <w:kern w:val="28"/>
                <w:lang w:val="sq-AL"/>
              </w:rPr>
              <w:t>或</w:t>
            </w:r>
            <w:r>
              <w:rPr>
                <w:bCs/>
                <w:snapToGrid w:val="0"/>
                <w:color w:val="000000" w:themeColor="text1"/>
                <w:kern w:val="28"/>
                <w:lang w:val="sq-AL"/>
              </w:rPr>
              <w:t>CFU/100mL</w:t>
            </w:r>
            <w:r>
              <w:rPr>
                <w:rFonts w:hint="eastAsia"/>
                <w:bCs/>
                <w:snapToGrid w:val="0"/>
                <w:color w:val="000000" w:themeColor="text1"/>
                <w:kern w:val="28"/>
                <w:lang w:val="sq-AL"/>
              </w:rPr>
              <w:t>）</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20" w:hRule="atLeast"/>
          <w:jc w:val="center"/>
        </w:trPr>
        <w:tc>
          <w:tcPr>
            <w:tcW w:w="1138" w:type="dxa"/>
            <w:tcBorders>
              <w:top w:val="single" w:color="auto" w:sz="8" w:space="0"/>
              <w:left w:val="single" w:color="auto" w:sz="4" w:space="0"/>
              <w:bottom w:val="single" w:color="auto" w:sz="8" w:space="0"/>
              <w:right w:val="single" w:color="auto" w:sz="4" w:space="0"/>
            </w:tcBorders>
            <w:vAlign w:val="center"/>
          </w:tcPr>
          <w:p>
            <w:pPr>
              <w:pStyle w:val="55"/>
              <w:rPr>
                <w:bCs/>
                <w:snapToGrid w:val="0"/>
                <w:color w:val="000000" w:themeColor="text1"/>
                <w:kern w:val="28"/>
                <w:lang w:val="sq-AL"/>
              </w:rPr>
            </w:pPr>
            <w:r>
              <w:rPr>
                <w:rFonts w:hint="eastAsia"/>
                <w:bCs/>
                <w:snapToGrid w:val="0"/>
                <w:color w:val="000000" w:themeColor="text1"/>
                <w:kern w:val="28"/>
                <w:lang w:val="sq-AL"/>
              </w:rPr>
              <w:t>标准值</w:t>
            </w:r>
          </w:p>
        </w:tc>
        <w:tc>
          <w:tcPr>
            <w:tcW w:w="1823" w:type="dxa"/>
            <w:tcBorders>
              <w:top w:val="single" w:color="auto" w:sz="8" w:space="0"/>
              <w:left w:val="single" w:color="auto" w:sz="4" w:space="0"/>
              <w:bottom w:val="single" w:color="auto" w:sz="8" w:space="0"/>
              <w:right w:val="single" w:color="auto" w:sz="4" w:space="0"/>
            </w:tcBorders>
            <w:vAlign w:val="center"/>
          </w:tcPr>
          <w:p>
            <w:pPr>
              <w:pStyle w:val="55"/>
              <w:rPr>
                <w:bCs/>
                <w:snapToGrid w:val="0"/>
                <w:color w:val="000000" w:themeColor="text1"/>
                <w:kern w:val="28"/>
                <w:lang w:val="sq-AL"/>
              </w:rPr>
            </w:pPr>
            <w:r>
              <w:rPr>
                <w:rFonts w:hint="eastAsia"/>
                <w:bCs/>
                <w:snapToGrid w:val="0"/>
                <w:color w:val="000000" w:themeColor="text1"/>
                <w:kern w:val="28"/>
                <w:lang w:val="sq-AL"/>
              </w:rPr>
              <w:t>无</w:t>
            </w:r>
          </w:p>
        </w:tc>
        <w:tc>
          <w:tcPr>
            <w:tcW w:w="1147" w:type="dxa"/>
            <w:tcBorders>
              <w:top w:val="single" w:color="auto" w:sz="8" w:space="0"/>
              <w:left w:val="single" w:color="auto" w:sz="4" w:space="0"/>
              <w:bottom w:val="single" w:color="auto" w:sz="8" w:space="0"/>
              <w:right w:val="single" w:color="auto" w:sz="4" w:space="0"/>
            </w:tcBorders>
            <w:vAlign w:val="center"/>
          </w:tcPr>
          <w:p>
            <w:pPr>
              <w:pStyle w:val="55"/>
              <w:rPr>
                <w:bCs/>
                <w:snapToGrid w:val="0"/>
                <w:color w:val="000000" w:themeColor="text1"/>
                <w:kern w:val="28"/>
                <w:lang w:val="sq-AL"/>
              </w:rPr>
            </w:pPr>
            <w:r>
              <w:rPr>
                <w:bCs/>
                <w:snapToGrid w:val="0"/>
                <w:color w:val="000000" w:themeColor="text1"/>
                <w:kern w:val="28"/>
                <w:lang w:val="sq-AL"/>
              </w:rPr>
              <w:t>≤250</w:t>
            </w:r>
          </w:p>
        </w:tc>
        <w:tc>
          <w:tcPr>
            <w:tcW w:w="1553" w:type="dxa"/>
            <w:tcBorders>
              <w:top w:val="single" w:color="auto" w:sz="8" w:space="0"/>
              <w:left w:val="single" w:color="auto" w:sz="4" w:space="0"/>
              <w:bottom w:val="single" w:color="auto" w:sz="8" w:space="0"/>
              <w:right w:val="single" w:color="auto" w:sz="4" w:space="0"/>
            </w:tcBorders>
            <w:vAlign w:val="center"/>
          </w:tcPr>
          <w:p>
            <w:pPr>
              <w:pStyle w:val="55"/>
              <w:rPr>
                <w:bCs/>
                <w:snapToGrid w:val="0"/>
                <w:color w:val="000000" w:themeColor="text1"/>
                <w:kern w:val="28"/>
                <w:lang w:val="sq-AL"/>
              </w:rPr>
            </w:pPr>
            <w:r>
              <w:rPr>
                <w:bCs/>
                <w:snapToGrid w:val="0"/>
                <w:color w:val="000000" w:themeColor="text1"/>
                <w:kern w:val="28"/>
                <w:lang w:val="sq-AL"/>
              </w:rPr>
              <w:t>≤1000</w:t>
            </w:r>
          </w:p>
        </w:tc>
        <w:tc>
          <w:tcPr>
            <w:tcW w:w="2691" w:type="dxa"/>
            <w:gridSpan w:val="3"/>
            <w:tcBorders>
              <w:top w:val="single" w:color="auto" w:sz="8" w:space="0"/>
              <w:left w:val="single" w:color="auto" w:sz="4" w:space="0"/>
              <w:bottom w:val="single" w:color="auto" w:sz="8" w:space="0"/>
              <w:right w:val="single" w:color="auto" w:sz="4" w:space="0"/>
            </w:tcBorders>
            <w:vAlign w:val="center"/>
          </w:tcPr>
          <w:p>
            <w:pPr>
              <w:pStyle w:val="55"/>
              <w:rPr>
                <w:bCs/>
                <w:snapToGrid w:val="0"/>
                <w:color w:val="000000" w:themeColor="text1"/>
                <w:kern w:val="28"/>
                <w:lang w:val="sq-AL"/>
              </w:rPr>
            </w:pPr>
            <w:r>
              <w:rPr>
                <w:bCs/>
                <w:snapToGrid w:val="0"/>
                <w:color w:val="000000" w:themeColor="text1"/>
                <w:kern w:val="28"/>
                <w:lang w:val="sq-AL"/>
              </w:rPr>
              <w:t>≤3.0</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20" w:hRule="atLeast"/>
          <w:jc w:val="center"/>
        </w:trPr>
        <w:tc>
          <w:tcPr>
            <w:tcW w:w="1138" w:type="dxa"/>
            <w:tcBorders>
              <w:top w:val="single" w:color="auto" w:sz="8" w:space="0"/>
              <w:left w:val="single" w:color="auto" w:sz="4" w:space="0"/>
              <w:bottom w:val="single" w:color="auto" w:sz="8" w:space="0"/>
              <w:right w:val="single" w:color="auto" w:sz="4" w:space="0"/>
            </w:tcBorders>
            <w:vAlign w:val="center"/>
          </w:tcPr>
          <w:p>
            <w:pPr>
              <w:pStyle w:val="55"/>
              <w:rPr>
                <w:bCs/>
                <w:snapToGrid w:val="0"/>
                <w:color w:val="000000" w:themeColor="text1"/>
                <w:kern w:val="28"/>
                <w:lang w:val="sq-AL"/>
              </w:rPr>
            </w:pPr>
            <w:r>
              <w:rPr>
                <w:rFonts w:hint="eastAsia"/>
                <w:bCs/>
                <w:snapToGrid w:val="0"/>
                <w:color w:val="000000" w:themeColor="text1"/>
                <w:kern w:val="28"/>
                <w:lang w:val="sq-AL"/>
              </w:rPr>
              <w:t>项目</w:t>
            </w:r>
          </w:p>
        </w:tc>
        <w:tc>
          <w:tcPr>
            <w:tcW w:w="1823" w:type="dxa"/>
            <w:tcBorders>
              <w:top w:val="single" w:color="auto" w:sz="8" w:space="0"/>
              <w:left w:val="single" w:color="auto" w:sz="4" w:space="0"/>
              <w:bottom w:val="single" w:color="auto" w:sz="8" w:space="0"/>
              <w:right w:val="single" w:color="auto" w:sz="4" w:space="0"/>
            </w:tcBorders>
            <w:vAlign w:val="center"/>
          </w:tcPr>
          <w:p>
            <w:pPr>
              <w:pStyle w:val="55"/>
              <w:rPr>
                <w:bCs/>
                <w:snapToGrid w:val="0"/>
                <w:color w:val="000000" w:themeColor="text1"/>
                <w:kern w:val="28"/>
                <w:lang w:val="sq-AL"/>
              </w:rPr>
            </w:pPr>
            <w:r>
              <w:rPr>
                <w:rFonts w:hint="eastAsia"/>
                <w:bCs/>
                <w:snapToGrid w:val="0"/>
                <w:color w:val="000000" w:themeColor="text1"/>
                <w:kern w:val="28"/>
                <w:lang w:val="sq-AL"/>
              </w:rPr>
              <w:t>浑浊度（</w:t>
            </w:r>
            <w:r>
              <w:rPr>
                <w:bCs/>
                <w:snapToGrid w:val="0"/>
                <w:color w:val="000000" w:themeColor="text1"/>
                <w:kern w:val="28"/>
                <w:lang w:val="sq-AL"/>
              </w:rPr>
              <w:t>NTU</w:t>
            </w:r>
            <w:r>
              <w:rPr>
                <w:rFonts w:hint="eastAsia"/>
                <w:bCs/>
                <w:snapToGrid w:val="0"/>
                <w:color w:val="000000" w:themeColor="text1"/>
                <w:kern w:val="28"/>
                <w:lang w:val="sq-AL"/>
              </w:rPr>
              <w:t>）</w:t>
            </w:r>
          </w:p>
        </w:tc>
        <w:tc>
          <w:tcPr>
            <w:tcW w:w="1147" w:type="dxa"/>
            <w:tcBorders>
              <w:top w:val="single" w:color="auto" w:sz="8" w:space="0"/>
              <w:left w:val="single" w:color="auto" w:sz="4" w:space="0"/>
              <w:bottom w:val="single" w:color="auto" w:sz="8" w:space="0"/>
              <w:right w:val="single" w:color="auto" w:sz="4" w:space="0"/>
            </w:tcBorders>
            <w:vAlign w:val="center"/>
          </w:tcPr>
          <w:p>
            <w:pPr>
              <w:pStyle w:val="55"/>
              <w:rPr>
                <w:bCs/>
                <w:snapToGrid w:val="0"/>
                <w:color w:val="000000" w:themeColor="text1"/>
                <w:kern w:val="28"/>
                <w:lang w:val="sq-AL"/>
              </w:rPr>
            </w:pPr>
            <w:r>
              <w:rPr>
                <w:rFonts w:hint="eastAsia"/>
                <w:bCs/>
                <w:snapToGrid w:val="0"/>
                <w:color w:val="000000" w:themeColor="text1"/>
                <w:kern w:val="28"/>
                <w:lang w:val="sq-AL"/>
              </w:rPr>
              <w:t>亚硝酸盐</w:t>
            </w:r>
          </w:p>
        </w:tc>
        <w:tc>
          <w:tcPr>
            <w:tcW w:w="1553" w:type="dxa"/>
            <w:tcBorders>
              <w:top w:val="single" w:color="auto" w:sz="8" w:space="0"/>
              <w:left w:val="single" w:color="auto" w:sz="4" w:space="0"/>
              <w:bottom w:val="single" w:color="auto" w:sz="8" w:space="0"/>
              <w:right w:val="single" w:color="auto" w:sz="4" w:space="0"/>
            </w:tcBorders>
            <w:vAlign w:val="center"/>
          </w:tcPr>
          <w:p>
            <w:pPr>
              <w:pStyle w:val="55"/>
              <w:rPr>
                <w:bCs/>
                <w:snapToGrid w:val="0"/>
                <w:color w:val="000000" w:themeColor="text1"/>
                <w:kern w:val="28"/>
                <w:lang w:val="sq-AL"/>
              </w:rPr>
            </w:pPr>
            <w:r>
              <w:rPr>
                <w:rFonts w:hint="eastAsia"/>
                <w:bCs/>
                <w:snapToGrid w:val="0"/>
                <w:color w:val="000000" w:themeColor="text1"/>
                <w:kern w:val="28"/>
                <w:lang w:val="sq-AL"/>
              </w:rPr>
              <w:t>氯化物</w:t>
            </w:r>
          </w:p>
        </w:tc>
        <w:tc>
          <w:tcPr>
            <w:tcW w:w="1452" w:type="dxa"/>
            <w:gridSpan w:val="2"/>
            <w:tcBorders>
              <w:top w:val="single" w:color="auto" w:sz="8" w:space="0"/>
              <w:left w:val="single" w:color="auto" w:sz="4" w:space="0"/>
              <w:bottom w:val="single" w:color="auto" w:sz="8" w:space="0"/>
              <w:right w:val="single" w:color="auto" w:sz="4" w:space="0"/>
            </w:tcBorders>
            <w:vAlign w:val="center"/>
          </w:tcPr>
          <w:p>
            <w:pPr>
              <w:pStyle w:val="55"/>
              <w:rPr>
                <w:bCs/>
                <w:snapToGrid w:val="0"/>
                <w:color w:val="000000" w:themeColor="text1"/>
                <w:kern w:val="28"/>
                <w:lang w:val="sq-AL"/>
              </w:rPr>
            </w:pPr>
            <w:r>
              <w:rPr>
                <w:rFonts w:hint="eastAsia"/>
                <w:bCs/>
                <w:snapToGrid w:val="0"/>
                <w:color w:val="000000" w:themeColor="text1"/>
                <w:kern w:val="28"/>
                <w:lang w:val="sq-AL"/>
              </w:rPr>
              <w:t>氟化物</w:t>
            </w:r>
          </w:p>
        </w:tc>
        <w:tc>
          <w:tcPr>
            <w:tcW w:w="1239" w:type="dxa"/>
            <w:tcBorders>
              <w:top w:val="single" w:color="auto" w:sz="8" w:space="0"/>
              <w:left w:val="single" w:color="auto" w:sz="4" w:space="0"/>
              <w:bottom w:val="single" w:color="auto" w:sz="8" w:space="0"/>
              <w:right w:val="single" w:color="auto" w:sz="4" w:space="0"/>
            </w:tcBorders>
            <w:vAlign w:val="center"/>
          </w:tcPr>
          <w:p>
            <w:pPr>
              <w:pStyle w:val="55"/>
              <w:rPr>
                <w:bCs/>
                <w:snapToGrid w:val="0"/>
                <w:color w:val="000000" w:themeColor="text1"/>
                <w:kern w:val="28"/>
                <w:lang w:val="sq-AL"/>
              </w:rPr>
            </w:pPr>
            <w:r>
              <w:rPr>
                <w:rFonts w:hint="eastAsia"/>
                <w:bCs/>
                <w:snapToGrid w:val="0"/>
                <w:color w:val="000000" w:themeColor="text1"/>
                <w:kern w:val="28"/>
                <w:lang w:val="sq-AL"/>
              </w:rPr>
              <w:t>氰化物</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20" w:hRule="atLeast"/>
          <w:jc w:val="center"/>
        </w:trPr>
        <w:tc>
          <w:tcPr>
            <w:tcW w:w="1138" w:type="dxa"/>
            <w:tcBorders>
              <w:top w:val="single" w:color="auto" w:sz="8" w:space="0"/>
              <w:left w:val="single" w:color="auto" w:sz="4" w:space="0"/>
              <w:bottom w:val="single" w:color="auto" w:sz="8" w:space="0"/>
              <w:right w:val="single" w:color="auto" w:sz="4" w:space="0"/>
            </w:tcBorders>
            <w:vAlign w:val="center"/>
          </w:tcPr>
          <w:p>
            <w:pPr>
              <w:pStyle w:val="55"/>
              <w:rPr>
                <w:bCs/>
                <w:snapToGrid w:val="0"/>
                <w:color w:val="000000" w:themeColor="text1"/>
                <w:kern w:val="28"/>
                <w:lang w:val="sq-AL"/>
              </w:rPr>
            </w:pPr>
            <w:r>
              <w:rPr>
                <w:rFonts w:hint="eastAsia"/>
                <w:bCs/>
                <w:snapToGrid w:val="0"/>
                <w:color w:val="000000" w:themeColor="text1"/>
                <w:kern w:val="28"/>
                <w:lang w:val="sq-AL"/>
              </w:rPr>
              <w:t>标准值</w:t>
            </w:r>
          </w:p>
        </w:tc>
        <w:tc>
          <w:tcPr>
            <w:tcW w:w="1823" w:type="dxa"/>
            <w:tcBorders>
              <w:top w:val="single" w:color="auto" w:sz="8" w:space="0"/>
              <w:left w:val="single" w:color="auto" w:sz="4" w:space="0"/>
              <w:bottom w:val="single" w:color="auto" w:sz="8" w:space="0"/>
              <w:right w:val="single" w:color="auto" w:sz="4" w:space="0"/>
            </w:tcBorders>
            <w:vAlign w:val="center"/>
          </w:tcPr>
          <w:p>
            <w:pPr>
              <w:pStyle w:val="55"/>
              <w:rPr>
                <w:bCs/>
                <w:snapToGrid w:val="0"/>
                <w:color w:val="000000" w:themeColor="text1"/>
                <w:kern w:val="28"/>
                <w:lang w:val="sq-AL"/>
              </w:rPr>
            </w:pPr>
            <w:r>
              <w:rPr>
                <w:bCs/>
                <w:snapToGrid w:val="0"/>
                <w:color w:val="000000" w:themeColor="text1"/>
                <w:kern w:val="28"/>
                <w:lang w:val="sq-AL"/>
              </w:rPr>
              <w:t>≤3.0</w:t>
            </w:r>
          </w:p>
        </w:tc>
        <w:tc>
          <w:tcPr>
            <w:tcW w:w="1147" w:type="dxa"/>
            <w:tcBorders>
              <w:top w:val="single" w:color="auto" w:sz="8" w:space="0"/>
              <w:left w:val="single" w:color="auto" w:sz="4" w:space="0"/>
              <w:bottom w:val="single" w:color="auto" w:sz="8" w:space="0"/>
              <w:right w:val="single" w:color="auto" w:sz="4" w:space="0"/>
            </w:tcBorders>
            <w:vAlign w:val="center"/>
          </w:tcPr>
          <w:p>
            <w:pPr>
              <w:pStyle w:val="55"/>
              <w:rPr>
                <w:bCs/>
                <w:snapToGrid w:val="0"/>
                <w:color w:val="000000" w:themeColor="text1"/>
                <w:kern w:val="28"/>
                <w:lang w:val="sq-AL"/>
              </w:rPr>
            </w:pPr>
            <w:r>
              <w:rPr>
                <w:bCs/>
                <w:snapToGrid w:val="0"/>
                <w:color w:val="000000" w:themeColor="text1"/>
                <w:kern w:val="28"/>
                <w:lang w:val="sq-AL"/>
              </w:rPr>
              <w:t>≤1.0</w:t>
            </w:r>
          </w:p>
        </w:tc>
        <w:tc>
          <w:tcPr>
            <w:tcW w:w="1553" w:type="dxa"/>
            <w:tcBorders>
              <w:top w:val="single" w:color="auto" w:sz="8" w:space="0"/>
              <w:left w:val="single" w:color="auto" w:sz="4" w:space="0"/>
              <w:bottom w:val="single" w:color="auto" w:sz="8" w:space="0"/>
              <w:right w:val="single" w:color="auto" w:sz="4" w:space="0"/>
            </w:tcBorders>
            <w:vAlign w:val="center"/>
          </w:tcPr>
          <w:p>
            <w:pPr>
              <w:pStyle w:val="55"/>
              <w:rPr>
                <w:bCs/>
                <w:snapToGrid w:val="0"/>
                <w:color w:val="000000" w:themeColor="text1"/>
                <w:kern w:val="28"/>
                <w:lang w:val="sq-AL"/>
              </w:rPr>
            </w:pPr>
            <w:r>
              <w:rPr>
                <w:bCs/>
                <w:snapToGrid w:val="0"/>
                <w:color w:val="000000" w:themeColor="text1"/>
                <w:kern w:val="28"/>
                <w:lang w:val="sq-AL"/>
              </w:rPr>
              <w:t>≤250</w:t>
            </w:r>
          </w:p>
        </w:tc>
        <w:tc>
          <w:tcPr>
            <w:tcW w:w="1452" w:type="dxa"/>
            <w:gridSpan w:val="2"/>
            <w:tcBorders>
              <w:top w:val="single" w:color="auto" w:sz="8" w:space="0"/>
              <w:left w:val="single" w:color="auto" w:sz="4" w:space="0"/>
              <w:bottom w:val="single" w:color="auto" w:sz="8" w:space="0"/>
              <w:right w:val="single" w:color="auto" w:sz="4" w:space="0"/>
            </w:tcBorders>
            <w:vAlign w:val="center"/>
          </w:tcPr>
          <w:p>
            <w:pPr>
              <w:pStyle w:val="55"/>
              <w:rPr>
                <w:bCs/>
                <w:snapToGrid w:val="0"/>
                <w:color w:val="000000" w:themeColor="text1"/>
                <w:kern w:val="28"/>
                <w:lang w:val="sq-AL"/>
              </w:rPr>
            </w:pPr>
            <w:r>
              <w:rPr>
                <w:bCs/>
                <w:snapToGrid w:val="0"/>
                <w:color w:val="000000" w:themeColor="text1"/>
                <w:kern w:val="28"/>
                <w:lang w:val="sq-AL"/>
              </w:rPr>
              <w:t>≤1.0</w:t>
            </w:r>
          </w:p>
        </w:tc>
        <w:tc>
          <w:tcPr>
            <w:tcW w:w="1239" w:type="dxa"/>
            <w:tcBorders>
              <w:top w:val="single" w:color="auto" w:sz="8" w:space="0"/>
              <w:left w:val="single" w:color="auto" w:sz="4" w:space="0"/>
              <w:bottom w:val="single" w:color="auto" w:sz="8" w:space="0"/>
              <w:right w:val="single" w:color="auto" w:sz="4" w:space="0"/>
            </w:tcBorders>
            <w:vAlign w:val="center"/>
          </w:tcPr>
          <w:p>
            <w:pPr>
              <w:pStyle w:val="55"/>
              <w:rPr>
                <w:bCs/>
                <w:snapToGrid w:val="0"/>
                <w:color w:val="000000" w:themeColor="text1"/>
                <w:kern w:val="28"/>
                <w:lang w:val="sq-AL"/>
              </w:rPr>
            </w:pPr>
            <w:r>
              <w:rPr>
                <w:bCs/>
                <w:snapToGrid w:val="0"/>
                <w:color w:val="000000" w:themeColor="text1"/>
                <w:kern w:val="28"/>
                <w:lang w:val="sq-AL"/>
              </w:rPr>
              <w:t>≤0.05</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20" w:hRule="atLeast"/>
          <w:jc w:val="center"/>
        </w:trPr>
        <w:tc>
          <w:tcPr>
            <w:tcW w:w="1138" w:type="dxa"/>
            <w:tcBorders>
              <w:top w:val="single" w:color="auto" w:sz="8" w:space="0"/>
              <w:left w:val="single" w:color="auto" w:sz="4" w:space="0"/>
              <w:bottom w:val="single" w:color="auto" w:sz="8" w:space="0"/>
              <w:right w:val="single" w:color="auto" w:sz="4" w:space="0"/>
            </w:tcBorders>
            <w:vAlign w:val="center"/>
          </w:tcPr>
          <w:p>
            <w:pPr>
              <w:pStyle w:val="55"/>
              <w:rPr>
                <w:bCs/>
                <w:snapToGrid w:val="0"/>
                <w:color w:val="000000" w:themeColor="text1"/>
                <w:kern w:val="28"/>
                <w:lang w:val="sq-AL"/>
              </w:rPr>
            </w:pPr>
            <w:r>
              <w:rPr>
                <w:rFonts w:hint="eastAsia"/>
                <w:bCs/>
                <w:snapToGrid w:val="0"/>
                <w:color w:val="000000" w:themeColor="text1"/>
                <w:kern w:val="28"/>
                <w:lang w:val="sq-AL"/>
              </w:rPr>
              <w:t>项目</w:t>
            </w:r>
          </w:p>
        </w:tc>
        <w:tc>
          <w:tcPr>
            <w:tcW w:w="1823" w:type="dxa"/>
            <w:tcBorders>
              <w:top w:val="single" w:color="auto" w:sz="8" w:space="0"/>
              <w:left w:val="single" w:color="auto" w:sz="4" w:space="0"/>
              <w:bottom w:val="single" w:color="auto" w:sz="8" w:space="0"/>
              <w:right w:val="single" w:color="auto" w:sz="4" w:space="0"/>
            </w:tcBorders>
            <w:vAlign w:val="center"/>
          </w:tcPr>
          <w:p>
            <w:pPr>
              <w:pStyle w:val="55"/>
              <w:rPr>
                <w:bCs/>
                <w:snapToGrid w:val="0"/>
                <w:color w:val="000000" w:themeColor="text1"/>
                <w:kern w:val="28"/>
                <w:lang w:val="sq-AL"/>
              </w:rPr>
            </w:pPr>
            <w:r>
              <w:rPr>
                <w:rFonts w:hint="eastAsia"/>
                <w:bCs/>
                <w:snapToGrid w:val="0"/>
                <w:color w:val="000000" w:themeColor="text1"/>
                <w:kern w:val="28"/>
                <w:lang w:val="sq-AL"/>
              </w:rPr>
              <w:t>肉眼可见物</w:t>
            </w:r>
          </w:p>
        </w:tc>
        <w:tc>
          <w:tcPr>
            <w:tcW w:w="1147" w:type="dxa"/>
            <w:tcBorders>
              <w:top w:val="single" w:color="auto" w:sz="8" w:space="0"/>
              <w:left w:val="single" w:color="auto" w:sz="4" w:space="0"/>
              <w:bottom w:val="single" w:color="auto" w:sz="8" w:space="0"/>
              <w:right w:val="single" w:color="auto" w:sz="4" w:space="0"/>
            </w:tcBorders>
            <w:vAlign w:val="center"/>
          </w:tcPr>
          <w:p>
            <w:pPr>
              <w:pStyle w:val="55"/>
              <w:rPr>
                <w:bCs/>
                <w:snapToGrid w:val="0"/>
                <w:color w:val="000000" w:themeColor="text1"/>
                <w:kern w:val="28"/>
                <w:lang w:val="sq-AL"/>
              </w:rPr>
            </w:pPr>
            <w:r>
              <w:rPr>
                <w:rFonts w:hint="eastAsia"/>
                <w:bCs/>
                <w:snapToGrid w:val="0"/>
                <w:color w:val="000000" w:themeColor="text1"/>
                <w:kern w:val="28"/>
                <w:lang w:val="sq-AL"/>
              </w:rPr>
              <w:t>六价铬</w:t>
            </w:r>
          </w:p>
        </w:tc>
        <w:tc>
          <w:tcPr>
            <w:tcW w:w="1553" w:type="dxa"/>
            <w:tcBorders>
              <w:top w:val="single" w:color="auto" w:sz="8" w:space="0"/>
              <w:left w:val="single" w:color="auto" w:sz="4" w:space="0"/>
              <w:bottom w:val="single" w:color="auto" w:sz="8" w:space="0"/>
              <w:right w:val="single" w:color="auto" w:sz="4" w:space="0"/>
            </w:tcBorders>
            <w:vAlign w:val="center"/>
          </w:tcPr>
          <w:p>
            <w:pPr>
              <w:pStyle w:val="55"/>
              <w:rPr>
                <w:bCs/>
                <w:snapToGrid w:val="0"/>
                <w:color w:val="000000" w:themeColor="text1"/>
                <w:kern w:val="28"/>
                <w:lang w:val="sq-AL"/>
              </w:rPr>
            </w:pPr>
          </w:p>
        </w:tc>
        <w:tc>
          <w:tcPr>
            <w:tcW w:w="1452" w:type="dxa"/>
            <w:gridSpan w:val="2"/>
            <w:tcBorders>
              <w:top w:val="single" w:color="auto" w:sz="8" w:space="0"/>
              <w:left w:val="single" w:color="auto" w:sz="4" w:space="0"/>
              <w:bottom w:val="single" w:color="auto" w:sz="8" w:space="0"/>
              <w:right w:val="single" w:color="auto" w:sz="4" w:space="0"/>
            </w:tcBorders>
            <w:vAlign w:val="center"/>
          </w:tcPr>
          <w:p>
            <w:pPr>
              <w:pStyle w:val="55"/>
              <w:rPr>
                <w:bCs/>
                <w:snapToGrid w:val="0"/>
                <w:color w:val="000000" w:themeColor="text1"/>
                <w:kern w:val="28"/>
                <w:lang w:val="sq-AL"/>
              </w:rPr>
            </w:pPr>
          </w:p>
        </w:tc>
        <w:tc>
          <w:tcPr>
            <w:tcW w:w="1239" w:type="dxa"/>
            <w:tcBorders>
              <w:top w:val="single" w:color="auto" w:sz="8" w:space="0"/>
              <w:left w:val="single" w:color="auto" w:sz="4" w:space="0"/>
              <w:bottom w:val="single" w:color="auto" w:sz="8" w:space="0"/>
              <w:right w:val="single" w:color="auto" w:sz="4" w:space="0"/>
            </w:tcBorders>
            <w:vAlign w:val="center"/>
          </w:tcPr>
          <w:p>
            <w:pPr>
              <w:pStyle w:val="55"/>
              <w:rPr>
                <w:bCs/>
                <w:snapToGrid w:val="0"/>
                <w:color w:val="000000" w:themeColor="text1"/>
                <w:kern w:val="28"/>
                <w:lang w:val="sq-AL"/>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20" w:hRule="atLeast"/>
          <w:jc w:val="center"/>
        </w:trPr>
        <w:tc>
          <w:tcPr>
            <w:tcW w:w="1138" w:type="dxa"/>
            <w:tcBorders>
              <w:top w:val="single" w:color="auto" w:sz="8" w:space="0"/>
              <w:left w:val="single" w:color="auto" w:sz="4" w:space="0"/>
              <w:bottom w:val="single" w:color="auto" w:sz="4" w:space="0"/>
              <w:right w:val="single" w:color="auto" w:sz="4" w:space="0"/>
            </w:tcBorders>
            <w:vAlign w:val="center"/>
          </w:tcPr>
          <w:p>
            <w:pPr>
              <w:pStyle w:val="55"/>
              <w:rPr>
                <w:bCs/>
                <w:snapToGrid w:val="0"/>
                <w:color w:val="000000" w:themeColor="text1"/>
                <w:kern w:val="28"/>
                <w:lang w:val="sq-AL"/>
              </w:rPr>
            </w:pPr>
            <w:r>
              <w:rPr>
                <w:rFonts w:hint="eastAsia"/>
                <w:bCs/>
                <w:snapToGrid w:val="0"/>
                <w:color w:val="000000" w:themeColor="text1"/>
                <w:kern w:val="28"/>
                <w:lang w:val="sq-AL"/>
              </w:rPr>
              <w:t>标准值</w:t>
            </w:r>
          </w:p>
        </w:tc>
        <w:tc>
          <w:tcPr>
            <w:tcW w:w="1823" w:type="dxa"/>
            <w:tcBorders>
              <w:top w:val="single" w:color="auto" w:sz="8" w:space="0"/>
              <w:left w:val="single" w:color="auto" w:sz="4" w:space="0"/>
              <w:bottom w:val="single" w:color="auto" w:sz="4" w:space="0"/>
              <w:right w:val="single" w:color="auto" w:sz="4" w:space="0"/>
            </w:tcBorders>
            <w:vAlign w:val="center"/>
          </w:tcPr>
          <w:p>
            <w:pPr>
              <w:pStyle w:val="55"/>
              <w:rPr>
                <w:bCs/>
                <w:snapToGrid w:val="0"/>
                <w:color w:val="000000" w:themeColor="text1"/>
                <w:kern w:val="28"/>
                <w:lang w:val="sq-AL"/>
              </w:rPr>
            </w:pPr>
            <w:r>
              <w:rPr>
                <w:rFonts w:hint="eastAsia"/>
                <w:bCs/>
                <w:snapToGrid w:val="0"/>
                <w:color w:val="000000" w:themeColor="text1"/>
                <w:kern w:val="28"/>
                <w:lang w:val="sq-AL"/>
              </w:rPr>
              <w:t>无</w:t>
            </w:r>
          </w:p>
        </w:tc>
        <w:tc>
          <w:tcPr>
            <w:tcW w:w="1147" w:type="dxa"/>
            <w:tcBorders>
              <w:top w:val="single" w:color="auto" w:sz="8" w:space="0"/>
              <w:left w:val="single" w:color="auto" w:sz="4" w:space="0"/>
              <w:bottom w:val="single" w:color="auto" w:sz="4" w:space="0"/>
              <w:right w:val="single" w:color="auto" w:sz="4" w:space="0"/>
            </w:tcBorders>
            <w:vAlign w:val="center"/>
          </w:tcPr>
          <w:p>
            <w:pPr>
              <w:pStyle w:val="55"/>
              <w:rPr>
                <w:bCs/>
                <w:snapToGrid w:val="0"/>
                <w:color w:val="000000" w:themeColor="text1"/>
                <w:kern w:val="28"/>
                <w:lang w:val="sq-AL"/>
              </w:rPr>
            </w:pPr>
            <w:r>
              <w:rPr>
                <w:bCs/>
                <w:snapToGrid w:val="0"/>
                <w:color w:val="000000" w:themeColor="text1"/>
                <w:kern w:val="28"/>
                <w:lang w:val="sq-AL"/>
              </w:rPr>
              <w:t>≤0.05</w:t>
            </w:r>
          </w:p>
        </w:tc>
        <w:tc>
          <w:tcPr>
            <w:tcW w:w="1553" w:type="dxa"/>
            <w:tcBorders>
              <w:top w:val="single" w:color="auto" w:sz="8" w:space="0"/>
              <w:left w:val="single" w:color="auto" w:sz="4" w:space="0"/>
              <w:bottom w:val="single" w:color="auto" w:sz="4" w:space="0"/>
              <w:right w:val="single" w:color="auto" w:sz="4" w:space="0"/>
            </w:tcBorders>
            <w:vAlign w:val="center"/>
          </w:tcPr>
          <w:p>
            <w:pPr>
              <w:pStyle w:val="55"/>
              <w:rPr>
                <w:bCs/>
                <w:snapToGrid w:val="0"/>
                <w:color w:val="000000" w:themeColor="text1"/>
                <w:kern w:val="28"/>
                <w:lang w:val="sq-AL"/>
              </w:rPr>
            </w:pPr>
          </w:p>
        </w:tc>
        <w:tc>
          <w:tcPr>
            <w:tcW w:w="1452" w:type="dxa"/>
            <w:gridSpan w:val="2"/>
            <w:tcBorders>
              <w:top w:val="single" w:color="auto" w:sz="8" w:space="0"/>
              <w:left w:val="single" w:color="auto" w:sz="4" w:space="0"/>
              <w:bottom w:val="single" w:color="auto" w:sz="4" w:space="0"/>
              <w:right w:val="single" w:color="auto" w:sz="4" w:space="0"/>
            </w:tcBorders>
            <w:vAlign w:val="center"/>
          </w:tcPr>
          <w:p>
            <w:pPr>
              <w:pStyle w:val="55"/>
              <w:rPr>
                <w:bCs/>
                <w:snapToGrid w:val="0"/>
                <w:color w:val="000000" w:themeColor="text1"/>
                <w:kern w:val="28"/>
                <w:lang w:val="sq-AL"/>
              </w:rPr>
            </w:pPr>
          </w:p>
        </w:tc>
        <w:tc>
          <w:tcPr>
            <w:tcW w:w="1239" w:type="dxa"/>
            <w:tcBorders>
              <w:top w:val="single" w:color="auto" w:sz="8" w:space="0"/>
              <w:left w:val="single" w:color="auto" w:sz="4" w:space="0"/>
              <w:bottom w:val="single" w:color="auto" w:sz="4" w:space="0"/>
              <w:right w:val="single" w:color="auto" w:sz="4" w:space="0"/>
            </w:tcBorders>
            <w:vAlign w:val="center"/>
          </w:tcPr>
          <w:p>
            <w:pPr>
              <w:pStyle w:val="55"/>
              <w:rPr>
                <w:bCs/>
                <w:snapToGrid w:val="0"/>
                <w:color w:val="000000" w:themeColor="text1"/>
                <w:kern w:val="28"/>
                <w:lang w:val="sq-AL"/>
              </w:rPr>
            </w:pPr>
          </w:p>
        </w:tc>
      </w:tr>
    </w:tbl>
    <w:p>
      <w:pPr>
        <w:ind w:firstLine="480"/>
        <w:rPr>
          <w:color w:val="000000" w:themeColor="text1"/>
        </w:rPr>
      </w:pPr>
      <w:r>
        <w:rPr>
          <w:rFonts w:hint="eastAsia"/>
          <w:color w:val="000000" w:themeColor="text1"/>
        </w:rPr>
        <w:t>4、声环境质量标准</w:t>
      </w:r>
    </w:p>
    <w:p>
      <w:pPr>
        <w:ind w:firstLine="480"/>
        <w:rPr>
          <w:bCs/>
          <w:color w:val="000000" w:themeColor="text1"/>
          <w:kern w:val="0"/>
        </w:rPr>
      </w:pPr>
      <w:r>
        <w:rPr>
          <w:rFonts w:hint="eastAsia"/>
          <w:bCs/>
          <w:color w:val="000000" w:themeColor="text1"/>
          <w:kern w:val="0"/>
        </w:rPr>
        <w:t>项目位于砚山县干河乡小龙白村西北侧，声环境执行《声环境质量标准》（</w:t>
      </w:r>
      <w:r>
        <w:rPr>
          <w:bCs/>
          <w:color w:val="000000" w:themeColor="text1"/>
          <w:kern w:val="0"/>
        </w:rPr>
        <w:t>GB3096-2008</w:t>
      </w:r>
      <w:r>
        <w:rPr>
          <w:rFonts w:hint="eastAsia"/>
          <w:bCs/>
          <w:color w:val="000000" w:themeColor="text1"/>
          <w:kern w:val="0"/>
        </w:rPr>
        <w:t>）</w:t>
      </w:r>
      <w:r>
        <w:rPr>
          <w:bCs/>
          <w:color w:val="000000" w:themeColor="text1"/>
          <w:kern w:val="0"/>
        </w:rPr>
        <w:t>2</w:t>
      </w:r>
      <w:r>
        <w:rPr>
          <w:rFonts w:hint="eastAsia"/>
          <w:bCs/>
          <w:color w:val="000000" w:themeColor="text1"/>
          <w:kern w:val="0"/>
        </w:rPr>
        <w:t>类标准的限值要求，</w:t>
      </w:r>
      <w:r>
        <w:rPr>
          <w:rFonts w:hint="eastAsia"/>
          <w:color w:val="000000" w:themeColor="text1"/>
        </w:rPr>
        <w:t>标准值见表</w:t>
      </w:r>
      <w:r>
        <w:rPr>
          <w:rFonts w:hint="eastAsia"/>
          <w:bCs/>
          <w:color w:val="000000" w:themeColor="text1"/>
          <w:kern w:val="0"/>
        </w:rPr>
        <w:t>1.4.1</w:t>
      </w:r>
      <w:r>
        <w:rPr>
          <w:bCs/>
          <w:color w:val="000000" w:themeColor="text1"/>
          <w:kern w:val="0"/>
        </w:rPr>
        <w:t>-4</w:t>
      </w:r>
      <w:r>
        <w:rPr>
          <w:rFonts w:hint="eastAsia"/>
          <w:bCs/>
          <w:color w:val="000000" w:themeColor="text1"/>
          <w:kern w:val="0"/>
        </w:rPr>
        <w:t>所示。</w:t>
      </w:r>
    </w:p>
    <w:p>
      <w:pPr>
        <w:pStyle w:val="54"/>
        <w:rPr>
          <w:bCs/>
          <w:color w:val="000000" w:themeColor="text1"/>
          <w:kern w:val="0"/>
        </w:rPr>
      </w:pPr>
      <w:r>
        <w:rPr>
          <w:rFonts w:hint="eastAsia"/>
          <w:color w:val="000000" w:themeColor="text1"/>
        </w:rPr>
        <w:t>表1.4.1</w:t>
      </w:r>
      <w:r>
        <w:rPr>
          <w:color w:val="000000" w:themeColor="text1"/>
        </w:rPr>
        <w:t xml:space="preserve">-4  </w:t>
      </w:r>
      <w:r>
        <w:rPr>
          <w:rFonts w:hint="eastAsia"/>
          <w:color w:val="000000" w:themeColor="text1"/>
        </w:rPr>
        <w:t>《声环境质量标准》（</w:t>
      </w:r>
      <w:r>
        <w:rPr>
          <w:color w:val="000000" w:themeColor="text1"/>
        </w:rPr>
        <w:t>GB3096-2008</w:t>
      </w:r>
      <w:r>
        <w:rPr>
          <w:rFonts w:hint="eastAsia"/>
          <w:color w:val="000000" w:themeColor="text1"/>
        </w:rPr>
        <w:t>）</w:t>
      </w:r>
      <w:r>
        <w:rPr>
          <w:color w:val="000000" w:themeColor="text1"/>
        </w:rPr>
        <w:t xml:space="preserve">  </w:t>
      </w:r>
      <w:r>
        <w:rPr>
          <w:rFonts w:hint="eastAsia"/>
          <w:color w:val="000000" w:themeColor="text1"/>
        </w:rPr>
        <w:t>单位：</w:t>
      </w:r>
      <w:r>
        <w:rPr>
          <w:color w:val="000000" w:themeColor="text1"/>
        </w:rPr>
        <w:t>Leq dB</w:t>
      </w:r>
      <w:r>
        <w:rPr>
          <w:rFonts w:hint="eastAsia"/>
          <w:color w:val="000000" w:themeColor="text1"/>
        </w:rPr>
        <w:t>（</w:t>
      </w:r>
      <w:r>
        <w:rPr>
          <w:color w:val="000000" w:themeColor="text1"/>
        </w:rPr>
        <w:t>A</w:t>
      </w:r>
      <w:r>
        <w:rPr>
          <w:rFonts w:hint="eastAsia"/>
          <w:color w:val="000000" w:themeColor="text1"/>
        </w:rPr>
        <w:t>）</w:t>
      </w:r>
    </w:p>
    <w:tbl>
      <w:tblPr>
        <w:tblStyle w:val="42"/>
        <w:tblW w:w="81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4218"/>
        <w:gridCol w:w="1275"/>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135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类别</w:t>
            </w:r>
          </w:p>
        </w:tc>
        <w:tc>
          <w:tcPr>
            <w:tcW w:w="421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适用区域</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昼间</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5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2</w:t>
            </w:r>
            <w:r>
              <w:rPr>
                <w:rFonts w:hint="eastAsia"/>
                <w:color w:val="000000" w:themeColor="text1"/>
                <w:kern w:val="0"/>
              </w:rPr>
              <w:t>类</w:t>
            </w:r>
          </w:p>
        </w:tc>
        <w:tc>
          <w:tcPr>
            <w:tcW w:w="421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居住、商业、工业混杂</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60</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50</w:t>
            </w:r>
          </w:p>
        </w:tc>
      </w:tr>
    </w:tbl>
    <w:p>
      <w:pPr>
        <w:ind w:firstLine="480"/>
        <w:rPr>
          <w:color w:val="000000" w:themeColor="text1"/>
        </w:rPr>
      </w:pPr>
      <w:r>
        <w:rPr>
          <w:rFonts w:hint="eastAsia"/>
          <w:color w:val="000000" w:themeColor="text1"/>
        </w:rPr>
        <w:t>5、土壤环境质量标准</w:t>
      </w:r>
    </w:p>
    <w:p>
      <w:pPr>
        <w:ind w:firstLine="480"/>
        <w:rPr>
          <w:bCs/>
          <w:color w:val="000000" w:themeColor="text1"/>
          <w:kern w:val="0"/>
        </w:rPr>
      </w:pPr>
      <w:r>
        <w:rPr>
          <w:rFonts w:hint="eastAsia"/>
          <w:bCs/>
          <w:color w:val="000000" w:themeColor="text1"/>
          <w:kern w:val="0"/>
        </w:rPr>
        <w:t>项目位于砚山县干河乡小龙白村西北侧（县道永红公路西侧），根据项目建设用地规划许可证，项目用地属于工业用地（M），执行《土壤环境质量建设用地</w:t>
      </w:r>
      <w:r>
        <w:rPr>
          <w:bCs/>
          <w:color w:val="000000" w:themeColor="text1"/>
          <w:kern w:val="0"/>
        </w:rPr>
        <w:t xml:space="preserve"> </w:t>
      </w:r>
      <w:r>
        <w:rPr>
          <w:rFonts w:hint="eastAsia"/>
          <w:bCs/>
          <w:color w:val="000000" w:themeColor="text1"/>
          <w:kern w:val="0"/>
        </w:rPr>
        <w:t>土壤污染风险管控标准（试行）》（</w:t>
      </w:r>
      <w:r>
        <w:rPr>
          <w:bCs/>
          <w:color w:val="000000" w:themeColor="text1"/>
          <w:kern w:val="0"/>
        </w:rPr>
        <w:t>GB36600-2018</w:t>
      </w:r>
      <w:r>
        <w:rPr>
          <w:rFonts w:hint="eastAsia"/>
          <w:bCs/>
          <w:color w:val="000000" w:themeColor="text1"/>
          <w:kern w:val="0"/>
        </w:rPr>
        <w:t>）中第二类用地限值，</w:t>
      </w:r>
      <w:r>
        <w:rPr>
          <w:rFonts w:hint="eastAsia"/>
          <w:color w:val="000000" w:themeColor="text1"/>
        </w:rPr>
        <w:t>标准值见表</w:t>
      </w:r>
      <w:r>
        <w:rPr>
          <w:rFonts w:hint="eastAsia"/>
          <w:bCs/>
          <w:color w:val="000000" w:themeColor="text1"/>
          <w:kern w:val="0"/>
        </w:rPr>
        <w:t>1.4.1</w:t>
      </w:r>
      <w:r>
        <w:rPr>
          <w:bCs/>
          <w:color w:val="000000" w:themeColor="text1"/>
          <w:kern w:val="0"/>
        </w:rPr>
        <w:t>-5</w:t>
      </w:r>
      <w:r>
        <w:rPr>
          <w:rFonts w:hint="eastAsia"/>
          <w:bCs/>
          <w:color w:val="000000" w:themeColor="text1"/>
          <w:kern w:val="0"/>
        </w:rPr>
        <w:t>。</w:t>
      </w:r>
    </w:p>
    <w:p>
      <w:pPr>
        <w:pStyle w:val="54"/>
        <w:rPr>
          <w:color w:val="000000" w:themeColor="text1"/>
          <w:kern w:val="0"/>
        </w:rPr>
      </w:pPr>
      <w:r>
        <w:rPr>
          <w:rFonts w:hint="eastAsia"/>
          <w:color w:val="000000" w:themeColor="text1"/>
        </w:rPr>
        <w:t>表</w:t>
      </w:r>
      <w:r>
        <w:rPr>
          <w:color w:val="000000" w:themeColor="text1"/>
        </w:rPr>
        <w:t>1.4</w:t>
      </w:r>
      <w:r>
        <w:rPr>
          <w:rFonts w:hint="eastAsia"/>
          <w:color w:val="000000" w:themeColor="text1"/>
        </w:rPr>
        <w:t>.1</w:t>
      </w:r>
      <w:r>
        <w:rPr>
          <w:color w:val="000000" w:themeColor="text1"/>
        </w:rPr>
        <w:t xml:space="preserve">-5  </w:t>
      </w:r>
      <w:r>
        <w:rPr>
          <w:rFonts w:hint="eastAsia"/>
          <w:color w:val="000000" w:themeColor="text1"/>
        </w:rPr>
        <w:t>土壤评价标准</w:t>
      </w:r>
      <w:r>
        <w:rPr>
          <w:color w:val="000000" w:themeColor="text1"/>
        </w:rPr>
        <w:t xml:space="preserve">  </w:t>
      </w:r>
      <w:r>
        <w:rPr>
          <w:rFonts w:hint="eastAsia"/>
          <w:color w:val="000000" w:themeColor="text1"/>
        </w:rPr>
        <w:t>单位：</w:t>
      </w:r>
      <w:r>
        <w:rPr>
          <w:color w:val="000000" w:themeColor="text1"/>
        </w:rPr>
        <w:t>mg/kg</w:t>
      </w:r>
    </w:p>
    <w:tbl>
      <w:tblPr>
        <w:tblStyle w:val="42"/>
        <w:tblW w:w="73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2341"/>
        <w:gridCol w:w="1800"/>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序号</w:t>
            </w:r>
          </w:p>
        </w:tc>
        <w:tc>
          <w:tcPr>
            <w:tcW w:w="234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项目</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筛选值</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管制值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1</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rFonts w:hint="eastAsia"/>
                <w:color w:val="000000" w:themeColor="text1"/>
              </w:rPr>
              <w:t>六价铬</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5.7</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2</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rFonts w:hint="eastAsia"/>
                <w:color w:val="000000" w:themeColor="text1"/>
              </w:rPr>
              <w:t>铜</w:t>
            </w:r>
            <w:r>
              <w:rPr>
                <w:color w:val="000000" w:themeColor="text1"/>
              </w:rPr>
              <w:t>(Cu)</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18000</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3</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rFonts w:hint="eastAsia"/>
                <w:color w:val="000000" w:themeColor="text1"/>
              </w:rPr>
              <w:t>镍</w:t>
            </w:r>
            <w:r>
              <w:rPr>
                <w:color w:val="000000" w:themeColor="text1"/>
              </w:rPr>
              <w:t>(Ni)</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900</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4</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rFonts w:hint="eastAsia"/>
                <w:color w:val="000000" w:themeColor="text1"/>
              </w:rPr>
              <w:t>铅</w:t>
            </w:r>
            <w:r>
              <w:rPr>
                <w:color w:val="000000" w:themeColor="text1"/>
              </w:rPr>
              <w:t>(Pb)</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800</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5</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rFonts w:hint="eastAsia"/>
                <w:color w:val="000000" w:themeColor="text1"/>
              </w:rPr>
              <w:t>镉</w:t>
            </w:r>
            <w:r>
              <w:rPr>
                <w:color w:val="000000" w:themeColor="text1"/>
              </w:rPr>
              <w:t>(Cd)</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65</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6</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rFonts w:hint="eastAsia"/>
                <w:color w:val="000000" w:themeColor="text1"/>
              </w:rPr>
              <w:t>砷</w:t>
            </w:r>
            <w:r>
              <w:rPr>
                <w:color w:val="000000" w:themeColor="text1"/>
              </w:rPr>
              <w:t xml:space="preserve"> (As)</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60</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7</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rFonts w:hint="eastAsia"/>
                <w:color w:val="000000" w:themeColor="text1"/>
              </w:rPr>
              <w:t>汞</w:t>
            </w:r>
            <w:r>
              <w:rPr>
                <w:color w:val="000000" w:themeColor="text1"/>
              </w:rPr>
              <w:t xml:space="preserve"> (Hg)</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38</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8</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rFonts w:hint="eastAsia"/>
                <w:color w:val="000000" w:themeColor="text1"/>
              </w:rPr>
              <w:t>苯</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4</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9</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rFonts w:hint="eastAsia"/>
                <w:color w:val="000000" w:themeColor="text1"/>
              </w:rPr>
              <w:t>甲苯</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1200</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10</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rFonts w:hint="eastAsia"/>
                <w:color w:val="000000" w:themeColor="text1"/>
              </w:rPr>
              <w:t>乙苯</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28</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11</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rFonts w:hint="eastAsia"/>
                <w:color w:val="000000" w:themeColor="text1"/>
              </w:rPr>
              <w:t>间</w:t>
            </w:r>
            <w:r>
              <w:rPr>
                <w:color w:val="000000" w:themeColor="text1"/>
              </w:rPr>
              <w:t>&amp;</w:t>
            </w:r>
            <w:r>
              <w:rPr>
                <w:rFonts w:hint="eastAsia"/>
                <w:color w:val="000000" w:themeColor="text1"/>
              </w:rPr>
              <w:t>对</w:t>
            </w:r>
            <w:r>
              <w:rPr>
                <w:color w:val="000000" w:themeColor="text1"/>
              </w:rPr>
              <w:t>-</w:t>
            </w:r>
            <w:r>
              <w:rPr>
                <w:rFonts w:hint="eastAsia"/>
                <w:color w:val="000000" w:themeColor="text1"/>
              </w:rPr>
              <w:t>二甲苯</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570</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12</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rFonts w:hint="eastAsia"/>
                <w:color w:val="000000" w:themeColor="text1"/>
              </w:rPr>
              <w:t>苯乙烯</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1290</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13</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rFonts w:hint="eastAsia"/>
                <w:color w:val="000000" w:themeColor="text1"/>
              </w:rPr>
              <w:t>邻</w:t>
            </w:r>
            <w:r>
              <w:rPr>
                <w:color w:val="000000" w:themeColor="text1"/>
              </w:rPr>
              <w:t>-</w:t>
            </w:r>
            <w:r>
              <w:rPr>
                <w:rFonts w:hint="eastAsia"/>
                <w:color w:val="000000" w:themeColor="text1"/>
              </w:rPr>
              <w:t>二甲苯</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640</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14</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color w:val="000000" w:themeColor="text1"/>
              </w:rPr>
              <w:t>1,2-</w:t>
            </w:r>
            <w:r>
              <w:rPr>
                <w:rFonts w:hint="eastAsia"/>
                <w:color w:val="000000" w:themeColor="text1"/>
              </w:rPr>
              <w:t>二氯丙烷</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5</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15</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rFonts w:hint="eastAsia"/>
                <w:color w:val="000000" w:themeColor="text1"/>
              </w:rPr>
              <w:t>氯甲烷</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37</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16</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rFonts w:hint="eastAsia"/>
                <w:color w:val="000000" w:themeColor="text1"/>
              </w:rPr>
              <w:t>氯乙烯</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0.43</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17</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color w:val="000000" w:themeColor="text1"/>
              </w:rPr>
              <w:t>1,1-</w:t>
            </w:r>
            <w:r>
              <w:rPr>
                <w:rFonts w:hint="eastAsia"/>
                <w:color w:val="000000" w:themeColor="text1"/>
              </w:rPr>
              <w:t>二氯乙烯</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66</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18</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rFonts w:hint="eastAsia"/>
                <w:color w:val="000000" w:themeColor="text1"/>
              </w:rPr>
              <w:t>二氯甲烷</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616</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19</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rFonts w:hint="eastAsia"/>
                <w:color w:val="000000" w:themeColor="text1"/>
              </w:rPr>
              <w:t>反</w:t>
            </w:r>
            <w:r>
              <w:rPr>
                <w:color w:val="000000" w:themeColor="text1"/>
              </w:rPr>
              <w:t>-1,2-</w:t>
            </w:r>
            <w:r>
              <w:rPr>
                <w:rFonts w:hint="eastAsia"/>
                <w:color w:val="000000" w:themeColor="text1"/>
              </w:rPr>
              <w:t>二氯乙烯</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54</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20</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color w:val="000000" w:themeColor="text1"/>
              </w:rPr>
              <w:t>1,1-</w:t>
            </w:r>
            <w:r>
              <w:rPr>
                <w:rFonts w:hint="eastAsia"/>
                <w:color w:val="000000" w:themeColor="text1"/>
              </w:rPr>
              <w:t>二氯乙烷</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9</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21</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rFonts w:hint="eastAsia"/>
                <w:color w:val="000000" w:themeColor="text1"/>
              </w:rPr>
              <w:t>顺</w:t>
            </w:r>
            <w:r>
              <w:rPr>
                <w:color w:val="000000" w:themeColor="text1"/>
              </w:rPr>
              <w:t>-1,2-</w:t>
            </w:r>
            <w:r>
              <w:rPr>
                <w:rFonts w:hint="eastAsia"/>
                <w:color w:val="000000" w:themeColor="text1"/>
              </w:rPr>
              <w:t>二氯乙烯</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596</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22</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color w:val="000000" w:themeColor="text1"/>
              </w:rPr>
              <w:t>1,1,1-</w:t>
            </w:r>
            <w:r>
              <w:rPr>
                <w:rFonts w:hint="eastAsia"/>
                <w:color w:val="000000" w:themeColor="text1"/>
              </w:rPr>
              <w:t>三氯乙烷</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840</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23</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rFonts w:hint="eastAsia"/>
                <w:color w:val="000000" w:themeColor="text1"/>
              </w:rPr>
              <w:t>四氯化碳</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2.8</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24</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color w:val="000000" w:themeColor="text1"/>
              </w:rPr>
              <w:t>1,2-</w:t>
            </w:r>
            <w:r>
              <w:rPr>
                <w:rFonts w:hint="eastAsia"/>
                <w:color w:val="000000" w:themeColor="text1"/>
              </w:rPr>
              <w:t>二氯乙烷</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9</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25</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rFonts w:hint="eastAsia"/>
                <w:color w:val="000000" w:themeColor="text1"/>
              </w:rPr>
              <w:t>三氯乙烯</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2.8</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26</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color w:val="000000" w:themeColor="text1"/>
              </w:rPr>
              <w:t>1,1,2-</w:t>
            </w:r>
            <w:r>
              <w:rPr>
                <w:rFonts w:hint="eastAsia"/>
                <w:color w:val="000000" w:themeColor="text1"/>
              </w:rPr>
              <w:t>三氯乙烷</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2.8</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27</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rFonts w:hint="eastAsia"/>
                <w:color w:val="000000" w:themeColor="text1"/>
              </w:rPr>
              <w:t>四氯乙烯</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53</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28</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color w:val="000000" w:themeColor="text1"/>
              </w:rPr>
              <w:t>1,1,1,2-</w:t>
            </w:r>
            <w:r>
              <w:rPr>
                <w:rFonts w:hint="eastAsia"/>
                <w:color w:val="000000" w:themeColor="text1"/>
              </w:rPr>
              <w:t>四氯乙烷</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10</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29</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color w:val="000000" w:themeColor="text1"/>
              </w:rPr>
              <w:t>1,1,2,2-</w:t>
            </w:r>
            <w:r>
              <w:rPr>
                <w:rFonts w:hint="eastAsia"/>
                <w:color w:val="000000" w:themeColor="text1"/>
              </w:rPr>
              <w:t>四氯乙烷</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6.8</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30</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color w:val="000000" w:themeColor="text1"/>
              </w:rPr>
              <w:t>1,2,3-</w:t>
            </w:r>
            <w:r>
              <w:rPr>
                <w:rFonts w:hint="eastAsia"/>
                <w:color w:val="000000" w:themeColor="text1"/>
              </w:rPr>
              <w:t>三氯丙烷</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0.5</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31</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rFonts w:hint="eastAsia"/>
                <w:color w:val="000000" w:themeColor="text1"/>
              </w:rPr>
              <w:t>氯苯</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270</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32</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color w:val="000000" w:themeColor="text1"/>
              </w:rPr>
              <w:t>1,4-</w:t>
            </w:r>
            <w:r>
              <w:rPr>
                <w:rFonts w:hint="eastAsia"/>
                <w:color w:val="000000" w:themeColor="text1"/>
              </w:rPr>
              <w:t>二氯苯</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20</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33</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color w:val="000000" w:themeColor="text1"/>
              </w:rPr>
              <w:t>1,2-</w:t>
            </w:r>
            <w:r>
              <w:rPr>
                <w:rFonts w:hint="eastAsia"/>
                <w:color w:val="000000" w:themeColor="text1"/>
              </w:rPr>
              <w:t>二氯苯</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560</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34</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rFonts w:hint="eastAsia"/>
                <w:color w:val="000000" w:themeColor="text1"/>
              </w:rPr>
              <w:t>氯仿</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0.9</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35</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color w:val="000000" w:themeColor="text1"/>
              </w:rPr>
              <w:t>2-</w:t>
            </w:r>
            <w:r>
              <w:rPr>
                <w:rFonts w:hint="eastAsia"/>
                <w:color w:val="000000" w:themeColor="text1"/>
              </w:rPr>
              <w:t>氯苯酚</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2256</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36</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rFonts w:hint="eastAsia"/>
                <w:color w:val="000000" w:themeColor="text1"/>
              </w:rPr>
              <w:t>萘</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70</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37</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rFonts w:hint="eastAsia"/>
                <w:color w:val="000000" w:themeColor="text1"/>
              </w:rPr>
              <w:t>苯并</w:t>
            </w:r>
            <w:r>
              <w:rPr>
                <w:color w:val="000000" w:themeColor="text1"/>
              </w:rPr>
              <w:t>(a)</w:t>
            </w:r>
            <w:r>
              <w:rPr>
                <w:rFonts w:hint="eastAsia"/>
                <w:color w:val="000000" w:themeColor="text1"/>
              </w:rPr>
              <w:t>蒽</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15</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38</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rFonts w:hint="eastAsia"/>
                <w:color w:val="000000" w:themeColor="text1"/>
              </w:rPr>
              <w:t>䓛</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1293</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39</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rFonts w:hint="eastAsia"/>
                <w:color w:val="000000" w:themeColor="text1"/>
              </w:rPr>
              <w:t>苯并</w:t>
            </w:r>
            <w:r>
              <w:rPr>
                <w:color w:val="000000" w:themeColor="text1"/>
              </w:rPr>
              <w:t>(b)</w:t>
            </w:r>
            <w:r>
              <w:rPr>
                <w:rFonts w:hint="eastAsia"/>
                <w:color w:val="000000" w:themeColor="text1"/>
              </w:rPr>
              <w:t>荧蒽</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15</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40</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rFonts w:hint="eastAsia"/>
                <w:color w:val="000000" w:themeColor="text1"/>
              </w:rPr>
              <w:t>苯并</w:t>
            </w:r>
            <w:r>
              <w:rPr>
                <w:color w:val="000000" w:themeColor="text1"/>
              </w:rPr>
              <w:t>(k)</w:t>
            </w:r>
            <w:r>
              <w:rPr>
                <w:rFonts w:hint="eastAsia"/>
                <w:color w:val="000000" w:themeColor="text1"/>
              </w:rPr>
              <w:t>荧蒽</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151</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41</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rFonts w:hint="eastAsia"/>
                <w:color w:val="000000" w:themeColor="text1"/>
              </w:rPr>
              <w:t>苯并</w:t>
            </w:r>
            <w:r>
              <w:rPr>
                <w:color w:val="000000" w:themeColor="text1"/>
              </w:rPr>
              <w:t>(a)</w:t>
            </w:r>
            <w:r>
              <w:rPr>
                <w:rFonts w:hint="eastAsia"/>
                <w:color w:val="000000" w:themeColor="text1"/>
              </w:rPr>
              <w:t>芘</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1.5</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42</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rFonts w:hint="eastAsia"/>
                <w:color w:val="000000" w:themeColor="text1"/>
              </w:rPr>
              <w:t>茚并</w:t>
            </w:r>
            <w:r>
              <w:rPr>
                <w:color w:val="000000" w:themeColor="text1"/>
              </w:rPr>
              <w:t>(1,2,3-cd)</w:t>
            </w:r>
            <w:r>
              <w:rPr>
                <w:rFonts w:hint="eastAsia"/>
                <w:color w:val="000000" w:themeColor="text1"/>
              </w:rPr>
              <w:t>芘</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15</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43</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rFonts w:hint="eastAsia"/>
                <w:color w:val="000000" w:themeColor="text1"/>
              </w:rPr>
              <w:t>二苯并</w:t>
            </w:r>
            <w:r>
              <w:rPr>
                <w:color w:val="000000" w:themeColor="text1"/>
              </w:rPr>
              <w:t>(a,h)</w:t>
            </w:r>
            <w:r>
              <w:rPr>
                <w:rFonts w:hint="eastAsia"/>
                <w:color w:val="000000" w:themeColor="text1"/>
              </w:rPr>
              <w:t>蒽</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1.5</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44</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rFonts w:hint="eastAsia"/>
                <w:color w:val="000000" w:themeColor="text1"/>
              </w:rPr>
              <w:t>硝基苯</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76</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268"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45</w:t>
            </w:r>
          </w:p>
        </w:tc>
        <w:tc>
          <w:tcPr>
            <w:tcW w:w="2341" w:type="dxa"/>
            <w:tcBorders>
              <w:top w:val="single" w:color="auto" w:sz="4" w:space="0"/>
              <w:left w:val="single" w:color="auto" w:sz="4" w:space="0"/>
              <w:bottom w:val="single" w:color="auto" w:sz="4" w:space="0"/>
              <w:right w:val="single" w:color="auto" w:sz="4" w:space="0"/>
            </w:tcBorders>
            <w:noWrap/>
            <w:vAlign w:val="center"/>
          </w:tcPr>
          <w:p>
            <w:pPr>
              <w:pStyle w:val="55"/>
              <w:rPr>
                <w:color w:val="000000" w:themeColor="text1"/>
              </w:rPr>
            </w:pPr>
            <w:r>
              <w:rPr>
                <w:rFonts w:hint="eastAsia"/>
                <w:color w:val="000000" w:themeColor="text1"/>
              </w:rPr>
              <w:t>苯胺</w:t>
            </w:r>
          </w:p>
        </w:tc>
        <w:tc>
          <w:tcPr>
            <w:tcW w:w="180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260</w:t>
            </w:r>
          </w:p>
        </w:tc>
        <w:tc>
          <w:tcPr>
            <w:tcW w:w="198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663</w:t>
            </w:r>
          </w:p>
        </w:tc>
      </w:tr>
    </w:tbl>
    <w:p>
      <w:pPr>
        <w:pStyle w:val="38"/>
        <w:ind w:firstLine="281"/>
        <w:rPr>
          <w:color w:val="000000" w:themeColor="text1"/>
        </w:rPr>
      </w:pPr>
      <w:bookmarkStart w:id="16" w:name="_Toc47375780"/>
      <w:r>
        <w:rPr>
          <w:rFonts w:hint="eastAsia"/>
          <w:color w:val="000000" w:themeColor="text1"/>
        </w:rPr>
        <w:t>1.4.2污染物排放标准</w:t>
      </w:r>
      <w:bookmarkEnd w:id="16"/>
    </w:p>
    <w:p>
      <w:pPr>
        <w:ind w:firstLine="480"/>
        <w:rPr>
          <w:color w:val="000000" w:themeColor="text1"/>
        </w:rPr>
      </w:pPr>
      <w:r>
        <w:rPr>
          <w:rFonts w:hint="eastAsia"/>
          <w:color w:val="000000" w:themeColor="text1"/>
        </w:rPr>
        <w:t>1、废气排放标准</w:t>
      </w:r>
    </w:p>
    <w:p>
      <w:pPr>
        <w:ind w:firstLine="480"/>
        <w:rPr>
          <w:color w:val="000000" w:themeColor="text1"/>
        </w:rPr>
      </w:pPr>
      <w:r>
        <w:rPr>
          <w:rFonts w:hint="eastAsia"/>
          <w:color w:val="000000" w:themeColor="text1"/>
        </w:rPr>
        <w:t>（1）施工期废气排放标准</w:t>
      </w:r>
    </w:p>
    <w:p>
      <w:pPr>
        <w:ind w:firstLine="480"/>
        <w:rPr>
          <w:color w:val="000000" w:themeColor="text1"/>
          <w:szCs w:val="24"/>
        </w:rPr>
      </w:pPr>
      <w:r>
        <w:rPr>
          <w:rFonts w:hint="eastAsia"/>
          <w:color w:val="000000" w:themeColor="text1"/>
          <w:szCs w:val="24"/>
        </w:rPr>
        <w:t>施工期执行《大气污染物综合排放标准》（</w:t>
      </w:r>
      <w:r>
        <w:rPr>
          <w:color w:val="000000" w:themeColor="text1"/>
          <w:szCs w:val="24"/>
        </w:rPr>
        <w:t>GB16297-1996</w:t>
      </w:r>
      <w:r>
        <w:rPr>
          <w:rFonts w:hint="eastAsia"/>
          <w:color w:val="000000" w:themeColor="text1"/>
          <w:szCs w:val="24"/>
        </w:rPr>
        <w:t>）颗粒物无组织排放监控浓度限值标准。</w:t>
      </w:r>
    </w:p>
    <w:p>
      <w:pPr>
        <w:pStyle w:val="54"/>
        <w:rPr>
          <w:color w:val="000000" w:themeColor="text1"/>
          <w:szCs w:val="24"/>
        </w:rPr>
      </w:pPr>
      <w:r>
        <w:rPr>
          <w:rFonts w:hint="eastAsia"/>
          <w:color w:val="000000" w:themeColor="text1"/>
        </w:rPr>
        <w:t>表1.4.2</w:t>
      </w:r>
      <w:r>
        <w:rPr>
          <w:color w:val="000000" w:themeColor="text1"/>
        </w:rPr>
        <w:t>-</w:t>
      </w:r>
      <w:r>
        <w:rPr>
          <w:rFonts w:hint="eastAsia"/>
          <w:color w:val="000000" w:themeColor="text1"/>
        </w:rPr>
        <w:t>1</w:t>
      </w:r>
      <w:r>
        <w:rPr>
          <w:color w:val="000000" w:themeColor="text1"/>
        </w:rPr>
        <w:t xml:space="preserve"> </w:t>
      </w:r>
      <w:r>
        <w:rPr>
          <w:rFonts w:hint="eastAsia"/>
          <w:color w:val="000000" w:themeColor="text1"/>
        </w:rPr>
        <w:t>大气污染物综合排放标准</w:t>
      </w:r>
    </w:p>
    <w:tbl>
      <w:tblPr>
        <w:tblStyle w:val="42"/>
        <w:tblW w:w="7977" w:type="dxa"/>
        <w:jc w:val="center"/>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1"/>
        <w:gridCol w:w="3147"/>
        <w:gridCol w:w="3119"/>
      </w:tblGrid>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 w:hRule="atLeast"/>
          <w:jc w:val="center"/>
        </w:trPr>
        <w:tc>
          <w:tcPr>
            <w:tcW w:w="1711" w:type="dxa"/>
            <w:tcBorders>
              <w:top w:val="single" w:color="auto" w:sz="4" w:space="0"/>
              <w:left w:val="single" w:color="auto" w:sz="4" w:space="0"/>
              <w:bottom w:val="single" w:color="auto" w:sz="4" w:space="0"/>
              <w:right w:val="single" w:color="auto" w:sz="4" w:space="0"/>
            </w:tcBorders>
            <w:vAlign w:val="center"/>
          </w:tcPr>
          <w:p>
            <w:pPr>
              <w:pStyle w:val="61"/>
              <w:rPr>
                <w:rFonts w:ascii="Times New Roman" w:hAnsi="Times New Roman"/>
                <w:color w:val="000000" w:themeColor="text1"/>
              </w:rPr>
            </w:pPr>
            <w:r>
              <w:rPr>
                <w:rFonts w:ascii="Times New Roman"/>
                <w:color w:val="000000" w:themeColor="text1"/>
              </w:rPr>
              <w:t>污染物</w:t>
            </w:r>
          </w:p>
        </w:tc>
        <w:tc>
          <w:tcPr>
            <w:tcW w:w="6266" w:type="dxa"/>
            <w:gridSpan w:val="2"/>
            <w:tcBorders>
              <w:top w:val="single" w:color="auto" w:sz="4" w:space="0"/>
              <w:left w:val="single" w:color="auto" w:sz="4" w:space="0"/>
              <w:bottom w:val="single" w:color="auto" w:sz="4" w:space="0"/>
              <w:right w:val="single" w:color="auto" w:sz="4" w:space="0"/>
            </w:tcBorders>
            <w:vAlign w:val="center"/>
          </w:tcPr>
          <w:p>
            <w:pPr>
              <w:pStyle w:val="61"/>
              <w:rPr>
                <w:rFonts w:ascii="Times New Roman" w:hAnsi="Times New Roman"/>
                <w:color w:val="000000" w:themeColor="text1"/>
              </w:rPr>
            </w:pPr>
            <w:r>
              <w:rPr>
                <w:rFonts w:ascii="Times New Roman"/>
                <w:color w:val="000000" w:themeColor="text1"/>
              </w:rPr>
              <w:t>无组织排放监控浓度限值</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 w:hRule="atLeast"/>
          <w:jc w:val="center"/>
        </w:trPr>
        <w:tc>
          <w:tcPr>
            <w:tcW w:w="1711" w:type="dxa"/>
            <w:vMerge w:val="restart"/>
            <w:tcBorders>
              <w:top w:val="single" w:color="auto" w:sz="4" w:space="0"/>
              <w:left w:val="single" w:color="auto" w:sz="4" w:space="0"/>
              <w:bottom w:val="single" w:color="auto" w:sz="4" w:space="0"/>
              <w:right w:val="single" w:color="auto" w:sz="4" w:space="0"/>
            </w:tcBorders>
            <w:vAlign w:val="center"/>
          </w:tcPr>
          <w:p>
            <w:pPr>
              <w:pStyle w:val="61"/>
              <w:rPr>
                <w:rFonts w:ascii="Times New Roman" w:hAnsi="Times New Roman"/>
                <w:color w:val="000000" w:themeColor="text1"/>
              </w:rPr>
            </w:pPr>
            <w:r>
              <w:rPr>
                <w:rFonts w:ascii="Times New Roman"/>
                <w:color w:val="000000" w:themeColor="text1"/>
              </w:rPr>
              <w:t>颗粒物</w:t>
            </w:r>
          </w:p>
        </w:tc>
        <w:tc>
          <w:tcPr>
            <w:tcW w:w="3147" w:type="dxa"/>
            <w:tcBorders>
              <w:top w:val="single" w:color="auto" w:sz="4" w:space="0"/>
              <w:left w:val="single" w:color="auto" w:sz="4" w:space="0"/>
              <w:bottom w:val="single" w:color="auto" w:sz="4" w:space="0"/>
              <w:right w:val="single" w:color="auto" w:sz="4" w:space="0"/>
            </w:tcBorders>
            <w:vAlign w:val="center"/>
          </w:tcPr>
          <w:p>
            <w:pPr>
              <w:pStyle w:val="61"/>
              <w:rPr>
                <w:rFonts w:ascii="Times New Roman" w:hAnsi="Times New Roman"/>
                <w:color w:val="000000" w:themeColor="text1"/>
              </w:rPr>
            </w:pPr>
            <w:r>
              <w:rPr>
                <w:rFonts w:ascii="Times New Roman"/>
                <w:color w:val="000000" w:themeColor="text1"/>
              </w:rPr>
              <w:t>监控点</w:t>
            </w:r>
          </w:p>
        </w:tc>
        <w:tc>
          <w:tcPr>
            <w:tcW w:w="3119" w:type="dxa"/>
            <w:tcBorders>
              <w:top w:val="single" w:color="auto" w:sz="4" w:space="0"/>
              <w:left w:val="single" w:color="auto" w:sz="4" w:space="0"/>
              <w:bottom w:val="single" w:color="auto" w:sz="4" w:space="0"/>
              <w:right w:val="single" w:color="auto" w:sz="4" w:space="0"/>
            </w:tcBorders>
            <w:vAlign w:val="center"/>
          </w:tcPr>
          <w:p>
            <w:pPr>
              <w:pStyle w:val="61"/>
              <w:rPr>
                <w:rFonts w:ascii="Times New Roman" w:hAnsi="Times New Roman"/>
                <w:color w:val="000000" w:themeColor="text1"/>
              </w:rPr>
            </w:pPr>
            <w:r>
              <w:rPr>
                <w:rFonts w:ascii="Times New Roman"/>
                <w:color w:val="000000" w:themeColor="text1"/>
              </w:rPr>
              <w:t>浓度（</w:t>
            </w:r>
            <w:r>
              <w:rPr>
                <w:rFonts w:ascii="Times New Roman" w:hAnsi="Times New Roman"/>
                <w:color w:val="000000" w:themeColor="text1"/>
              </w:rPr>
              <w:t>mg/m</w:t>
            </w:r>
            <w:r>
              <w:rPr>
                <w:rFonts w:ascii="Times New Roman" w:hAnsi="Times New Roman"/>
                <w:color w:val="000000" w:themeColor="text1"/>
                <w:vertAlign w:val="superscript"/>
              </w:rPr>
              <w:t>3</w:t>
            </w:r>
            <w:r>
              <w:rPr>
                <w:rFonts w:ascii="Times New Roman"/>
                <w:color w:val="000000" w:themeColor="text1"/>
              </w:rPr>
              <w:t>）</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 w:hRule="atLeast"/>
          <w:jc w:val="center"/>
        </w:trPr>
        <w:tc>
          <w:tcPr>
            <w:tcW w:w="1711" w:type="dxa"/>
            <w:vMerge w:val="continue"/>
            <w:tcBorders>
              <w:top w:val="single" w:color="auto" w:sz="4" w:space="0"/>
              <w:left w:val="single" w:color="auto" w:sz="4" w:space="0"/>
              <w:bottom w:val="single" w:color="auto" w:sz="4" w:space="0"/>
              <w:right w:val="single" w:color="auto" w:sz="4" w:space="0"/>
            </w:tcBorders>
            <w:vAlign w:val="center"/>
          </w:tcPr>
          <w:p>
            <w:pPr>
              <w:pStyle w:val="61"/>
              <w:rPr>
                <w:rFonts w:ascii="Times New Roman" w:hAnsi="Times New Roman"/>
                <w:color w:val="000000" w:themeColor="text1"/>
              </w:rPr>
            </w:pPr>
          </w:p>
        </w:tc>
        <w:tc>
          <w:tcPr>
            <w:tcW w:w="3147" w:type="dxa"/>
            <w:tcBorders>
              <w:top w:val="single" w:color="auto" w:sz="4" w:space="0"/>
              <w:left w:val="single" w:color="auto" w:sz="4" w:space="0"/>
              <w:bottom w:val="single" w:color="auto" w:sz="4" w:space="0"/>
              <w:right w:val="single" w:color="auto" w:sz="4" w:space="0"/>
            </w:tcBorders>
            <w:vAlign w:val="center"/>
          </w:tcPr>
          <w:p>
            <w:pPr>
              <w:pStyle w:val="61"/>
              <w:rPr>
                <w:rFonts w:ascii="Times New Roman" w:hAnsi="Times New Roman"/>
                <w:color w:val="000000" w:themeColor="text1"/>
              </w:rPr>
            </w:pPr>
            <w:r>
              <w:rPr>
                <w:rFonts w:ascii="Times New Roman"/>
                <w:color w:val="000000" w:themeColor="text1"/>
              </w:rPr>
              <w:t>周界外浓度最高点</w:t>
            </w:r>
          </w:p>
        </w:tc>
        <w:tc>
          <w:tcPr>
            <w:tcW w:w="3119" w:type="dxa"/>
            <w:tcBorders>
              <w:top w:val="single" w:color="auto" w:sz="4" w:space="0"/>
              <w:left w:val="single" w:color="auto" w:sz="4" w:space="0"/>
              <w:bottom w:val="single" w:color="auto" w:sz="4" w:space="0"/>
              <w:right w:val="single" w:color="auto" w:sz="4" w:space="0"/>
            </w:tcBorders>
            <w:vAlign w:val="center"/>
          </w:tcPr>
          <w:p>
            <w:pPr>
              <w:pStyle w:val="61"/>
              <w:rPr>
                <w:rFonts w:ascii="Times New Roman" w:hAnsi="Times New Roman"/>
                <w:color w:val="000000" w:themeColor="text1"/>
              </w:rPr>
            </w:pPr>
            <w:r>
              <w:rPr>
                <w:rFonts w:ascii="Times New Roman" w:hAnsi="Times New Roman"/>
                <w:color w:val="000000" w:themeColor="text1"/>
              </w:rPr>
              <w:t>1.0</w:t>
            </w:r>
          </w:p>
        </w:tc>
      </w:tr>
    </w:tbl>
    <w:p>
      <w:pPr>
        <w:ind w:firstLine="480"/>
        <w:rPr>
          <w:color w:val="000000" w:themeColor="text1"/>
        </w:rPr>
      </w:pPr>
      <w:r>
        <w:rPr>
          <w:rFonts w:hint="eastAsia"/>
          <w:color w:val="000000" w:themeColor="text1"/>
        </w:rPr>
        <w:t>（2）运营期废气排放标准</w:t>
      </w:r>
    </w:p>
    <w:p>
      <w:pPr>
        <w:ind w:firstLine="480"/>
        <w:rPr>
          <w:color w:val="000000" w:themeColor="text1"/>
        </w:rPr>
      </w:pPr>
      <w:r>
        <w:rPr>
          <w:rFonts w:hint="eastAsia"/>
          <w:color w:val="000000" w:themeColor="text1"/>
        </w:rPr>
        <w:t>①恶臭：本项目运营期排放的恶臭气体主要来自于待宰圈、屠宰间及污水处理站。恶臭气体中 H</w:t>
      </w:r>
      <w:r>
        <w:rPr>
          <w:rFonts w:hint="eastAsia"/>
          <w:color w:val="000000" w:themeColor="text1"/>
          <w:vertAlign w:val="subscript"/>
        </w:rPr>
        <w:t>2</w:t>
      </w:r>
      <w:r>
        <w:rPr>
          <w:rFonts w:hint="eastAsia"/>
          <w:color w:val="000000" w:themeColor="text1"/>
        </w:rPr>
        <w:t>S、NH</w:t>
      </w:r>
      <w:r>
        <w:rPr>
          <w:rFonts w:hint="eastAsia"/>
          <w:color w:val="000000" w:themeColor="text1"/>
          <w:vertAlign w:val="subscript"/>
        </w:rPr>
        <w:t>3</w:t>
      </w:r>
      <w:r>
        <w:rPr>
          <w:rFonts w:hint="eastAsia"/>
          <w:color w:val="000000" w:themeColor="text1"/>
        </w:rPr>
        <w:t>、臭气浓度排放执行《恶臭污染物排放标准》（GB14554-93）中相应标准值。具体见表1.4.2-2。</w:t>
      </w:r>
    </w:p>
    <w:p>
      <w:pPr>
        <w:pStyle w:val="54"/>
        <w:rPr>
          <w:color w:val="000000" w:themeColor="text1"/>
        </w:rPr>
      </w:pPr>
      <w:r>
        <w:rPr>
          <w:rFonts w:hint="eastAsia"/>
          <w:color w:val="000000" w:themeColor="text1"/>
        </w:rPr>
        <w:t>表1.4.2-2  恶臭气体排放执行标准</w:t>
      </w:r>
    </w:p>
    <w:tbl>
      <w:tblPr>
        <w:tblStyle w:val="42"/>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8"/>
        <w:gridCol w:w="2096"/>
        <w:gridCol w:w="2552"/>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44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污染物名称</w:t>
            </w:r>
          </w:p>
        </w:tc>
        <w:tc>
          <w:tcPr>
            <w:tcW w:w="209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排气筒高度（m）</w:t>
            </w:r>
          </w:p>
        </w:tc>
        <w:tc>
          <w:tcPr>
            <w:tcW w:w="25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最高允许排放速率（kg/h）</w:t>
            </w:r>
          </w:p>
        </w:tc>
        <w:tc>
          <w:tcPr>
            <w:tcW w:w="240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厂界浓度限值（mg/m</w:t>
            </w:r>
            <w:r>
              <w:rPr>
                <w:rFonts w:hint="eastAsia"/>
                <w:color w:val="000000" w:themeColor="text1"/>
                <w:vertAlign w:val="superscript"/>
              </w:rPr>
              <w:t>3</w:t>
            </w:r>
            <w:r>
              <w:rPr>
                <w:rFonts w:hint="eastAsia"/>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44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氨</w:t>
            </w:r>
          </w:p>
        </w:tc>
        <w:tc>
          <w:tcPr>
            <w:tcW w:w="209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15</w:t>
            </w:r>
          </w:p>
        </w:tc>
        <w:tc>
          <w:tcPr>
            <w:tcW w:w="25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4.9</w:t>
            </w:r>
          </w:p>
        </w:tc>
        <w:tc>
          <w:tcPr>
            <w:tcW w:w="240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44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硫化氢</w:t>
            </w:r>
          </w:p>
        </w:tc>
        <w:tc>
          <w:tcPr>
            <w:tcW w:w="209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15</w:t>
            </w:r>
          </w:p>
        </w:tc>
        <w:tc>
          <w:tcPr>
            <w:tcW w:w="25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0.33</w:t>
            </w:r>
          </w:p>
        </w:tc>
        <w:tc>
          <w:tcPr>
            <w:tcW w:w="240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44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臭气浓度</w:t>
            </w:r>
          </w:p>
        </w:tc>
        <w:tc>
          <w:tcPr>
            <w:tcW w:w="209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15</w:t>
            </w:r>
          </w:p>
        </w:tc>
        <w:tc>
          <w:tcPr>
            <w:tcW w:w="25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2000（无量纲）</w:t>
            </w:r>
          </w:p>
        </w:tc>
        <w:tc>
          <w:tcPr>
            <w:tcW w:w="240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20（无量纲）</w:t>
            </w:r>
          </w:p>
        </w:tc>
      </w:tr>
    </w:tbl>
    <w:p>
      <w:pPr>
        <w:ind w:firstLine="480"/>
        <w:rPr>
          <w:color w:val="000000" w:themeColor="text1"/>
        </w:rPr>
      </w:pPr>
      <w:r>
        <w:rPr>
          <w:rFonts w:hint="eastAsia"/>
          <w:color w:val="000000" w:themeColor="text1"/>
        </w:rPr>
        <w:t>②锅炉废气：项目在冬季或天气恶劣时采用生物质锅炉烧热水，根据《锅炉大气污染物排放标准》（</w:t>
      </w:r>
      <w:r>
        <w:rPr>
          <w:color w:val="000000" w:themeColor="text1"/>
        </w:rPr>
        <w:t>GB13271-2014</w:t>
      </w:r>
      <w:r>
        <w:rPr>
          <w:rFonts w:hint="eastAsia"/>
          <w:color w:val="000000" w:themeColor="text1"/>
        </w:rPr>
        <w:t>）中表</w:t>
      </w:r>
      <w:r>
        <w:rPr>
          <w:color w:val="000000" w:themeColor="text1"/>
        </w:rPr>
        <w:t>2</w:t>
      </w:r>
      <w:r>
        <w:rPr>
          <w:rFonts w:hint="eastAsia"/>
          <w:color w:val="000000" w:themeColor="text1"/>
        </w:rPr>
        <w:t>规定的限值，项目运营期锅炉废气执行《锅炉大气污染物排放标准》（</w:t>
      </w:r>
      <w:r>
        <w:rPr>
          <w:color w:val="000000" w:themeColor="text1"/>
        </w:rPr>
        <w:t>GB13271-2014</w:t>
      </w:r>
      <w:r>
        <w:rPr>
          <w:rFonts w:hint="eastAsia"/>
          <w:color w:val="000000" w:themeColor="text1"/>
        </w:rPr>
        <w:t>）表</w:t>
      </w:r>
      <w:r>
        <w:rPr>
          <w:color w:val="000000" w:themeColor="text1"/>
        </w:rPr>
        <w:t>2</w:t>
      </w:r>
      <w:r>
        <w:rPr>
          <w:rFonts w:hint="eastAsia"/>
          <w:color w:val="000000" w:themeColor="text1"/>
        </w:rPr>
        <w:t>中相关要求，标准值详见表1.4.2-3。</w:t>
      </w:r>
    </w:p>
    <w:p>
      <w:pPr>
        <w:pStyle w:val="54"/>
        <w:rPr>
          <w:color w:val="000000" w:themeColor="text1"/>
        </w:rPr>
      </w:pPr>
      <w:r>
        <w:rPr>
          <w:rFonts w:hint="eastAsia"/>
          <w:color w:val="000000" w:themeColor="text1"/>
        </w:rPr>
        <w:t>表1.4.2-3</w:t>
      </w:r>
      <w:r>
        <w:rPr>
          <w:color w:val="000000" w:themeColor="text1"/>
        </w:rPr>
        <w:t xml:space="preserve"> </w:t>
      </w:r>
      <w:r>
        <w:rPr>
          <w:rFonts w:hint="eastAsia"/>
          <w:color w:val="000000" w:themeColor="text1"/>
        </w:rPr>
        <w:t>锅炉大气污染物综合排放标准</w:t>
      </w:r>
      <w:r>
        <w:rPr>
          <w:color w:val="000000" w:themeColor="text1"/>
        </w:rPr>
        <w:t xml:space="preserve">   </w:t>
      </w:r>
      <w:r>
        <w:rPr>
          <w:rFonts w:hint="eastAsia"/>
          <w:color w:val="000000" w:themeColor="text1"/>
        </w:rPr>
        <w:t>单位：</w:t>
      </w:r>
      <w:r>
        <w:rPr>
          <w:color w:val="000000" w:themeColor="text1"/>
        </w:rPr>
        <w:t>mg/m³</w:t>
      </w:r>
    </w:p>
    <w:tbl>
      <w:tblPr>
        <w:tblStyle w:val="42"/>
        <w:tblpPr w:leftFromText="180" w:rightFromText="180" w:vertAnchor="text" w:tblpXSpec="center" w:tblpY="1"/>
        <w:tblOverlap w:val="never"/>
        <w:tblW w:w="71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27"/>
        <w:gridCol w:w="1021"/>
        <w:gridCol w:w="709"/>
        <w:gridCol w:w="85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322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标准</w:t>
            </w:r>
          </w:p>
        </w:tc>
        <w:tc>
          <w:tcPr>
            <w:tcW w:w="102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rPr>
              <w:t>TSP</w:t>
            </w:r>
          </w:p>
        </w:tc>
        <w:tc>
          <w:tcPr>
            <w:tcW w:w="70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rPr>
              <w:t>SO</w:t>
            </w:r>
            <w:r>
              <w:rPr>
                <w:color w:val="000000" w:themeColor="text1"/>
                <w:vertAlign w:val="subscript"/>
              </w:rPr>
              <w:t>2</w:t>
            </w:r>
          </w:p>
        </w:tc>
        <w:tc>
          <w:tcPr>
            <w:tcW w:w="85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rPr>
              <w:t>NOx</w:t>
            </w:r>
          </w:p>
        </w:tc>
        <w:tc>
          <w:tcPr>
            <w:tcW w:w="133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林格曼黑度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322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《锅炉大气污染物排放标准》（</w:t>
            </w:r>
            <w:r>
              <w:rPr>
                <w:color w:val="000000" w:themeColor="text1"/>
              </w:rPr>
              <w:t>GB13271-2014</w:t>
            </w:r>
            <w:r>
              <w:rPr>
                <w:rFonts w:hint="eastAsia"/>
                <w:color w:val="000000" w:themeColor="text1"/>
              </w:rPr>
              <w:t>）</w:t>
            </w:r>
          </w:p>
        </w:tc>
        <w:tc>
          <w:tcPr>
            <w:tcW w:w="102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rPr>
              <w:t>50</w:t>
            </w:r>
          </w:p>
        </w:tc>
        <w:tc>
          <w:tcPr>
            <w:tcW w:w="70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rPr>
              <w:t>300</w:t>
            </w:r>
          </w:p>
        </w:tc>
        <w:tc>
          <w:tcPr>
            <w:tcW w:w="85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rPr>
              <w:t>300</w:t>
            </w:r>
          </w:p>
        </w:tc>
        <w:tc>
          <w:tcPr>
            <w:tcW w:w="133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szCs w:val="24"/>
              </w:rPr>
              <w:t>≤1</w:t>
            </w:r>
            <w:r>
              <w:rPr>
                <w:rFonts w:hint="eastAsia"/>
                <w:color w:val="000000" w:themeColor="text1"/>
                <w:szCs w:val="24"/>
              </w:rPr>
              <w:t>级</w:t>
            </w:r>
          </w:p>
        </w:tc>
      </w:tr>
    </w:tbl>
    <w:p>
      <w:pPr>
        <w:ind w:firstLine="480"/>
        <w:rPr>
          <w:color w:val="000000" w:themeColor="text1"/>
        </w:rPr>
      </w:pPr>
    </w:p>
    <w:p>
      <w:pPr>
        <w:ind w:firstLine="480"/>
        <w:rPr>
          <w:color w:val="000000" w:themeColor="text1"/>
        </w:rPr>
      </w:pPr>
    </w:p>
    <w:p>
      <w:pPr>
        <w:ind w:firstLine="480"/>
        <w:rPr>
          <w:color w:val="000000" w:themeColor="text1"/>
        </w:rPr>
      </w:pPr>
    </w:p>
    <w:p>
      <w:pPr>
        <w:ind w:firstLine="480"/>
        <w:rPr>
          <w:color w:val="000000" w:themeColor="text1"/>
        </w:rPr>
      </w:pPr>
      <w:r>
        <w:rPr>
          <w:rFonts w:hint="eastAsia"/>
          <w:color w:val="000000" w:themeColor="text1"/>
        </w:rPr>
        <w:t>③焚烧炉尾气</w:t>
      </w:r>
    </w:p>
    <w:p>
      <w:pPr>
        <w:ind w:firstLine="480"/>
        <w:rPr>
          <w:color w:val="000000" w:themeColor="text1"/>
        </w:rPr>
      </w:pPr>
      <w:r>
        <w:rPr>
          <w:rFonts w:hint="eastAsia"/>
          <w:color w:val="000000" w:themeColor="text1"/>
        </w:rPr>
        <w:t>项目焚烧炉尾气中</w:t>
      </w:r>
      <w:r>
        <w:rPr>
          <w:color w:val="000000" w:themeColor="text1"/>
        </w:rPr>
        <w:t>SO</w:t>
      </w:r>
      <w:r>
        <w:rPr>
          <w:color w:val="000000" w:themeColor="text1"/>
          <w:vertAlign w:val="subscript"/>
        </w:rPr>
        <w:t>2</w:t>
      </w:r>
      <w:r>
        <w:rPr>
          <w:rFonts w:hint="eastAsia"/>
          <w:color w:val="000000" w:themeColor="text1"/>
        </w:rPr>
        <w:t>、颗粒物、</w:t>
      </w:r>
      <w:r>
        <w:rPr>
          <w:color w:val="000000" w:themeColor="text1"/>
        </w:rPr>
        <w:t>NOx</w:t>
      </w:r>
      <w:r>
        <w:rPr>
          <w:rFonts w:hint="eastAsia"/>
          <w:color w:val="000000" w:themeColor="text1"/>
        </w:rPr>
        <w:t>排放执行《危险废物焚烧污染控制标准》（GB18484-2001）表 3 中标准限值，其标准值详见表</w:t>
      </w:r>
      <w:r>
        <w:rPr>
          <w:color w:val="000000" w:themeColor="text1"/>
        </w:rPr>
        <w:t>1.</w:t>
      </w:r>
      <w:r>
        <w:rPr>
          <w:rFonts w:hint="eastAsia"/>
          <w:color w:val="000000" w:themeColor="text1"/>
        </w:rPr>
        <w:t>4.2</w:t>
      </w:r>
      <w:r>
        <w:rPr>
          <w:color w:val="000000" w:themeColor="text1"/>
        </w:rPr>
        <w:t>-</w:t>
      </w:r>
      <w:r>
        <w:rPr>
          <w:rFonts w:hint="eastAsia"/>
          <w:color w:val="000000" w:themeColor="text1"/>
        </w:rPr>
        <w:t>4。</w:t>
      </w:r>
    </w:p>
    <w:p>
      <w:pPr>
        <w:pStyle w:val="54"/>
        <w:rPr>
          <w:color w:val="000000" w:themeColor="text1"/>
        </w:rPr>
      </w:pPr>
      <w:r>
        <w:rPr>
          <w:rFonts w:hint="eastAsia"/>
          <w:color w:val="000000" w:themeColor="text1"/>
        </w:rPr>
        <w:t>表1.4.2-4</w:t>
      </w:r>
      <w:r>
        <w:rPr>
          <w:color w:val="000000" w:themeColor="text1"/>
        </w:rPr>
        <w:t xml:space="preserve"> </w:t>
      </w:r>
      <w:r>
        <w:rPr>
          <w:rFonts w:hint="eastAsia"/>
          <w:color w:val="000000" w:themeColor="text1"/>
        </w:rPr>
        <w:t xml:space="preserve"> 焚烧炉尾气排放标准   单位：</w:t>
      </w:r>
      <w:r>
        <w:rPr>
          <w:color w:val="000000" w:themeColor="text1"/>
        </w:rPr>
        <w:t>mg/m³</w:t>
      </w:r>
    </w:p>
    <w:tbl>
      <w:tblPr>
        <w:tblStyle w:val="42"/>
        <w:tblW w:w="71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433"/>
        <w:gridCol w:w="4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728" w:type="dxa"/>
            <w:vMerge w:val="restart"/>
            <w:tcBorders>
              <w:top w:val="single" w:color="auto" w:sz="4" w:space="0"/>
              <w:left w:val="single" w:color="auto" w:sz="4" w:space="0"/>
              <w:bottom w:val="single" w:color="auto" w:sz="4" w:space="0"/>
              <w:right w:val="single" w:color="auto" w:sz="4" w:space="0"/>
            </w:tcBorders>
            <w:vAlign w:val="center"/>
          </w:tcPr>
          <w:p>
            <w:pPr>
              <w:pStyle w:val="75"/>
              <w:rPr>
                <w:b/>
                <w:color w:val="000000" w:themeColor="text1"/>
                <w:szCs w:val="21"/>
              </w:rPr>
            </w:pPr>
            <w:r>
              <w:rPr>
                <w:rFonts w:hint="eastAsia"/>
                <w:b/>
                <w:color w:val="000000" w:themeColor="text1"/>
                <w:szCs w:val="21"/>
              </w:rPr>
              <w:t>序号</w:t>
            </w:r>
          </w:p>
        </w:tc>
        <w:tc>
          <w:tcPr>
            <w:tcW w:w="1433" w:type="dxa"/>
            <w:vMerge w:val="restart"/>
            <w:tcBorders>
              <w:top w:val="single" w:color="auto" w:sz="4" w:space="0"/>
              <w:left w:val="single" w:color="auto" w:sz="4" w:space="0"/>
              <w:bottom w:val="single" w:color="auto" w:sz="4" w:space="0"/>
              <w:right w:val="single" w:color="auto" w:sz="4" w:space="0"/>
            </w:tcBorders>
            <w:vAlign w:val="center"/>
          </w:tcPr>
          <w:p>
            <w:pPr>
              <w:pStyle w:val="75"/>
              <w:rPr>
                <w:b/>
                <w:color w:val="000000" w:themeColor="text1"/>
                <w:szCs w:val="21"/>
              </w:rPr>
            </w:pPr>
            <w:r>
              <w:rPr>
                <w:rFonts w:hint="eastAsia"/>
                <w:b/>
                <w:color w:val="000000" w:themeColor="text1"/>
                <w:szCs w:val="21"/>
              </w:rPr>
              <w:t>污染物</w:t>
            </w:r>
          </w:p>
        </w:tc>
        <w:tc>
          <w:tcPr>
            <w:tcW w:w="4973" w:type="dxa"/>
            <w:vMerge w:val="restart"/>
            <w:tcBorders>
              <w:top w:val="single" w:color="auto" w:sz="4" w:space="0"/>
              <w:left w:val="single" w:color="auto" w:sz="4" w:space="0"/>
              <w:bottom w:val="single" w:color="auto" w:sz="4" w:space="0"/>
              <w:right w:val="single" w:color="auto" w:sz="4" w:space="0"/>
            </w:tcBorders>
            <w:vAlign w:val="center"/>
          </w:tcPr>
          <w:p>
            <w:pPr>
              <w:pStyle w:val="75"/>
              <w:rPr>
                <w:b/>
                <w:color w:val="000000" w:themeColor="text1"/>
                <w:szCs w:val="21"/>
              </w:rPr>
            </w:pPr>
            <w:r>
              <w:rPr>
                <w:rFonts w:hint="eastAsia"/>
                <w:b/>
                <w:color w:val="000000" w:themeColor="text1"/>
                <w:szCs w:val="21"/>
              </w:rPr>
              <w:t>焚烧容量≤300kg/h时最高允许排放浓度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left"/>
              <w:rPr>
                <w:b/>
                <w:color w:val="000000" w:themeColor="text1"/>
                <w:sz w:val="21"/>
                <w:szCs w:val="21"/>
              </w:rPr>
            </w:pPr>
          </w:p>
        </w:tc>
        <w:tc>
          <w:tcPr>
            <w:tcW w:w="14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left"/>
              <w:rPr>
                <w:b/>
                <w:color w:val="000000" w:themeColor="text1"/>
                <w:sz w:val="21"/>
                <w:szCs w:val="21"/>
              </w:rPr>
            </w:pPr>
          </w:p>
        </w:tc>
        <w:tc>
          <w:tcPr>
            <w:tcW w:w="497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left"/>
              <w:rPr>
                <w:b/>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color w:val="000000" w:themeColor="text1"/>
              </w:rPr>
              <w:t>1</w:t>
            </w:r>
          </w:p>
        </w:tc>
        <w:tc>
          <w:tcPr>
            <w:tcW w:w="1433"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二氧化硫</w:t>
            </w:r>
          </w:p>
        </w:tc>
        <w:tc>
          <w:tcPr>
            <w:tcW w:w="4973"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color w:val="000000" w:themeColor="text1"/>
              </w:rPr>
              <w:t>2</w:t>
            </w:r>
          </w:p>
        </w:tc>
        <w:tc>
          <w:tcPr>
            <w:tcW w:w="1433"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烟尘</w:t>
            </w:r>
          </w:p>
        </w:tc>
        <w:tc>
          <w:tcPr>
            <w:tcW w:w="4973"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w:t>
            </w:r>
            <w:r>
              <w:rPr>
                <w:color w:val="000000" w:themeColor="text1"/>
              </w:rPr>
              <w:t>1</w:t>
            </w:r>
            <w:r>
              <w:rPr>
                <w:rFonts w:hint="eastAsia"/>
                <w:color w:val="000000" w:themeColor="text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color w:val="000000" w:themeColor="text1"/>
              </w:rPr>
              <w:t>3</w:t>
            </w:r>
          </w:p>
        </w:tc>
        <w:tc>
          <w:tcPr>
            <w:tcW w:w="1433"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氮氧化物</w:t>
            </w:r>
          </w:p>
        </w:tc>
        <w:tc>
          <w:tcPr>
            <w:tcW w:w="4973"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≤500</w:t>
            </w:r>
          </w:p>
        </w:tc>
      </w:tr>
    </w:tbl>
    <w:p>
      <w:pPr>
        <w:ind w:firstLine="480"/>
        <w:rPr>
          <w:color w:val="000000" w:themeColor="text1"/>
        </w:rPr>
      </w:pPr>
      <w:r>
        <w:rPr>
          <w:rFonts w:hint="eastAsia"/>
          <w:color w:val="000000" w:themeColor="text1"/>
        </w:rPr>
        <w:t>2、废水排放标准</w:t>
      </w:r>
    </w:p>
    <w:p>
      <w:pPr>
        <w:adjustRightInd w:val="0"/>
        <w:snapToGrid w:val="0"/>
        <w:ind w:firstLine="480"/>
        <w:rPr>
          <w:bCs/>
          <w:color w:val="000000" w:themeColor="text1"/>
          <w:kern w:val="0"/>
          <w:szCs w:val="24"/>
        </w:rPr>
      </w:pPr>
      <w:r>
        <w:rPr>
          <w:rFonts w:hint="eastAsia"/>
          <w:bCs/>
          <w:color w:val="000000" w:themeColor="text1"/>
          <w:kern w:val="0"/>
          <w:szCs w:val="24"/>
        </w:rPr>
        <w:t>施工期废水主要包括施工废水和施工人员生活污水，施工人员不在项目区食宿，施工人员使用临时搭建的旱厕，厕所粪便经粪便收集池收集后由周围村民清掏用于农田施肥，施工人员洗手的清洁废水不含有毒有害成分，同施工废水经收集池收集沉淀后用于施工场地内洒水降尘。</w:t>
      </w:r>
    </w:p>
    <w:p>
      <w:pPr>
        <w:adjustRightInd w:val="0"/>
        <w:snapToGrid w:val="0"/>
        <w:ind w:firstLine="480"/>
        <w:rPr>
          <w:bCs/>
          <w:color w:val="000000" w:themeColor="text1"/>
          <w:kern w:val="0"/>
          <w:szCs w:val="24"/>
        </w:rPr>
      </w:pPr>
      <w:r>
        <w:rPr>
          <w:rFonts w:hint="eastAsia"/>
          <w:bCs/>
          <w:color w:val="000000" w:themeColor="text1"/>
          <w:kern w:val="0"/>
          <w:szCs w:val="24"/>
        </w:rPr>
        <w:t>本项目运营期废水主要为屠宰废水及少量生活污水，经自建的污水处理站处理达标后进入砚山县市政污水管网，最终进入砚山县污水处理厂进一步处理。由于项目同时涉及生猪屠宰和生鸡屠宰，因此污水处理站出水水质执行《肉类加工工业水污染物排放标准》（GB 13457-92）中较严格的禽类屠宰加工三级标准和《污水排入城镇下水道水质标准》（GB/T 31962-2015）表1中的B级标准，标准值详见表1.4.2-5。</w:t>
      </w:r>
    </w:p>
    <w:p>
      <w:pPr>
        <w:pStyle w:val="54"/>
        <w:rPr>
          <w:color w:val="000000" w:themeColor="text1"/>
          <w:kern w:val="0"/>
        </w:rPr>
      </w:pPr>
      <w:r>
        <w:rPr>
          <w:rFonts w:hint="eastAsia"/>
          <w:color w:val="000000" w:themeColor="text1"/>
          <w:kern w:val="0"/>
        </w:rPr>
        <w:t>表1.4.2-5  项目污水排放标准  mg/L</w:t>
      </w:r>
    </w:p>
    <w:tbl>
      <w:tblPr>
        <w:tblStyle w:val="42"/>
        <w:tblW w:w="7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275"/>
        <w:gridCol w:w="2193"/>
        <w:gridCol w:w="1902"/>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56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序号</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项目</w:t>
            </w:r>
          </w:p>
        </w:tc>
        <w:tc>
          <w:tcPr>
            <w:tcW w:w="21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szCs w:val="24"/>
              </w:rPr>
              <w:t>GB 13457-92</w:t>
            </w:r>
          </w:p>
          <w:p>
            <w:pPr>
              <w:pStyle w:val="55"/>
              <w:rPr>
                <w:color w:val="000000" w:themeColor="text1"/>
              </w:rPr>
            </w:pPr>
            <w:r>
              <w:rPr>
                <w:rFonts w:hint="eastAsia"/>
                <w:color w:val="000000" w:themeColor="text1"/>
              </w:rPr>
              <w:t>禽类屠宰加工三级标准</w:t>
            </w:r>
          </w:p>
        </w:tc>
        <w:tc>
          <w:tcPr>
            <w:tcW w:w="190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szCs w:val="24"/>
              </w:rPr>
              <w:t>GB/T 31962-2015</w:t>
            </w:r>
          </w:p>
          <w:p>
            <w:pPr>
              <w:pStyle w:val="55"/>
              <w:rPr>
                <w:color w:val="000000" w:themeColor="text1"/>
              </w:rPr>
            </w:pPr>
            <w:r>
              <w:rPr>
                <w:rFonts w:hint="eastAsia"/>
                <w:color w:val="000000" w:themeColor="text1"/>
                <w:szCs w:val="24"/>
              </w:rPr>
              <w:t>B级标准</w:t>
            </w:r>
          </w:p>
        </w:tc>
        <w:tc>
          <w:tcPr>
            <w:tcW w:w="170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szCs w:val="24"/>
              </w:rPr>
              <w:t>本项目执行标准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8" w:hRule="atLeast"/>
          <w:jc w:val="center"/>
        </w:trPr>
        <w:tc>
          <w:tcPr>
            <w:tcW w:w="56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pH</w:t>
            </w:r>
          </w:p>
        </w:tc>
        <w:tc>
          <w:tcPr>
            <w:tcW w:w="21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6.0~8.5</w:t>
            </w:r>
          </w:p>
        </w:tc>
        <w:tc>
          <w:tcPr>
            <w:tcW w:w="190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6.5~9.5</w:t>
            </w:r>
          </w:p>
        </w:tc>
        <w:tc>
          <w:tcPr>
            <w:tcW w:w="170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56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2</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SS</w:t>
            </w:r>
          </w:p>
        </w:tc>
        <w:tc>
          <w:tcPr>
            <w:tcW w:w="21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≤300</w:t>
            </w:r>
          </w:p>
        </w:tc>
        <w:tc>
          <w:tcPr>
            <w:tcW w:w="190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≤400</w:t>
            </w:r>
          </w:p>
        </w:tc>
        <w:tc>
          <w:tcPr>
            <w:tcW w:w="170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56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3</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BOD</w:t>
            </w:r>
            <w:r>
              <w:rPr>
                <w:color w:val="000000" w:themeColor="text1"/>
                <w:vertAlign w:val="subscript"/>
              </w:rPr>
              <w:t>5</w:t>
            </w:r>
          </w:p>
        </w:tc>
        <w:tc>
          <w:tcPr>
            <w:tcW w:w="21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≤250</w:t>
            </w:r>
          </w:p>
        </w:tc>
        <w:tc>
          <w:tcPr>
            <w:tcW w:w="190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≤350</w:t>
            </w:r>
          </w:p>
        </w:tc>
        <w:tc>
          <w:tcPr>
            <w:tcW w:w="170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56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4</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COD</w:t>
            </w:r>
          </w:p>
        </w:tc>
        <w:tc>
          <w:tcPr>
            <w:tcW w:w="21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≤500</w:t>
            </w:r>
          </w:p>
        </w:tc>
        <w:tc>
          <w:tcPr>
            <w:tcW w:w="190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≤500</w:t>
            </w:r>
          </w:p>
        </w:tc>
        <w:tc>
          <w:tcPr>
            <w:tcW w:w="170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56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5</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动植物油</w:t>
            </w:r>
          </w:p>
        </w:tc>
        <w:tc>
          <w:tcPr>
            <w:tcW w:w="21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≤50</w:t>
            </w:r>
          </w:p>
        </w:tc>
        <w:tc>
          <w:tcPr>
            <w:tcW w:w="190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≤100</w:t>
            </w:r>
          </w:p>
        </w:tc>
        <w:tc>
          <w:tcPr>
            <w:tcW w:w="170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56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6</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氨氮</w:t>
            </w:r>
          </w:p>
        </w:tc>
        <w:tc>
          <w:tcPr>
            <w:tcW w:w="21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w:t>
            </w:r>
          </w:p>
        </w:tc>
        <w:tc>
          <w:tcPr>
            <w:tcW w:w="190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≤45</w:t>
            </w:r>
          </w:p>
        </w:tc>
        <w:tc>
          <w:tcPr>
            <w:tcW w:w="170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56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7</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大肠菌群数</w:t>
            </w:r>
          </w:p>
        </w:tc>
        <w:tc>
          <w:tcPr>
            <w:tcW w:w="21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w:t>
            </w:r>
          </w:p>
        </w:tc>
        <w:tc>
          <w:tcPr>
            <w:tcW w:w="190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w:t>
            </w:r>
          </w:p>
        </w:tc>
        <w:tc>
          <w:tcPr>
            <w:tcW w:w="170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w:t>
            </w:r>
          </w:p>
        </w:tc>
      </w:tr>
    </w:tbl>
    <w:p>
      <w:pPr>
        <w:ind w:firstLine="480"/>
        <w:rPr>
          <w:color w:val="000000" w:themeColor="text1"/>
        </w:rPr>
      </w:pPr>
      <w:r>
        <w:rPr>
          <w:rFonts w:hint="eastAsia"/>
          <w:color w:val="000000" w:themeColor="text1"/>
        </w:rPr>
        <w:t>3、噪声排放标椎</w:t>
      </w:r>
    </w:p>
    <w:p>
      <w:pPr>
        <w:ind w:firstLine="480"/>
        <w:rPr>
          <w:color w:val="000000" w:themeColor="text1"/>
        </w:rPr>
      </w:pPr>
      <w:r>
        <w:rPr>
          <w:rFonts w:hint="eastAsia"/>
          <w:color w:val="000000" w:themeColor="text1"/>
        </w:rPr>
        <w:t>施工期建筑施工场界噪声排放执行《建筑施工场界环境噪声排放标准》(GB12523-2011)；运营期执行《工业企业厂界环境噪声排放标准》(GB12348-2008)中2类标准，具体见表 1.4.2-6、表 1.4.2-7。</w:t>
      </w:r>
    </w:p>
    <w:p>
      <w:pPr>
        <w:pStyle w:val="54"/>
        <w:rPr>
          <w:color w:val="000000" w:themeColor="text1"/>
        </w:rPr>
      </w:pPr>
      <w:r>
        <w:rPr>
          <w:rFonts w:hint="eastAsia"/>
          <w:color w:val="000000" w:themeColor="text1"/>
        </w:rPr>
        <w:t>表1.4.2-6</w:t>
      </w:r>
      <w:r>
        <w:rPr>
          <w:color w:val="000000" w:themeColor="text1"/>
        </w:rPr>
        <w:t xml:space="preserve">  </w:t>
      </w:r>
      <w:r>
        <w:rPr>
          <w:rFonts w:hint="eastAsia"/>
          <w:color w:val="000000" w:themeColor="text1"/>
        </w:rPr>
        <w:t>建筑施工场界环境噪声排放标准</w:t>
      </w:r>
    </w:p>
    <w:tbl>
      <w:tblPr>
        <w:tblStyle w:val="42"/>
        <w:tblW w:w="7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8"/>
        <w:gridCol w:w="3674"/>
        <w:gridCol w:w="1364"/>
        <w:gridCol w:w="1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4962" w:type="dxa"/>
            <w:gridSpan w:val="2"/>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rFonts w:hint="eastAsia"/>
                <w:color w:val="000000" w:themeColor="text1"/>
              </w:rPr>
              <w:t>时段</w:t>
            </w:r>
          </w:p>
        </w:tc>
        <w:tc>
          <w:tcPr>
            <w:tcW w:w="2778"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rFonts w:hint="eastAsia"/>
                <w:color w:val="000000" w:themeColor="text1"/>
              </w:rPr>
              <w:t>噪声限值</w:t>
            </w:r>
            <w:r>
              <w:rPr>
                <w:color w:val="000000" w:themeColor="text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 w:hRule="atLeast"/>
          <w:jc w:val="center"/>
        </w:trPr>
        <w:tc>
          <w:tcPr>
            <w:tcW w:w="4962"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p>
        </w:tc>
        <w:tc>
          <w:tcPr>
            <w:tcW w:w="136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rFonts w:hint="eastAsia"/>
                <w:color w:val="000000" w:themeColor="text1"/>
              </w:rPr>
              <w:t>昼间</w:t>
            </w:r>
          </w:p>
        </w:tc>
        <w:tc>
          <w:tcPr>
            <w:tcW w:w="141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rFonts w:hint="eastAsia"/>
                <w:color w:val="000000" w:themeColor="text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28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rFonts w:hint="eastAsia"/>
                <w:color w:val="000000" w:themeColor="text1"/>
              </w:rPr>
              <w:t>执行标准</w:t>
            </w:r>
          </w:p>
        </w:tc>
        <w:tc>
          <w:tcPr>
            <w:tcW w:w="367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rFonts w:hint="eastAsia"/>
                <w:color w:val="000000" w:themeColor="text1"/>
              </w:rPr>
              <w:t>《建筑施工场界环境噪声排放标准》</w:t>
            </w:r>
          </w:p>
        </w:tc>
        <w:tc>
          <w:tcPr>
            <w:tcW w:w="136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rPr>
              <w:t>70</w:t>
            </w:r>
          </w:p>
        </w:tc>
        <w:tc>
          <w:tcPr>
            <w:tcW w:w="141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rPr>
              <w:t>55</w:t>
            </w:r>
          </w:p>
        </w:tc>
      </w:tr>
    </w:tbl>
    <w:p>
      <w:pPr>
        <w:pStyle w:val="54"/>
        <w:rPr>
          <w:color w:val="000000" w:themeColor="text1"/>
        </w:rPr>
      </w:pPr>
      <w:r>
        <w:rPr>
          <w:rFonts w:hint="eastAsia"/>
          <w:color w:val="000000" w:themeColor="text1"/>
        </w:rPr>
        <w:t>表1.4.2-7  工业企业厂界环境噪声排放标准</w:t>
      </w:r>
    </w:p>
    <w:tbl>
      <w:tblPr>
        <w:tblStyle w:val="42"/>
        <w:tblW w:w="7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701"/>
        <w:gridCol w:w="2096"/>
        <w:gridCol w:w="1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jc w:val="center"/>
        </w:trPr>
        <w:tc>
          <w:tcPr>
            <w:tcW w:w="1985"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rFonts w:hint="eastAsia"/>
                <w:color w:val="000000" w:themeColor="text1"/>
              </w:rPr>
              <w:t>类别</w:t>
            </w:r>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rFonts w:hint="eastAsia"/>
                <w:color w:val="000000" w:themeColor="text1"/>
              </w:rPr>
              <w:t>区域</w:t>
            </w:r>
          </w:p>
        </w:tc>
        <w:tc>
          <w:tcPr>
            <w:tcW w:w="405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rFonts w:hint="eastAsia"/>
                <w:color w:val="000000" w:themeColor="text1"/>
              </w:rPr>
              <w:t>等效声级</w:t>
            </w:r>
            <w:r>
              <w:rPr>
                <w:color w:val="000000" w:themeColor="text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jc w:val="center"/>
        </w:trPr>
        <w:tc>
          <w:tcPr>
            <w:tcW w:w="1985"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p>
        </w:tc>
        <w:tc>
          <w:tcPr>
            <w:tcW w:w="209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rFonts w:hint="eastAsia"/>
                <w:color w:val="000000" w:themeColor="text1"/>
              </w:rPr>
              <w:t>昼间</w:t>
            </w:r>
          </w:p>
        </w:tc>
        <w:tc>
          <w:tcPr>
            <w:tcW w:w="195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rFonts w:hint="eastAsia"/>
                <w:color w:val="000000" w:themeColor="text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98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rFonts w:hint="eastAsia"/>
                <w:color w:val="000000" w:themeColor="text1"/>
              </w:rPr>
              <w:t>2类标准</w:t>
            </w:r>
          </w:p>
        </w:tc>
        <w:tc>
          <w:tcPr>
            <w:tcW w:w="170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rFonts w:hint="eastAsia"/>
                <w:color w:val="000000" w:themeColor="text1"/>
              </w:rPr>
              <w:t>项目区</w:t>
            </w:r>
          </w:p>
        </w:tc>
        <w:tc>
          <w:tcPr>
            <w:tcW w:w="209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rPr>
              <w:t>6</w:t>
            </w:r>
            <w:r>
              <w:rPr>
                <w:rFonts w:hint="eastAsia"/>
                <w:color w:val="000000" w:themeColor="text1"/>
              </w:rPr>
              <w:t>0</w:t>
            </w:r>
          </w:p>
        </w:tc>
        <w:tc>
          <w:tcPr>
            <w:tcW w:w="195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rPr>
              <w:t>5</w:t>
            </w:r>
            <w:r>
              <w:rPr>
                <w:rFonts w:hint="eastAsia"/>
                <w:color w:val="000000" w:themeColor="text1"/>
              </w:rPr>
              <w:t>0</w:t>
            </w:r>
          </w:p>
        </w:tc>
      </w:tr>
    </w:tbl>
    <w:p>
      <w:pPr>
        <w:ind w:firstLine="480"/>
        <w:rPr>
          <w:color w:val="000000" w:themeColor="text1"/>
        </w:rPr>
      </w:pPr>
      <w:r>
        <w:rPr>
          <w:rFonts w:hint="eastAsia"/>
          <w:color w:val="000000" w:themeColor="text1"/>
        </w:rPr>
        <w:t>4、固体废弃物污染控制标准</w:t>
      </w:r>
    </w:p>
    <w:p>
      <w:pPr>
        <w:ind w:firstLine="480"/>
        <w:rPr>
          <w:rFonts w:hAnsi="宋体"/>
          <w:color w:val="000000" w:themeColor="text1"/>
          <w:kern w:val="0"/>
        </w:rPr>
      </w:pPr>
      <w:r>
        <w:rPr>
          <w:rFonts w:hint="eastAsia" w:hAnsi="宋体"/>
          <w:color w:val="000000" w:themeColor="text1"/>
          <w:kern w:val="0"/>
        </w:rPr>
        <w:t>（</w:t>
      </w:r>
      <w:r>
        <w:rPr>
          <w:rFonts w:hAnsi="宋体"/>
          <w:color w:val="000000" w:themeColor="text1"/>
          <w:kern w:val="0"/>
        </w:rPr>
        <w:t>1</w:t>
      </w:r>
      <w:r>
        <w:rPr>
          <w:rFonts w:hint="eastAsia" w:hAnsi="宋体"/>
          <w:color w:val="000000" w:themeColor="text1"/>
          <w:kern w:val="0"/>
        </w:rPr>
        <w:t>）一般固体废弃物</w:t>
      </w:r>
    </w:p>
    <w:p>
      <w:pPr>
        <w:ind w:firstLine="480"/>
        <w:rPr>
          <w:rFonts w:hAnsi="宋体"/>
          <w:color w:val="000000" w:themeColor="text1"/>
          <w:kern w:val="0"/>
        </w:rPr>
      </w:pPr>
      <w:r>
        <w:rPr>
          <w:rFonts w:hint="eastAsia" w:hAnsi="宋体"/>
          <w:color w:val="000000" w:themeColor="text1"/>
          <w:kern w:val="0"/>
        </w:rPr>
        <w:t>项目一般固体废物执行《一般工业固体废物贮存、处置场污染控制标准》（</w:t>
      </w:r>
      <w:r>
        <w:rPr>
          <w:color w:val="000000" w:themeColor="text1"/>
          <w:kern w:val="0"/>
        </w:rPr>
        <w:t>GB18599-2001</w:t>
      </w:r>
      <w:r>
        <w:rPr>
          <w:rFonts w:hint="eastAsia" w:hAnsi="宋体"/>
          <w:color w:val="000000" w:themeColor="text1"/>
          <w:kern w:val="0"/>
        </w:rPr>
        <w:t>）。</w:t>
      </w:r>
    </w:p>
    <w:p>
      <w:pPr>
        <w:ind w:firstLine="480"/>
        <w:rPr>
          <w:rFonts w:hAnsi="宋体"/>
          <w:color w:val="000000" w:themeColor="text1"/>
          <w:kern w:val="0"/>
        </w:rPr>
      </w:pPr>
      <w:r>
        <w:rPr>
          <w:rFonts w:hint="eastAsia" w:hAnsi="宋体"/>
          <w:color w:val="000000" w:themeColor="text1"/>
          <w:kern w:val="0"/>
        </w:rPr>
        <w:t>（</w:t>
      </w:r>
      <w:r>
        <w:rPr>
          <w:rFonts w:hAnsi="宋体"/>
          <w:color w:val="000000" w:themeColor="text1"/>
          <w:kern w:val="0"/>
        </w:rPr>
        <w:t>2</w:t>
      </w:r>
      <w:r>
        <w:rPr>
          <w:rFonts w:hint="eastAsia" w:hAnsi="宋体"/>
          <w:color w:val="000000" w:themeColor="text1"/>
          <w:kern w:val="0"/>
        </w:rPr>
        <w:t>）危险固废</w:t>
      </w:r>
    </w:p>
    <w:p>
      <w:pPr>
        <w:ind w:firstLine="480"/>
        <w:rPr>
          <w:rFonts w:hAnsi="宋体"/>
          <w:color w:val="000000" w:themeColor="text1"/>
        </w:rPr>
      </w:pPr>
      <w:r>
        <w:rPr>
          <w:rFonts w:hint="eastAsia" w:hAnsi="宋体"/>
          <w:color w:val="000000" w:themeColor="text1"/>
          <w:szCs w:val="24"/>
        </w:rPr>
        <w:t>项目危险固废在</w:t>
      </w:r>
      <w:r>
        <w:rPr>
          <w:rFonts w:hint="eastAsia" w:hAnsi="宋体"/>
          <w:color w:val="000000" w:themeColor="text1"/>
        </w:rPr>
        <w:t>厂区临时贮存执行《危险废物贮存污染控制标准》（</w:t>
      </w:r>
      <w:r>
        <w:rPr>
          <w:color w:val="000000" w:themeColor="text1"/>
        </w:rPr>
        <w:t>GB18597-2001</w:t>
      </w:r>
      <w:r>
        <w:rPr>
          <w:rFonts w:hint="eastAsia" w:hAnsi="宋体"/>
          <w:color w:val="000000" w:themeColor="text1"/>
        </w:rPr>
        <w:t>）</w:t>
      </w:r>
      <w:r>
        <w:rPr>
          <w:rFonts w:hint="eastAsia"/>
          <w:color w:val="000000" w:themeColor="text1"/>
        </w:rPr>
        <w:t>及其修改单</w:t>
      </w:r>
      <w:r>
        <w:rPr>
          <w:rFonts w:hint="eastAsia" w:hAnsi="宋体"/>
          <w:color w:val="000000" w:themeColor="text1"/>
        </w:rPr>
        <w:t>。</w:t>
      </w:r>
    </w:p>
    <w:p>
      <w:pPr>
        <w:pStyle w:val="3"/>
        <w:rPr>
          <w:color w:val="000000" w:themeColor="text1"/>
        </w:rPr>
      </w:pPr>
      <w:bookmarkStart w:id="17" w:name="_Toc47375781"/>
      <w:r>
        <w:rPr>
          <w:rFonts w:hint="eastAsia"/>
          <w:color w:val="000000" w:themeColor="text1"/>
        </w:rPr>
        <w:t>1.5评价等级、范围与重点保护目标</w:t>
      </w:r>
      <w:bookmarkEnd w:id="17"/>
    </w:p>
    <w:p>
      <w:pPr>
        <w:pStyle w:val="38"/>
        <w:ind w:firstLine="281"/>
        <w:rPr>
          <w:color w:val="000000" w:themeColor="text1"/>
        </w:rPr>
      </w:pPr>
      <w:bookmarkStart w:id="18" w:name="_Toc47375782"/>
      <w:r>
        <w:rPr>
          <w:rFonts w:hint="eastAsia"/>
          <w:color w:val="000000" w:themeColor="text1"/>
        </w:rPr>
        <w:t>1.5.1评价等级及范围</w:t>
      </w:r>
      <w:bookmarkEnd w:id="18"/>
    </w:p>
    <w:p>
      <w:pPr>
        <w:ind w:firstLine="482"/>
        <w:rPr>
          <w:b/>
          <w:color w:val="000000" w:themeColor="text1"/>
        </w:rPr>
      </w:pPr>
      <w:r>
        <w:rPr>
          <w:rFonts w:hint="eastAsia"/>
          <w:b/>
          <w:color w:val="000000" w:themeColor="text1"/>
        </w:rPr>
        <w:t>1、环境空气</w:t>
      </w:r>
    </w:p>
    <w:p>
      <w:pPr>
        <w:ind w:firstLine="480"/>
        <w:rPr>
          <w:color w:val="000000" w:themeColor="text1"/>
        </w:rPr>
      </w:pPr>
      <w:r>
        <w:rPr>
          <w:rFonts w:hint="eastAsia"/>
          <w:color w:val="000000" w:themeColor="text1"/>
        </w:rPr>
        <w:t>经分析，本项目大气污染物主要为待宰圈舍、废水处理系统以及屠宰工序产生的恶臭、生物质锅炉工作时产生的燃料废气以及焚烧炉尾气。其主要特征污染物为硫化氢、氨、SO</w:t>
      </w:r>
      <w:r>
        <w:rPr>
          <w:rFonts w:hint="eastAsia"/>
          <w:color w:val="000000" w:themeColor="text1"/>
          <w:vertAlign w:val="subscript"/>
        </w:rPr>
        <w:t>2</w:t>
      </w:r>
      <w:r>
        <w:rPr>
          <w:rFonts w:hint="eastAsia"/>
          <w:color w:val="000000" w:themeColor="text1"/>
        </w:rPr>
        <w:t>、NO</w:t>
      </w:r>
      <w:r>
        <w:rPr>
          <w:rFonts w:hint="eastAsia"/>
          <w:color w:val="000000" w:themeColor="text1"/>
          <w:vertAlign w:val="subscript"/>
        </w:rPr>
        <w:t>x</w:t>
      </w:r>
      <w:r>
        <w:rPr>
          <w:rFonts w:hint="eastAsia"/>
          <w:color w:val="000000" w:themeColor="text1"/>
        </w:rPr>
        <w:t>、颗粒物。根据《环境影响评价技术导则-大气环境》(HJ2.2-2018)中的规定，通过工程分析，计算主要污染物的硫化氢、氨、SO</w:t>
      </w:r>
      <w:r>
        <w:rPr>
          <w:rFonts w:hint="eastAsia"/>
          <w:color w:val="000000" w:themeColor="text1"/>
          <w:vertAlign w:val="subscript"/>
        </w:rPr>
        <w:t>2</w:t>
      </w:r>
      <w:r>
        <w:rPr>
          <w:rFonts w:hint="eastAsia"/>
          <w:color w:val="000000" w:themeColor="text1"/>
        </w:rPr>
        <w:t>、NO</w:t>
      </w:r>
      <w:r>
        <w:rPr>
          <w:rFonts w:hint="eastAsia"/>
          <w:color w:val="000000" w:themeColor="text1"/>
          <w:vertAlign w:val="subscript"/>
        </w:rPr>
        <w:t>x</w:t>
      </w:r>
      <w:r>
        <w:rPr>
          <w:rFonts w:hint="eastAsia"/>
          <w:color w:val="000000" w:themeColor="text1"/>
        </w:rPr>
        <w:t>、颗粒物的最大地面浓度占标率P</w:t>
      </w:r>
      <w:r>
        <w:rPr>
          <w:rFonts w:hint="eastAsia"/>
          <w:color w:val="000000" w:themeColor="text1"/>
          <w:vertAlign w:val="subscript"/>
        </w:rPr>
        <w:t>i</w:t>
      </w:r>
      <w:r>
        <w:rPr>
          <w:rFonts w:hint="eastAsia"/>
          <w:color w:val="000000" w:themeColor="text1"/>
        </w:rPr>
        <w:t>，及其地面浓度达到标准限值的10%时所对应的最远距离D</w:t>
      </w:r>
      <w:r>
        <w:rPr>
          <w:rFonts w:hint="eastAsia"/>
          <w:color w:val="000000" w:themeColor="text1"/>
          <w:vertAlign w:val="subscript"/>
        </w:rPr>
        <w:t>10%</w:t>
      </w:r>
      <w:r>
        <w:rPr>
          <w:rFonts w:hint="eastAsia"/>
          <w:color w:val="000000" w:themeColor="text1"/>
        </w:rPr>
        <w:t>，计算公式为：</w:t>
      </w:r>
    </w:p>
    <w:p>
      <w:pPr>
        <w:ind w:firstLine="480"/>
        <w:rPr>
          <w:color w:val="000000" w:themeColor="text1"/>
        </w:rPr>
      </w:pPr>
      <w:r>
        <w:rPr>
          <w:color w:val="000000" w:themeColor="text1"/>
        </w:rPr>
        <w:t>P</w:t>
      </w:r>
      <w:r>
        <w:rPr>
          <w:color w:val="000000" w:themeColor="text1"/>
          <w:vertAlign w:val="subscript"/>
        </w:rPr>
        <w:t>i</w:t>
      </w:r>
      <w:r>
        <w:rPr>
          <w:color w:val="000000" w:themeColor="text1"/>
        </w:rPr>
        <w:t>=(C</w:t>
      </w:r>
      <w:r>
        <w:rPr>
          <w:color w:val="000000" w:themeColor="text1"/>
          <w:vertAlign w:val="subscript"/>
        </w:rPr>
        <w:t>i</w:t>
      </w:r>
      <w:r>
        <w:rPr>
          <w:color w:val="000000" w:themeColor="text1"/>
        </w:rPr>
        <w:t>/C</w:t>
      </w:r>
      <w:r>
        <w:rPr>
          <w:color w:val="000000" w:themeColor="text1"/>
          <w:vertAlign w:val="subscript"/>
        </w:rPr>
        <w:t>0i</w:t>
      </w:r>
      <w:r>
        <w:rPr>
          <w:color w:val="000000" w:themeColor="text1"/>
        </w:rPr>
        <w:t>)×100%</w:t>
      </w:r>
    </w:p>
    <w:p>
      <w:pPr>
        <w:ind w:firstLine="480"/>
        <w:rPr>
          <w:color w:val="000000" w:themeColor="text1"/>
        </w:rPr>
      </w:pPr>
      <w:r>
        <w:rPr>
          <w:rFonts w:hint="eastAsia"/>
          <w:color w:val="000000" w:themeColor="text1"/>
        </w:rPr>
        <w:t>式中：P</w:t>
      </w:r>
      <w:r>
        <w:rPr>
          <w:rFonts w:hint="eastAsia"/>
          <w:color w:val="000000" w:themeColor="text1"/>
          <w:vertAlign w:val="subscript"/>
        </w:rPr>
        <w:t>i</w:t>
      </w:r>
      <w:r>
        <w:rPr>
          <w:rFonts w:hint="eastAsia"/>
          <w:color w:val="000000" w:themeColor="text1"/>
        </w:rPr>
        <w:t>－第i个污染物的最大地面浓度占标率，％；</w:t>
      </w:r>
    </w:p>
    <w:p>
      <w:pPr>
        <w:ind w:firstLine="480"/>
        <w:rPr>
          <w:color w:val="000000" w:themeColor="text1"/>
        </w:rPr>
      </w:pPr>
      <w:r>
        <w:rPr>
          <w:rFonts w:hint="eastAsia"/>
          <w:color w:val="000000" w:themeColor="text1"/>
        </w:rPr>
        <w:t>C</w:t>
      </w:r>
      <w:r>
        <w:rPr>
          <w:rFonts w:hint="eastAsia"/>
          <w:color w:val="000000" w:themeColor="text1"/>
          <w:vertAlign w:val="subscript"/>
        </w:rPr>
        <w:t>i</w:t>
      </w:r>
      <w:r>
        <w:rPr>
          <w:rFonts w:hint="eastAsia"/>
          <w:color w:val="000000" w:themeColor="text1"/>
        </w:rPr>
        <w:t>－采用估算模式计算出的第i个污染物的最大地面浓度，mg/m</w:t>
      </w:r>
      <w:r>
        <w:rPr>
          <w:rFonts w:hint="eastAsia"/>
          <w:color w:val="000000" w:themeColor="text1"/>
          <w:vertAlign w:val="superscript"/>
        </w:rPr>
        <w:t>3</w:t>
      </w:r>
      <w:r>
        <w:rPr>
          <w:rFonts w:hint="eastAsia"/>
          <w:color w:val="000000" w:themeColor="text1"/>
        </w:rPr>
        <w:t>；</w:t>
      </w:r>
    </w:p>
    <w:p>
      <w:pPr>
        <w:ind w:firstLine="480"/>
        <w:rPr>
          <w:color w:val="000000" w:themeColor="text1"/>
        </w:rPr>
      </w:pPr>
      <w:r>
        <w:rPr>
          <w:rFonts w:hint="eastAsia"/>
          <w:color w:val="000000" w:themeColor="text1"/>
        </w:rPr>
        <w:t>C</w:t>
      </w:r>
      <w:r>
        <w:rPr>
          <w:rFonts w:hint="eastAsia"/>
          <w:color w:val="000000" w:themeColor="text1"/>
          <w:vertAlign w:val="subscript"/>
        </w:rPr>
        <w:t>0i</w:t>
      </w:r>
      <w:r>
        <w:rPr>
          <w:rFonts w:hint="eastAsia"/>
          <w:color w:val="000000" w:themeColor="text1"/>
        </w:rPr>
        <w:t>－第i个污染物的环境空气质量标准，mg/m</w:t>
      </w:r>
      <w:r>
        <w:rPr>
          <w:rFonts w:hint="eastAsia"/>
          <w:color w:val="000000" w:themeColor="text1"/>
          <w:vertAlign w:val="superscript"/>
        </w:rPr>
        <w:t>3</w:t>
      </w:r>
      <w:r>
        <w:rPr>
          <w:rFonts w:hint="eastAsia"/>
          <w:color w:val="000000" w:themeColor="text1"/>
        </w:rPr>
        <w:t>。</w:t>
      </w:r>
    </w:p>
    <w:p>
      <w:pPr>
        <w:ind w:firstLine="480"/>
        <w:rPr>
          <w:color w:val="000000" w:themeColor="text1"/>
        </w:rPr>
      </w:pPr>
      <w:r>
        <w:rPr>
          <w:rFonts w:hint="eastAsia"/>
          <w:color w:val="000000" w:themeColor="text1"/>
        </w:rPr>
        <w:t>根据《环境影响评价技术导则—大气环境》(HJ2.2-2018)中推荐的估算模式(Screen)进行预测。预测结果见表1.5.1-1、大气环境影响评价工作级别判据表见表1.5.1-2。</w:t>
      </w:r>
    </w:p>
    <w:p>
      <w:pPr>
        <w:pStyle w:val="54"/>
        <w:rPr>
          <w:color w:val="000000" w:themeColor="text1"/>
        </w:rPr>
      </w:pPr>
      <w:r>
        <w:rPr>
          <w:rFonts w:hint="eastAsia"/>
          <w:color w:val="000000" w:themeColor="text1"/>
        </w:rPr>
        <w:t>表1.5.1-1  污染物预测结果统计一览表</w:t>
      </w:r>
    </w:p>
    <w:tbl>
      <w:tblPr>
        <w:tblStyle w:val="43"/>
        <w:tblW w:w="7884"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702"/>
        <w:gridCol w:w="1417"/>
        <w:gridCol w:w="1252"/>
        <w:gridCol w:w="1388"/>
        <w:gridCol w:w="1146"/>
        <w:gridCol w:w="97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702" w:type="dxa"/>
            <w:vAlign w:val="center"/>
          </w:tcPr>
          <w:p>
            <w:pPr>
              <w:pStyle w:val="55"/>
              <w:rPr>
                <w:rFonts w:cs="Times New Roman"/>
                <w:color w:val="000000" w:themeColor="text1"/>
              </w:rPr>
            </w:pPr>
            <w:r>
              <w:rPr>
                <w:rFonts w:cs="Times New Roman"/>
                <w:color w:val="000000" w:themeColor="text1"/>
              </w:rPr>
              <w:t>项目</w:t>
            </w:r>
          </w:p>
        </w:tc>
        <w:tc>
          <w:tcPr>
            <w:tcW w:w="1417" w:type="dxa"/>
            <w:vAlign w:val="center"/>
          </w:tcPr>
          <w:p>
            <w:pPr>
              <w:pStyle w:val="55"/>
              <w:rPr>
                <w:rFonts w:cs="Times New Roman"/>
                <w:color w:val="000000" w:themeColor="text1"/>
              </w:rPr>
            </w:pPr>
            <w:r>
              <w:rPr>
                <w:rFonts w:cs="Times New Roman"/>
                <w:color w:val="000000" w:themeColor="text1"/>
              </w:rPr>
              <w:t>污染源</w:t>
            </w:r>
          </w:p>
        </w:tc>
        <w:tc>
          <w:tcPr>
            <w:tcW w:w="1252" w:type="dxa"/>
            <w:vAlign w:val="center"/>
          </w:tcPr>
          <w:p>
            <w:pPr>
              <w:pStyle w:val="55"/>
              <w:rPr>
                <w:rFonts w:cs="Times New Roman"/>
                <w:color w:val="000000" w:themeColor="text1"/>
              </w:rPr>
            </w:pPr>
            <w:r>
              <w:rPr>
                <w:rFonts w:cs="Times New Roman"/>
                <w:color w:val="000000" w:themeColor="text1"/>
              </w:rPr>
              <w:t>污染物名称</w:t>
            </w:r>
          </w:p>
        </w:tc>
        <w:tc>
          <w:tcPr>
            <w:tcW w:w="1388" w:type="dxa"/>
            <w:vAlign w:val="center"/>
          </w:tcPr>
          <w:p>
            <w:pPr>
              <w:pStyle w:val="55"/>
              <w:rPr>
                <w:rFonts w:cs="Times New Roman"/>
                <w:color w:val="000000" w:themeColor="text1"/>
              </w:rPr>
            </w:pPr>
            <w:r>
              <w:rPr>
                <w:rFonts w:cs="Times New Roman"/>
                <w:color w:val="000000" w:themeColor="text1"/>
              </w:rPr>
              <w:t>评价标准（μg/m</w:t>
            </w:r>
            <w:r>
              <w:rPr>
                <w:rFonts w:cs="Times New Roman"/>
                <w:color w:val="000000" w:themeColor="text1"/>
                <w:vertAlign w:val="superscript"/>
              </w:rPr>
              <w:t>3</w:t>
            </w:r>
            <w:r>
              <w:rPr>
                <w:rFonts w:cs="Times New Roman"/>
                <w:color w:val="000000" w:themeColor="text1"/>
              </w:rPr>
              <w:t>）</w:t>
            </w:r>
          </w:p>
        </w:tc>
        <w:tc>
          <w:tcPr>
            <w:tcW w:w="1146" w:type="dxa"/>
            <w:vAlign w:val="center"/>
          </w:tcPr>
          <w:p>
            <w:pPr>
              <w:pStyle w:val="55"/>
              <w:rPr>
                <w:rFonts w:cs="Times New Roman"/>
                <w:color w:val="000000" w:themeColor="text1"/>
              </w:rPr>
            </w:pPr>
            <w:r>
              <w:rPr>
                <w:rFonts w:cs="Times New Roman"/>
                <w:bCs/>
                <w:color w:val="000000" w:themeColor="text1"/>
                <w:kern w:val="0"/>
                <w:szCs w:val="24"/>
              </w:rPr>
              <w:t>Cmax（</w:t>
            </w:r>
            <w:r>
              <w:rPr>
                <w:rFonts w:cs="Times New Roman"/>
                <w:color w:val="000000" w:themeColor="text1"/>
              </w:rPr>
              <w:t>μg/m</w:t>
            </w:r>
            <w:r>
              <w:rPr>
                <w:rFonts w:cs="Times New Roman"/>
                <w:color w:val="000000" w:themeColor="text1"/>
                <w:vertAlign w:val="superscript"/>
              </w:rPr>
              <w:t>3</w:t>
            </w:r>
            <w:r>
              <w:rPr>
                <w:rFonts w:cs="Times New Roman"/>
                <w:bCs/>
                <w:color w:val="000000" w:themeColor="text1"/>
                <w:kern w:val="0"/>
                <w:szCs w:val="24"/>
              </w:rPr>
              <w:t>）</w:t>
            </w:r>
          </w:p>
        </w:tc>
        <w:tc>
          <w:tcPr>
            <w:tcW w:w="979" w:type="dxa"/>
            <w:vAlign w:val="center"/>
          </w:tcPr>
          <w:p>
            <w:pPr>
              <w:pStyle w:val="55"/>
              <w:rPr>
                <w:rFonts w:cs="Times New Roman"/>
                <w:color w:val="000000" w:themeColor="text1"/>
              </w:rPr>
            </w:pPr>
            <w:r>
              <w:rPr>
                <w:rFonts w:cs="Times New Roman"/>
                <w:bCs/>
                <w:color w:val="000000" w:themeColor="text1"/>
                <w:kern w:val="0"/>
                <w:szCs w:val="24"/>
              </w:rPr>
              <w:t>Pmax（%）</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702" w:type="dxa"/>
            <w:vMerge w:val="restart"/>
            <w:vAlign w:val="center"/>
          </w:tcPr>
          <w:p>
            <w:pPr>
              <w:pStyle w:val="55"/>
              <w:rPr>
                <w:rFonts w:cs="Times New Roman"/>
                <w:color w:val="000000" w:themeColor="text1"/>
              </w:rPr>
            </w:pPr>
            <w:r>
              <w:rPr>
                <w:rFonts w:cs="Times New Roman"/>
                <w:color w:val="000000" w:themeColor="text1"/>
              </w:rPr>
              <w:t>待宰及屠宰环节</w:t>
            </w:r>
            <w:r>
              <w:rPr>
                <w:rFonts w:hint="eastAsia" w:cs="Times New Roman"/>
                <w:color w:val="000000" w:themeColor="text1"/>
              </w:rPr>
              <w:t>、</w:t>
            </w:r>
            <w:r>
              <w:rPr>
                <w:rFonts w:cs="Times New Roman"/>
                <w:color w:val="000000" w:themeColor="text1"/>
              </w:rPr>
              <w:t>污水处理站</w:t>
            </w:r>
          </w:p>
        </w:tc>
        <w:tc>
          <w:tcPr>
            <w:tcW w:w="1417" w:type="dxa"/>
            <w:vMerge w:val="restart"/>
            <w:vAlign w:val="center"/>
          </w:tcPr>
          <w:p>
            <w:pPr>
              <w:pStyle w:val="55"/>
              <w:rPr>
                <w:rFonts w:cs="Times New Roman"/>
                <w:color w:val="000000" w:themeColor="text1"/>
              </w:rPr>
            </w:pPr>
            <w:r>
              <w:rPr>
                <w:rFonts w:cs="Times New Roman"/>
                <w:color w:val="000000" w:themeColor="text1"/>
              </w:rPr>
              <w:t>无组织恶臭</w:t>
            </w:r>
          </w:p>
        </w:tc>
        <w:tc>
          <w:tcPr>
            <w:tcW w:w="1252" w:type="dxa"/>
            <w:vAlign w:val="center"/>
          </w:tcPr>
          <w:p>
            <w:pPr>
              <w:pStyle w:val="55"/>
              <w:rPr>
                <w:rFonts w:cs="Times New Roman"/>
                <w:color w:val="000000" w:themeColor="text1"/>
              </w:rPr>
            </w:pPr>
            <w:r>
              <w:rPr>
                <w:color w:val="000000" w:themeColor="text1"/>
              </w:rPr>
              <w:t>NH</w:t>
            </w:r>
            <w:r>
              <w:rPr>
                <w:color w:val="000000" w:themeColor="text1"/>
                <w:vertAlign w:val="subscript"/>
              </w:rPr>
              <w:t>3</w:t>
            </w:r>
          </w:p>
        </w:tc>
        <w:tc>
          <w:tcPr>
            <w:tcW w:w="1388" w:type="dxa"/>
            <w:vAlign w:val="center"/>
          </w:tcPr>
          <w:p>
            <w:pPr>
              <w:pStyle w:val="55"/>
              <w:rPr>
                <w:rFonts w:cs="Times New Roman"/>
                <w:color w:val="000000" w:themeColor="text1"/>
              </w:rPr>
            </w:pPr>
            <w:r>
              <w:rPr>
                <w:rFonts w:hint="eastAsia" w:cs="Times New Roman"/>
                <w:color w:val="000000" w:themeColor="text1"/>
              </w:rPr>
              <w:t>200</w:t>
            </w:r>
          </w:p>
        </w:tc>
        <w:tc>
          <w:tcPr>
            <w:tcW w:w="1146" w:type="dxa"/>
            <w:vAlign w:val="center"/>
          </w:tcPr>
          <w:p>
            <w:pPr>
              <w:pStyle w:val="55"/>
              <w:rPr>
                <w:color w:val="000000" w:themeColor="text1"/>
              </w:rPr>
            </w:pPr>
            <w:r>
              <w:rPr>
                <w:rFonts w:hint="eastAsia"/>
                <w:color w:val="000000" w:themeColor="text1"/>
              </w:rPr>
              <w:t>2.7394</w:t>
            </w:r>
          </w:p>
        </w:tc>
        <w:tc>
          <w:tcPr>
            <w:tcW w:w="979" w:type="dxa"/>
            <w:vAlign w:val="center"/>
          </w:tcPr>
          <w:p>
            <w:pPr>
              <w:pStyle w:val="55"/>
              <w:rPr>
                <w:color w:val="000000" w:themeColor="text1"/>
              </w:rPr>
            </w:pPr>
            <w:r>
              <w:rPr>
                <w:rFonts w:hint="eastAsia"/>
                <w:color w:val="000000" w:themeColor="text1"/>
              </w:rPr>
              <w:t>1.37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702" w:type="dxa"/>
            <w:vMerge w:val="continue"/>
            <w:vAlign w:val="center"/>
          </w:tcPr>
          <w:p>
            <w:pPr>
              <w:pStyle w:val="55"/>
              <w:rPr>
                <w:rFonts w:cs="Times New Roman"/>
                <w:color w:val="000000" w:themeColor="text1"/>
              </w:rPr>
            </w:pPr>
          </w:p>
        </w:tc>
        <w:tc>
          <w:tcPr>
            <w:tcW w:w="1417" w:type="dxa"/>
            <w:vMerge w:val="continue"/>
            <w:vAlign w:val="center"/>
          </w:tcPr>
          <w:p>
            <w:pPr>
              <w:pStyle w:val="55"/>
              <w:rPr>
                <w:rFonts w:cs="Times New Roman"/>
                <w:color w:val="000000" w:themeColor="text1"/>
              </w:rPr>
            </w:pPr>
          </w:p>
        </w:tc>
        <w:tc>
          <w:tcPr>
            <w:tcW w:w="1252" w:type="dxa"/>
            <w:vAlign w:val="center"/>
          </w:tcPr>
          <w:p>
            <w:pPr>
              <w:pStyle w:val="55"/>
              <w:rPr>
                <w:rFonts w:cs="Times New Roman"/>
                <w:color w:val="000000" w:themeColor="text1"/>
              </w:rPr>
            </w:pPr>
            <w:r>
              <w:rPr>
                <w:color w:val="000000" w:themeColor="text1"/>
              </w:rPr>
              <w:t>H</w:t>
            </w:r>
            <w:r>
              <w:rPr>
                <w:color w:val="000000" w:themeColor="text1"/>
                <w:vertAlign w:val="subscript"/>
              </w:rPr>
              <w:t>2</w:t>
            </w:r>
            <w:r>
              <w:rPr>
                <w:color w:val="000000" w:themeColor="text1"/>
              </w:rPr>
              <w:t>S</w:t>
            </w:r>
          </w:p>
        </w:tc>
        <w:tc>
          <w:tcPr>
            <w:tcW w:w="1388" w:type="dxa"/>
            <w:vAlign w:val="center"/>
          </w:tcPr>
          <w:p>
            <w:pPr>
              <w:pStyle w:val="55"/>
              <w:rPr>
                <w:rFonts w:cs="Times New Roman"/>
                <w:color w:val="000000" w:themeColor="text1"/>
              </w:rPr>
            </w:pPr>
            <w:r>
              <w:rPr>
                <w:rFonts w:hint="eastAsia" w:cs="Times New Roman"/>
                <w:color w:val="000000" w:themeColor="text1"/>
              </w:rPr>
              <w:t>10</w:t>
            </w:r>
          </w:p>
        </w:tc>
        <w:tc>
          <w:tcPr>
            <w:tcW w:w="1146" w:type="dxa"/>
            <w:vAlign w:val="center"/>
          </w:tcPr>
          <w:p>
            <w:pPr>
              <w:pStyle w:val="55"/>
              <w:rPr>
                <w:color w:val="000000" w:themeColor="text1"/>
              </w:rPr>
            </w:pPr>
            <w:r>
              <w:rPr>
                <w:rFonts w:hint="eastAsia"/>
                <w:color w:val="000000" w:themeColor="text1"/>
              </w:rPr>
              <w:t>0.11</w:t>
            </w:r>
          </w:p>
        </w:tc>
        <w:tc>
          <w:tcPr>
            <w:tcW w:w="979" w:type="dxa"/>
            <w:vAlign w:val="center"/>
          </w:tcPr>
          <w:p>
            <w:pPr>
              <w:pStyle w:val="55"/>
              <w:rPr>
                <w:color w:val="000000" w:themeColor="text1"/>
              </w:rPr>
            </w:pPr>
            <w:r>
              <w:rPr>
                <w:rFonts w:hint="eastAsia"/>
                <w:color w:val="000000" w:themeColor="text1"/>
              </w:rPr>
              <w:t>1.07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702" w:type="dxa"/>
            <w:vMerge w:val="restart"/>
            <w:vAlign w:val="center"/>
          </w:tcPr>
          <w:p>
            <w:pPr>
              <w:pStyle w:val="55"/>
              <w:rPr>
                <w:rFonts w:cs="Times New Roman"/>
                <w:color w:val="000000" w:themeColor="text1"/>
              </w:rPr>
            </w:pPr>
            <w:r>
              <w:rPr>
                <w:rFonts w:cs="Times New Roman"/>
                <w:color w:val="000000" w:themeColor="text1"/>
              </w:rPr>
              <w:t>生物质锅炉</w:t>
            </w:r>
          </w:p>
        </w:tc>
        <w:tc>
          <w:tcPr>
            <w:tcW w:w="1417" w:type="dxa"/>
            <w:vMerge w:val="restart"/>
            <w:vAlign w:val="center"/>
          </w:tcPr>
          <w:p>
            <w:pPr>
              <w:pStyle w:val="55"/>
              <w:rPr>
                <w:rFonts w:cs="Times New Roman"/>
                <w:color w:val="000000" w:themeColor="text1"/>
              </w:rPr>
            </w:pPr>
            <w:r>
              <w:rPr>
                <w:rFonts w:cs="Times New Roman"/>
                <w:color w:val="000000" w:themeColor="text1"/>
              </w:rPr>
              <w:t>有组织废气</w:t>
            </w:r>
          </w:p>
        </w:tc>
        <w:tc>
          <w:tcPr>
            <w:tcW w:w="1252" w:type="dxa"/>
            <w:vAlign w:val="center"/>
          </w:tcPr>
          <w:p>
            <w:pPr>
              <w:pStyle w:val="55"/>
              <w:rPr>
                <w:rFonts w:cs="Times New Roman"/>
                <w:color w:val="000000" w:themeColor="text1"/>
              </w:rPr>
            </w:pPr>
            <w:r>
              <w:rPr>
                <w:rFonts w:cs="Times New Roman"/>
                <w:color w:val="000000" w:themeColor="text1"/>
              </w:rPr>
              <w:t>颗粒物</w:t>
            </w:r>
          </w:p>
        </w:tc>
        <w:tc>
          <w:tcPr>
            <w:tcW w:w="1388" w:type="dxa"/>
            <w:vAlign w:val="center"/>
          </w:tcPr>
          <w:p>
            <w:pPr>
              <w:pStyle w:val="55"/>
              <w:rPr>
                <w:rFonts w:cs="Times New Roman"/>
                <w:color w:val="000000" w:themeColor="text1"/>
              </w:rPr>
            </w:pPr>
            <w:r>
              <w:rPr>
                <w:rFonts w:hint="eastAsia" w:cs="Times New Roman"/>
                <w:color w:val="000000" w:themeColor="text1"/>
              </w:rPr>
              <w:t>450</w:t>
            </w:r>
          </w:p>
        </w:tc>
        <w:tc>
          <w:tcPr>
            <w:tcW w:w="1146" w:type="dxa"/>
            <w:vAlign w:val="center"/>
          </w:tcPr>
          <w:p>
            <w:pPr>
              <w:pStyle w:val="55"/>
              <w:rPr>
                <w:rFonts w:ascii="宋体" w:hAnsi="宋体" w:cs="宋体"/>
                <w:color w:val="000000" w:themeColor="text1"/>
              </w:rPr>
            </w:pPr>
            <w:r>
              <w:rPr>
                <w:rFonts w:hint="eastAsia"/>
                <w:color w:val="000000" w:themeColor="text1"/>
              </w:rPr>
              <w:t>0.31933</w:t>
            </w:r>
          </w:p>
        </w:tc>
        <w:tc>
          <w:tcPr>
            <w:tcW w:w="979" w:type="dxa"/>
            <w:vAlign w:val="center"/>
          </w:tcPr>
          <w:p>
            <w:pPr>
              <w:pStyle w:val="55"/>
              <w:rPr>
                <w:rFonts w:ascii="宋体" w:hAnsi="宋体" w:cs="宋体"/>
                <w:color w:val="000000" w:themeColor="text1"/>
              </w:rPr>
            </w:pPr>
            <w:r>
              <w:rPr>
                <w:rFonts w:hint="eastAsia"/>
                <w:color w:val="000000" w:themeColor="text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702" w:type="dxa"/>
            <w:vMerge w:val="continue"/>
            <w:vAlign w:val="center"/>
          </w:tcPr>
          <w:p>
            <w:pPr>
              <w:pStyle w:val="55"/>
              <w:rPr>
                <w:rFonts w:cs="Times New Roman"/>
                <w:color w:val="000000" w:themeColor="text1"/>
              </w:rPr>
            </w:pPr>
          </w:p>
        </w:tc>
        <w:tc>
          <w:tcPr>
            <w:tcW w:w="1417" w:type="dxa"/>
            <w:vMerge w:val="continue"/>
            <w:vAlign w:val="center"/>
          </w:tcPr>
          <w:p>
            <w:pPr>
              <w:pStyle w:val="55"/>
              <w:rPr>
                <w:rFonts w:cs="Times New Roman"/>
                <w:color w:val="000000" w:themeColor="text1"/>
              </w:rPr>
            </w:pPr>
          </w:p>
        </w:tc>
        <w:tc>
          <w:tcPr>
            <w:tcW w:w="1252" w:type="dxa"/>
            <w:vAlign w:val="center"/>
          </w:tcPr>
          <w:p>
            <w:pPr>
              <w:pStyle w:val="55"/>
              <w:rPr>
                <w:rFonts w:cs="Times New Roman"/>
                <w:color w:val="000000" w:themeColor="text1"/>
              </w:rPr>
            </w:pPr>
            <w:r>
              <w:rPr>
                <w:rFonts w:cs="Times New Roman"/>
                <w:color w:val="000000" w:themeColor="text1"/>
              </w:rPr>
              <w:t>S</w:t>
            </w:r>
            <w:r>
              <w:rPr>
                <w:rFonts w:hint="eastAsia" w:cs="Times New Roman"/>
                <w:color w:val="000000" w:themeColor="text1"/>
              </w:rPr>
              <w:t>O</w:t>
            </w:r>
            <w:r>
              <w:rPr>
                <w:rFonts w:hint="eastAsia" w:cs="Times New Roman"/>
                <w:color w:val="000000" w:themeColor="text1"/>
                <w:vertAlign w:val="subscript"/>
              </w:rPr>
              <w:t>2</w:t>
            </w:r>
          </w:p>
        </w:tc>
        <w:tc>
          <w:tcPr>
            <w:tcW w:w="1388" w:type="dxa"/>
            <w:vAlign w:val="center"/>
          </w:tcPr>
          <w:p>
            <w:pPr>
              <w:pStyle w:val="55"/>
              <w:rPr>
                <w:rFonts w:cs="Times New Roman"/>
                <w:color w:val="000000" w:themeColor="text1"/>
              </w:rPr>
            </w:pPr>
            <w:r>
              <w:rPr>
                <w:rFonts w:hint="eastAsia" w:cs="Times New Roman"/>
                <w:color w:val="000000" w:themeColor="text1"/>
              </w:rPr>
              <w:t>500</w:t>
            </w:r>
          </w:p>
        </w:tc>
        <w:tc>
          <w:tcPr>
            <w:tcW w:w="1146" w:type="dxa"/>
            <w:vAlign w:val="center"/>
          </w:tcPr>
          <w:p>
            <w:pPr>
              <w:pStyle w:val="55"/>
              <w:rPr>
                <w:rFonts w:ascii="宋体" w:hAnsi="宋体" w:cs="宋体"/>
                <w:color w:val="000000" w:themeColor="text1"/>
              </w:rPr>
            </w:pPr>
            <w:r>
              <w:rPr>
                <w:rFonts w:hint="eastAsia"/>
                <w:color w:val="000000" w:themeColor="text1"/>
              </w:rPr>
              <w:t>0.31212</w:t>
            </w:r>
          </w:p>
        </w:tc>
        <w:tc>
          <w:tcPr>
            <w:tcW w:w="979" w:type="dxa"/>
            <w:vAlign w:val="center"/>
          </w:tcPr>
          <w:p>
            <w:pPr>
              <w:pStyle w:val="55"/>
              <w:rPr>
                <w:rFonts w:ascii="宋体" w:hAnsi="宋体" w:cs="宋体"/>
                <w:color w:val="000000" w:themeColor="text1"/>
              </w:rPr>
            </w:pPr>
            <w:r>
              <w:rPr>
                <w:rFonts w:hint="eastAsia"/>
                <w:color w:val="000000" w:themeColor="text1"/>
              </w:rPr>
              <w:t>0.06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702" w:type="dxa"/>
            <w:vMerge w:val="continue"/>
            <w:vAlign w:val="center"/>
          </w:tcPr>
          <w:p>
            <w:pPr>
              <w:pStyle w:val="55"/>
              <w:rPr>
                <w:rFonts w:cs="Times New Roman"/>
                <w:color w:val="000000" w:themeColor="text1"/>
              </w:rPr>
            </w:pPr>
          </w:p>
        </w:tc>
        <w:tc>
          <w:tcPr>
            <w:tcW w:w="1417" w:type="dxa"/>
            <w:vMerge w:val="continue"/>
            <w:vAlign w:val="center"/>
          </w:tcPr>
          <w:p>
            <w:pPr>
              <w:pStyle w:val="55"/>
              <w:rPr>
                <w:rFonts w:cs="Times New Roman"/>
                <w:color w:val="000000" w:themeColor="text1"/>
              </w:rPr>
            </w:pPr>
          </w:p>
        </w:tc>
        <w:tc>
          <w:tcPr>
            <w:tcW w:w="1252" w:type="dxa"/>
            <w:vAlign w:val="center"/>
          </w:tcPr>
          <w:p>
            <w:pPr>
              <w:pStyle w:val="55"/>
              <w:rPr>
                <w:rFonts w:cs="Times New Roman"/>
                <w:color w:val="000000" w:themeColor="text1"/>
              </w:rPr>
            </w:pPr>
            <w:r>
              <w:rPr>
                <w:rFonts w:hint="eastAsia" w:cs="Times New Roman"/>
                <w:color w:val="000000" w:themeColor="text1"/>
              </w:rPr>
              <w:t>NOx</w:t>
            </w:r>
          </w:p>
        </w:tc>
        <w:tc>
          <w:tcPr>
            <w:tcW w:w="1388" w:type="dxa"/>
            <w:vAlign w:val="center"/>
          </w:tcPr>
          <w:p>
            <w:pPr>
              <w:pStyle w:val="55"/>
              <w:rPr>
                <w:rFonts w:cs="Times New Roman"/>
                <w:color w:val="000000" w:themeColor="text1"/>
              </w:rPr>
            </w:pPr>
            <w:r>
              <w:rPr>
                <w:rFonts w:hint="eastAsia" w:cs="Times New Roman"/>
                <w:color w:val="000000" w:themeColor="text1"/>
              </w:rPr>
              <w:t>250</w:t>
            </w:r>
          </w:p>
        </w:tc>
        <w:tc>
          <w:tcPr>
            <w:tcW w:w="1146" w:type="dxa"/>
            <w:vAlign w:val="center"/>
          </w:tcPr>
          <w:p>
            <w:pPr>
              <w:pStyle w:val="55"/>
              <w:rPr>
                <w:rFonts w:ascii="宋体" w:hAnsi="宋体" w:cs="宋体"/>
                <w:color w:val="000000" w:themeColor="text1"/>
              </w:rPr>
            </w:pPr>
            <w:r>
              <w:rPr>
                <w:rFonts w:hint="eastAsia"/>
                <w:color w:val="000000" w:themeColor="text1"/>
              </w:rPr>
              <w:t>2.16321</w:t>
            </w:r>
          </w:p>
        </w:tc>
        <w:tc>
          <w:tcPr>
            <w:tcW w:w="979" w:type="dxa"/>
            <w:vAlign w:val="center"/>
          </w:tcPr>
          <w:p>
            <w:pPr>
              <w:pStyle w:val="55"/>
              <w:rPr>
                <w:rFonts w:ascii="宋体" w:hAnsi="宋体" w:cs="宋体"/>
                <w:color w:val="000000" w:themeColor="text1"/>
              </w:rPr>
            </w:pPr>
            <w:r>
              <w:rPr>
                <w:rFonts w:hint="eastAsia"/>
                <w:color w:val="000000" w:themeColor="text1"/>
              </w:rPr>
              <w:t>0.87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702" w:type="dxa"/>
            <w:vMerge w:val="restart"/>
            <w:vAlign w:val="center"/>
          </w:tcPr>
          <w:p>
            <w:pPr>
              <w:pStyle w:val="55"/>
              <w:rPr>
                <w:rFonts w:cs="Times New Roman"/>
                <w:color w:val="000000" w:themeColor="text1"/>
              </w:rPr>
            </w:pPr>
            <w:r>
              <w:rPr>
                <w:rFonts w:cs="Times New Roman"/>
                <w:color w:val="000000" w:themeColor="text1"/>
              </w:rPr>
              <w:t>焚烧炉烟气</w:t>
            </w:r>
          </w:p>
        </w:tc>
        <w:tc>
          <w:tcPr>
            <w:tcW w:w="1417" w:type="dxa"/>
            <w:vMerge w:val="restart"/>
            <w:vAlign w:val="center"/>
          </w:tcPr>
          <w:p>
            <w:pPr>
              <w:pStyle w:val="55"/>
              <w:rPr>
                <w:rFonts w:cs="Times New Roman"/>
                <w:color w:val="000000" w:themeColor="text1"/>
              </w:rPr>
            </w:pPr>
            <w:r>
              <w:rPr>
                <w:rFonts w:cs="Times New Roman"/>
                <w:color w:val="000000" w:themeColor="text1"/>
              </w:rPr>
              <w:t>有组织废气</w:t>
            </w:r>
          </w:p>
        </w:tc>
        <w:tc>
          <w:tcPr>
            <w:tcW w:w="1252" w:type="dxa"/>
            <w:vAlign w:val="center"/>
          </w:tcPr>
          <w:p>
            <w:pPr>
              <w:pStyle w:val="55"/>
              <w:rPr>
                <w:rFonts w:cs="Times New Roman"/>
                <w:color w:val="000000" w:themeColor="text1"/>
              </w:rPr>
            </w:pPr>
            <w:r>
              <w:rPr>
                <w:rFonts w:cs="Times New Roman"/>
                <w:color w:val="000000" w:themeColor="text1"/>
              </w:rPr>
              <w:t>颗粒物</w:t>
            </w:r>
          </w:p>
        </w:tc>
        <w:tc>
          <w:tcPr>
            <w:tcW w:w="1388" w:type="dxa"/>
            <w:vAlign w:val="center"/>
          </w:tcPr>
          <w:p>
            <w:pPr>
              <w:pStyle w:val="55"/>
              <w:rPr>
                <w:rFonts w:cs="Times New Roman"/>
                <w:color w:val="000000" w:themeColor="text1"/>
              </w:rPr>
            </w:pPr>
            <w:r>
              <w:rPr>
                <w:rFonts w:hint="eastAsia" w:cs="Times New Roman"/>
                <w:color w:val="000000" w:themeColor="text1"/>
              </w:rPr>
              <w:t>450</w:t>
            </w:r>
          </w:p>
        </w:tc>
        <w:tc>
          <w:tcPr>
            <w:tcW w:w="1146" w:type="dxa"/>
            <w:vAlign w:val="center"/>
          </w:tcPr>
          <w:p>
            <w:pPr>
              <w:pStyle w:val="55"/>
              <w:rPr>
                <w:rFonts w:ascii="宋体" w:hAnsi="宋体" w:cs="宋体"/>
                <w:color w:val="000000" w:themeColor="text1"/>
                <w:szCs w:val="21"/>
              </w:rPr>
            </w:pPr>
            <w:r>
              <w:rPr>
                <w:rFonts w:hint="eastAsia"/>
                <w:color w:val="000000" w:themeColor="text1"/>
                <w:szCs w:val="21"/>
              </w:rPr>
              <w:t>3.827397</w:t>
            </w:r>
          </w:p>
        </w:tc>
        <w:tc>
          <w:tcPr>
            <w:tcW w:w="979" w:type="dxa"/>
            <w:vAlign w:val="center"/>
          </w:tcPr>
          <w:p>
            <w:pPr>
              <w:pStyle w:val="55"/>
              <w:rPr>
                <w:rFonts w:ascii="宋体" w:hAnsi="宋体" w:cs="宋体"/>
                <w:color w:val="000000" w:themeColor="text1"/>
                <w:szCs w:val="21"/>
              </w:rPr>
            </w:pPr>
            <w:r>
              <w:rPr>
                <w:rFonts w:hint="eastAsia"/>
                <w:color w:val="000000" w:themeColor="text1"/>
                <w:szCs w:val="21"/>
              </w:rPr>
              <w:t>0.85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702" w:type="dxa"/>
            <w:vMerge w:val="continue"/>
            <w:vAlign w:val="center"/>
          </w:tcPr>
          <w:p>
            <w:pPr>
              <w:pStyle w:val="55"/>
              <w:rPr>
                <w:rFonts w:cs="Times New Roman"/>
                <w:color w:val="000000" w:themeColor="text1"/>
              </w:rPr>
            </w:pPr>
          </w:p>
        </w:tc>
        <w:tc>
          <w:tcPr>
            <w:tcW w:w="1417" w:type="dxa"/>
            <w:vMerge w:val="continue"/>
            <w:vAlign w:val="center"/>
          </w:tcPr>
          <w:p>
            <w:pPr>
              <w:pStyle w:val="55"/>
              <w:rPr>
                <w:rFonts w:cs="Times New Roman"/>
                <w:color w:val="000000" w:themeColor="text1"/>
              </w:rPr>
            </w:pPr>
          </w:p>
        </w:tc>
        <w:tc>
          <w:tcPr>
            <w:tcW w:w="1252" w:type="dxa"/>
            <w:vAlign w:val="center"/>
          </w:tcPr>
          <w:p>
            <w:pPr>
              <w:pStyle w:val="55"/>
              <w:rPr>
                <w:rFonts w:cs="Times New Roman"/>
                <w:color w:val="000000" w:themeColor="text1"/>
              </w:rPr>
            </w:pPr>
            <w:r>
              <w:rPr>
                <w:rFonts w:cs="Times New Roman"/>
                <w:color w:val="000000" w:themeColor="text1"/>
              </w:rPr>
              <w:t>S</w:t>
            </w:r>
            <w:r>
              <w:rPr>
                <w:rFonts w:hint="eastAsia" w:cs="Times New Roman"/>
                <w:color w:val="000000" w:themeColor="text1"/>
              </w:rPr>
              <w:t>O</w:t>
            </w:r>
            <w:r>
              <w:rPr>
                <w:rFonts w:hint="eastAsia" w:cs="Times New Roman"/>
                <w:color w:val="000000" w:themeColor="text1"/>
                <w:vertAlign w:val="subscript"/>
              </w:rPr>
              <w:t>2</w:t>
            </w:r>
          </w:p>
        </w:tc>
        <w:tc>
          <w:tcPr>
            <w:tcW w:w="1388" w:type="dxa"/>
            <w:vAlign w:val="center"/>
          </w:tcPr>
          <w:p>
            <w:pPr>
              <w:pStyle w:val="55"/>
              <w:rPr>
                <w:rFonts w:cs="Times New Roman"/>
                <w:color w:val="000000" w:themeColor="text1"/>
              </w:rPr>
            </w:pPr>
            <w:r>
              <w:rPr>
                <w:rFonts w:hint="eastAsia" w:cs="Times New Roman"/>
                <w:color w:val="000000" w:themeColor="text1"/>
              </w:rPr>
              <w:t>500</w:t>
            </w:r>
          </w:p>
        </w:tc>
        <w:tc>
          <w:tcPr>
            <w:tcW w:w="1146" w:type="dxa"/>
            <w:vAlign w:val="center"/>
          </w:tcPr>
          <w:p>
            <w:pPr>
              <w:pStyle w:val="55"/>
              <w:rPr>
                <w:rFonts w:ascii="宋体" w:hAnsi="宋体" w:cs="宋体"/>
                <w:color w:val="000000" w:themeColor="text1"/>
                <w:szCs w:val="21"/>
              </w:rPr>
            </w:pPr>
            <w:r>
              <w:rPr>
                <w:rFonts w:hint="eastAsia"/>
                <w:color w:val="000000" w:themeColor="text1"/>
                <w:szCs w:val="21"/>
              </w:rPr>
              <w:t>0.19436</w:t>
            </w:r>
          </w:p>
        </w:tc>
        <w:tc>
          <w:tcPr>
            <w:tcW w:w="979" w:type="dxa"/>
            <w:vAlign w:val="center"/>
          </w:tcPr>
          <w:p>
            <w:pPr>
              <w:pStyle w:val="55"/>
              <w:rPr>
                <w:rFonts w:ascii="宋体" w:hAnsi="宋体" w:cs="宋体"/>
                <w:color w:val="000000" w:themeColor="text1"/>
                <w:szCs w:val="21"/>
              </w:rPr>
            </w:pPr>
            <w:r>
              <w:rPr>
                <w:rFonts w:hint="eastAsia"/>
                <w:color w:val="000000" w:themeColor="text1"/>
                <w:szCs w:val="21"/>
              </w:rPr>
              <w:t>0.04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702" w:type="dxa"/>
            <w:vMerge w:val="continue"/>
            <w:vAlign w:val="center"/>
          </w:tcPr>
          <w:p>
            <w:pPr>
              <w:pStyle w:val="55"/>
              <w:rPr>
                <w:rFonts w:cs="Times New Roman"/>
                <w:color w:val="000000" w:themeColor="text1"/>
              </w:rPr>
            </w:pPr>
          </w:p>
        </w:tc>
        <w:tc>
          <w:tcPr>
            <w:tcW w:w="1417" w:type="dxa"/>
            <w:vMerge w:val="continue"/>
            <w:vAlign w:val="center"/>
          </w:tcPr>
          <w:p>
            <w:pPr>
              <w:pStyle w:val="55"/>
              <w:rPr>
                <w:rFonts w:cs="Times New Roman"/>
                <w:color w:val="000000" w:themeColor="text1"/>
              </w:rPr>
            </w:pPr>
          </w:p>
        </w:tc>
        <w:tc>
          <w:tcPr>
            <w:tcW w:w="1252" w:type="dxa"/>
            <w:vAlign w:val="center"/>
          </w:tcPr>
          <w:p>
            <w:pPr>
              <w:pStyle w:val="55"/>
              <w:rPr>
                <w:rFonts w:cs="Times New Roman"/>
                <w:color w:val="000000" w:themeColor="text1"/>
              </w:rPr>
            </w:pPr>
            <w:r>
              <w:rPr>
                <w:rFonts w:hint="eastAsia" w:cs="Times New Roman"/>
                <w:color w:val="000000" w:themeColor="text1"/>
              </w:rPr>
              <w:t>NOx</w:t>
            </w:r>
          </w:p>
        </w:tc>
        <w:tc>
          <w:tcPr>
            <w:tcW w:w="1388" w:type="dxa"/>
            <w:vAlign w:val="center"/>
          </w:tcPr>
          <w:p>
            <w:pPr>
              <w:pStyle w:val="55"/>
              <w:rPr>
                <w:rFonts w:cs="Times New Roman"/>
                <w:color w:val="000000" w:themeColor="text1"/>
              </w:rPr>
            </w:pPr>
            <w:r>
              <w:rPr>
                <w:rFonts w:hint="eastAsia" w:cs="Times New Roman"/>
                <w:color w:val="000000" w:themeColor="text1"/>
              </w:rPr>
              <w:t>250</w:t>
            </w:r>
          </w:p>
        </w:tc>
        <w:tc>
          <w:tcPr>
            <w:tcW w:w="1146" w:type="dxa"/>
            <w:vAlign w:val="center"/>
          </w:tcPr>
          <w:p>
            <w:pPr>
              <w:pStyle w:val="55"/>
              <w:rPr>
                <w:rFonts w:ascii="宋体" w:hAnsi="宋体" w:cs="宋体"/>
                <w:color w:val="000000" w:themeColor="text1"/>
                <w:szCs w:val="21"/>
              </w:rPr>
            </w:pPr>
            <w:r>
              <w:rPr>
                <w:rFonts w:hint="eastAsia"/>
                <w:color w:val="000000" w:themeColor="text1"/>
                <w:szCs w:val="21"/>
              </w:rPr>
              <w:t>6.279323</w:t>
            </w:r>
          </w:p>
        </w:tc>
        <w:tc>
          <w:tcPr>
            <w:tcW w:w="979" w:type="dxa"/>
            <w:vAlign w:val="center"/>
          </w:tcPr>
          <w:p>
            <w:pPr>
              <w:pStyle w:val="55"/>
              <w:rPr>
                <w:rFonts w:ascii="宋体" w:hAnsi="宋体" w:cs="宋体"/>
                <w:color w:val="000000" w:themeColor="text1"/>
                <w:szCs w:val="21"/>
              </w:rPr>
            </w:pPr>
            <w:r>
              <w:rPr>
                <w:rFonts w:hint="eastAsia"/>
                <w:color w:val="000000" w:themeColor="text1"/>
                <w:szCs w:val="21"/>
              </w:rPr>
              <w:t>2.51</w:t>
            </w:r>
          </w:p>
        </w:tc>
      </w:tr>
    </w:tbl>
    <w:p>
      <w:pPr>
        <w:adjustRightInd w:val="0"/>
        <w:snapToGrid w:val="0"/>
        <w:ind w:firstLine="480"/>
        <w:rPr>
          <w:bCs/>
          <w:color w:val="000000" w:themeColor="text1"/>
          <w:kern w:val="0"/>
          <w:szCs w:val="24"/>
        </w:rPr>
      </w:pPr>
      <w:r>
        <w:rPr>
          <w:rFonts w:hint="eastAsia"/>
          <w:bCs/>
          <w:color w:val="000000" w:themeColor="text1"/>
          <w:kern w:val="0"/>
          <w:szCs w:val="24"/>
        </w:rPr>
        <w:t>本项目Pmax最大值出现为有组织排放的</w:t>
      </w:r>
      <w:r>
        <w:rPr>
          <w:rFonts w:hint="eastAsia"/>
          <w:color w:val="000000" w:themeColor="text1"/>
        </w:rPr>
        <w:t>NOx</w:t>
      </w:r>
      <w:r>
        <w:rPr>
          <w:rFonts w:hint="eastAsia"/>
          <w:bCs/>
          <w:color w:val="000000" w:themeColor="text1"/>
          <w:kern w:val="0"/>
          <w:szCs w:val="24"/>
        </w:rPr>
        <w:t>，Pmax值为2.51%，Cmax为</w:t>
      </w:r>
      <w:r>
        <w:rPr>
          <w:rFonts w:hint="eastAsia"/>
          <w:color w:val="000000" w:themeColor="text1"/>
          <w:szCs w:val="21"/>
        </w:rPr>
        <w:t>6.279323</w:t>
      </w:r>
      <w:r>
        <w:rPr>
          <w:rFonts w:cs="Times New Roman"/>
          <w:color w:val="000000" w:themeColor="text1"/>
          <w:szCs w:val="21"/>
        </w:rPr>
        <w:t>μ</w:t>
      </w:r>
      <w:r>
        <w:rPr>
          <w:rFonts w:cs="Times New Roman"/>
          <w:bCs/>
          <w:color w:val="000000" w:themeColor="text1"/>
          <w:kern w:val="0"/>
          <w:szCs w:val="24"/>
        </w:rPr>
        <w:t>g/m</w:t>
      </w:r>
      <w:r>
        <w:rPr>
          <w:rFonts w:hint="eastAsia"/>
          <w:bCs/>
          <w:color w:val="000000" w:themeColor="text1"/>
          <w:kern w:val="0"/>
          <w:szCs w:val="24"/>
          <w:vertAlign w:val="superscript"/>
        </w:rPr>
        <w:t>3</w:t>
      </w:r>
      <w:r>
        <w:rPr>
          <w:rFonts w:hint="eastAsia"/>
          <w:bCs/>
          <w:color w:val="000000" w:themeColor="text1"/>
          <w:kern w:val="0"/>
          <w:szCs w:val="24"/>
        </w:rPr>
        <w:t>，根据《环境影响评价技术导则大气环境》(HJ2.2-2018)分级判据，确定本项目大气环境影响评价工作等级为二级。因此无需进行进一步预测与评价，只需对污染物排放量进行核算。</w:t>
      </w:r>
    </w:p>
    <w:p>
      <w:pPr>
        <w:pStyle w:val="54"/>
        <w:rPr>
          <w:color w:val="000000" w:themeColor="text1"/>
        </w:rPr>
      </w:pPr>
      <w:r>
        <w:rPr>
          <w:color w:val="000000" w:themeColor="text1"/>
        </w:rPr>
        <w:t>表</w:t>
      </w:r>
      <w:r>
        <w:rPr>
          <w:rFonts w:hint="eastAsia"/>
          <w:color w:val="000000" w:themeColor="text1"/>
        </w:rPr>
        <w:t>1.5.1-2  大气环境影响评价工作级别判据表</w:t>
      </w:r>
    </w:p>
    <w:tbl>
      <w:tblPr>
        <w:tblStyle w:val="42"/>
        <w:tblW w:w="68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1"/>
        <w:gridCol w:w="4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1"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评价工作等级</w:t>
            </w:r>
          </w:p>
        </w:tc>
        <w:tc>
          <w:tcPr>
            <w:tcW w:w="4279"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评价工作分级依据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1"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一级评价</w:t>
            </w:r>
          </w:p>
        </w:tc>
        <w:tc>
          <w:tcPr>
            <w:tcW w:w="4279"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1"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二级评价</w:t>
            </w:r>
          </w:p>
        </w:tc>
        <w:tc>
          <w:tcPr>
            <w:tcW w:w="4279"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1%≤Pmax＜10%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1"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三级评价</w:t>
            </w:r>
          </w:p>
        </w:tc>
        <w:tc>
          <w:tcPr>
            <w:tcW w:w="4279"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 xml:space="preserve">Pmax&lt;1% </w:t>
            </w:r>
          </w:p>
        </w:tc>
      </w:tr>
    </w:tbl>
    <w:p>
      <w:pPr>
        <w:ind w:firstLine="480"/>
        <w:rPr>
          <w:color w:val="000000" w:themeColor="text1"/>
        </w:rPr>
      </w:pPr>
      <w:r>
        <w:rPr>
          <w:rFonts w:hint="eastAsia"/>
          <w:color w:val="000000" w:themeColor="text1"/>
        </w:rPr>
        <w:t>根据导则规定，项目污染物数大于1，取最大P值(Pmax)作为等级划分依据，废气P值中最大的是</w:t>
      </w:r>
      <w:r>
        <w:rPr>
          <w:rFonts w:hint="eastAsia"/>
          <w:bCs/>
          <w:color w:val="000000" w:themeColor="text1"/>
          <w:kern w:val="0"/>
          <w:szCs w:val="24"/>
        </w:rPr>
        <w:t>有组织排放的</w:t>
      </w:r>
      <w:r>
        <w:rPr>
          <w:rFonts w:hint="eastAsia"/>
          <w:color w:val="000000" w:themeColor="text1"/>
        </w:rPr>
        <w:t>NOx，该污染物Pmax=2.51%＜10%。根据《环境影响评价技术导则 大气环境》（HJ2.2-2018）表2规定，该项目大气环境评价等级确定为二级。</w:t>
      </w:r>
    </w:p>
    <w:p>
      <w:pPr>
        <w:ind w:firstLine="480"/>
        <w:rPr>
          <w:color w:val="000000" w:themeColor="text1"/>
        </w:rPr>
      </w:pPr>
      <w:r>
        <w:rPr>
          <w:rFonts w:hint="eastAsia"/>
          <w:color w:val="000000" w:themeColor="text1"/>
        </w:rPr>
        <w:t>根据二级评价的要求，考虑工程周围环境具体情况，根据工程周围地形、风向等特征，确定本次环境影响评价的范围为以项目厂址为中心区域，边长取5km的矩形范围区域内。</w:t>
      </w:r>
      <w:r>
        <w:rPr>
          <w:rFonts w:hint="eastAsia" w:cs="Times New Roman"/>
          <w:color w:val="000000" w:themeColor="text1"/>
        </w:rPr>
        <w:t>评价范围详见附图5。</w:t>
      </w:r>
    </w:p>
    <w:p>
      <w:pPr>
        <w:ind w:firstLine="482"/>
        <w:rPr>
          <w:b/>
          <w:color w:val="000000" w:themeColor="text1"/>
        </w:rPr>
      </w:pPr>
      <w:r>
        <w:rPr>
          <w:rFonts w:hint="eastAsia"/>
          <w:b/>
          <w:color w:val="000000" w:themeColor="text1"/>
        </w:rPr>
        <w:t>2、地表水环境</w:t>
      </w:r>
    </w:p>
    <w:p>
      <w:pPr>
        <w:ind w:firstLine="480"/>
        <w:rPr>
          <w:color w:val="000000" w:themeColor="text1"/>
        </w:rPr>
      </w:pPr>
      <w:r>
        <w:rPr>
          <w:rFonts w:hint="eastAsia"/>
          <w:color w:val="000000" w:themeColor="text1"/>
        </w:rPr>
        <w:t>根据《环境影响评价技术导则地表水环境》（</w:t>
      </w:r>
      <w:r>
        <w:rPr>
          <w:color w:val="000000" w:themeColor="text1"/>
        </w:rPr>
        <w:t>HJ2.3-2018</w:t>
      </w:r>
      <w:r>
        <w:rPr>
          <w:rFonts w:hint="eastAsia"/>
          <w:color w:val="000000" w:themeColor="text1"/>
        </w:rPr>
        <w:t>），根据下表判定水污染影响型建设项目评价等级。</w:t>
      </w:r>
    </w:p>
    <w:p>
      <w:pPr>
        <w:pStyle w:val="54"/>
        <w:rPr>
          <w:color w:val="000000" w:themeColor="text1"/>
        </w:rPr>
      </w:pPr>
      <w:r>
        <w:rPr>
          <w:rFonts w:hint="eastAsia"/>
          <w:color w:val="000000" w:themeColor="text1"/>
        </w:rPr>
        <w:t>表1.5.1</w:t>
      </w:r>
      <w:r>
        <w:rPr>
          <w:color w:val="000000" w:themeColor="text1"/>
        </w:rPr>
        <w:t>-</w:t>
      </w:r>
      <w:r>
        <w:rPr>
          <w:rFonts w:hint="eastAsia"/>
          <w:color w:val="000000" w:themeColor="text1"/>
        </w:rPr>
        <w:t>3 地表水评价等级判定</w:t>
      </w:r>
    </w:p>
    <w:tbl>
      <w:tblPr>
        <w:tblStyle w:val="42"/>
        <w:tblW w:w="7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1"/>
        <w:gridCol w:w="2811"/>
        <w:gridCol w:w="2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1"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评价等级</w:t>
            </w:r>
          </w:p>
        </w:tc>
        <w:tc>
          <w:tcPr>
            <w:tcW w:w="5656"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1"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281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排放方式</w:t>
            </w:r>
          </w:p>
        </w:tc>
        <w:tc>
          <w:tcPr>
            <w:tcW w:w="2845"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0"/>
              </w:rPr>
            </w:pPr>
            <w:r>
              <w:rPr>
                <w:rFonts w:hint="eastAsia"/>
                <w:color w:val="000000" w:themeColor="text1"/>
              </w:rPr>
              <w:t>废水排放量</w:t>
            </w:r>
            <w:r>
              <w:rPr>
                <w:color w:val="000000" w:themeColor="text1"/>
              </w:rPr>
              <w:t>Q/</w:t>
            </w:r>
            <w:r>
              <w:rPr>
                <w:rFonts w:hint="eastAsia"/>
                <w:color w:val="000000" w:themeColor="text1"/>
              </w:rPr>
              <w:t>（</w:t>
            </w:r>
            <w:r>
              <w:rPr>
                <w:color w:val="000000" w:themeColor="text1"/>
              </w:rPr>
              <w:t>m³/d</w:t>
            </w:r>
            <w:r>
              <w:rPr>
                <w:rFonts w:hint="eastAsia"/>
                <w:color w:val="000000" w:themeColor="text1"/>
              </w:rPr>
              <w:t>）</w:t>
            </w:r>
          </w:p>
          <w:p>
            <w:pPr>
              <w:pStyle w:val="55"/>
              <w:rPr>
                <w:color w:val="000000" w:themeColor="text1"/>
                <w:szCs w:val="24"/>
              </w:rPr>
            </w:pPr>
            <w:r>
              <w:rPr>
                <w:rFonts w:hint="eastAsia"/>
                <w:color w:val="000000" w:themeColor="text1"/>
              </w:rPr>
              <w:t>水污染物当量数</w:t>
            </w:r>
            <w:r>
              <w:rPr>
                <w:color w:val="000000" w:themeColor="text1"/>
              </w:rPr>
              <w:t>W/</w:t>
            </w:r>
            <w:r>
              <w:rPr>
                <w:rFonts w:hint="eastAsia"/>
                <w:color w:val="000000" w:themeColor="text1"/>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一级</w:t>
            </w:r>
          </w:p>
        </w:tc>
        <w:tc>
          <w:tcPr>
            <w:tcW w:w="281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直接排放</w:t>
            </w:r>
          </w:p>
        </w:tc>
        <w:tc>
          <w:tcPr>
            <w:tcW w:w="284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color w:val="000000" w:themeColor="text1"/>
              </w:rPr>
              <w:t>Q</w:t>
            </w:r>
            <w:r>
              <w:rPr>
                <w:rFonts w:hint="eastAsia"/>
                <w:color w:val="000000" w:themeColor="text1"/>
              </w:rPr>
              <w:t>≥</w:t>
            </w:r>
            <w:r>
              <w:rPr>
                <w:color w:val="000000" w:themeColor="text1"/>
              </w:rPr>
              <w:t>20000</w:t>
            </w:r>
            <w:r>
              <w:rPr>
                <w:rFonts w:hint="eastAsia"/>
                <w:color w:val="000000" w:themeColor="text1"/>
              </w:rPr>
              <w:t>或</w:t>
            </w:r>
            <w:r>
              <w:rPr>
                <w:color w:val="000000" w:themeColor="text1"/>
              </w:rPr>
              <w:t>W</w:t>
            </w:r>
            <w:r>
              <w:rPr>
                <w:rFonts w:hint="eastAsia"/>
                <w:color w:val="000000" w:themeColor="text1"/>
              </w:rPr>
              <w:t>≥</w:t>
            </w:r>
            <w:r>
              <w:rPr>
                <w:color w:val="000000" w:themeColor="text1"/>
              </w:rPr>
              <w:t>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二级</w:t>
            </w:r>
          </w:p>
        </w:tc>
        <w:tc>
          <w:tcPr>
            <w:tcW w:w="281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直接排放</w:t>
            </w:r>
          </w:p>
        </w:tc>
        <w:tc>
          <w:tcPr>
            <w:tcW w:w="284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三级</w:t>
            </w:r>
          </w:p>
        </w:tc>
        <w:tc>
          <w:tcPr>
            <w:tcW w:w="281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直接排放</w:t>
            </w:r>
          </w:p>
        </w:tc>
        <w:tc>
          <w:tcPr>
            <w:tcW w:w="284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color w:val="000000" w:themeColor="text1"/>
              </w:rPr>
              <w:t>Q</w:t>
            </w:r>
            <w:r>
              <w:rPr>
                <w:rFonts w:hint="eastAsia"/>
                <w:color w:val="000000" w:themeColor="text1"/>
              </w:rPr>
              <w:t>＜</w:t>
            </w:r>
            <w:r>
              <w:rPr>
                <w:color w:val="000000" w:themeColor="text1"/>
              </w:rPr>
              <w:t>200</w:t>
            </w:r>
            <w:r>
              <w:rPr>
                <w:rFonts w:hint="eastAsia"/>
                <w:color w:val="000000" w:themeColor="text1"/>
              </w:rPr>
              <w:t>且</w:t>
            </w:r>
            <w:r>
              <w:rPr>
                <w:color w:val="000000" w:themeColor="text1"/>
              </w:rPr>
              <w:t>W</w:t>
            </w:r>
            <w:r>
              <w:rPr>
                <w:rFonts w:hint="eastAsia"/>
                <w:color w:val="000000" w:themeColor="text1"/>
              </w:rPr>
              <w:t>＜</w:t>
            </w:r>
            <w:r>
              <w:rPr>
                <w:color w:val="000000" w:themeColor="text1"/>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三级</w:t>
            </w:r>
            <w:r>
              <w:rPr>
                <w:color w:val="000000" w:themeColor="text1"/>
              </w:rPr>
              <w:t>B</w:t>
            </w:r>
          </w:p>
        </w:tc>
        <w:tc>
          <w:tcPr>
            <w:tcW w:w="281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间接排放</w:t>
            </w:r>
          </w:p>
        </w:tc>
        <w:tc>
          <w:tcPr>
            <w:tcW w:w="284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w:t>
            </w:r>
          </w:p>
        </w:tc>
      </w:tr>
    </w:tbl>
    <w:p>
      <w:pPr>
        <w:ind w:firstLine="480"/>
        <w:rPr>
          <w:rFonts w:hAnsi="宋体"/>
          <w:color w:val="000000" w:themeColor="text1"/>
        </w:rPr>
      </w:pPr>
      <w:r>
        <w:rPr>
          <w:bCs/>
          <w:color w:val="000000" w:themeColor="text1"/>
          <w:kern w:val="0"/>
        </w:rPr>
        <w:t>本项目运营期废水主要为屠宰废水</w:t>
      </w:r>
      <w:r>
        <w:rPr>
          <w:rFonts w:hint="eastAsia"/>
          <w:bCs/>
          <w:color w:val="000000" w:themeColor="text1"/>
          <w:kern w:val="0"/>
        </w:rPr>
        <w:t>、</w:t>
      </w:r>
      <w:r>
        <w:rPr>
          <w:bCs/>
          <w:color w:val="000000" w:themeColor="text1"/>
          <w:kern w:val="0"/>
        </w:rPr>
        <w:t>冲洗消毒废水及少量生活污水，经自建的污水处理站处理满足</w:t>
      </w:r>
      <w:r>
        <w:rPr>
          <w:rFonts w:hint="eastAsia"/>
          <w:bCs/>
          <w:color w:val="000000" w:themeColor="text1"/>
          <w:kern w:val="0"/>
          <w:szCs w:val="24"/>
        </w:rPr>
        <w:t>《肉类加工工业水污染物排放标准》（GB 13457-92）中较严格的禽类屠宰加工三级标准和《污水排入城镇下水道水质标准》（GB/T 31962-2015）表1中的B级标准后排入砚山县城镇污水管网</w:t>
      </w:r>
      <w:r>
        <w:rPr>
          <w:bCs/>
          <w:color w:val="000000" w:themeColor="text1"/>
          <w:kern w:val="0"/>
        </w:rPr>
        <w:t>。</w:t>
      </w:r>
      <w:r>
        <w:rPr>
          <w:rFonts w:hAnsi="宋体"/>
          <w:color w:val="000000" w:themeColor="text1"/>
        </w:rPr>
        <w:t>本项目属于</w:t>
      </w:r>
      <w:r>
        <w:rPr>
          <w:color w:val="000000" w:themeColor="text1"/>
        </w:rPr>
        <w:t>“</w:t>
      </w:r>
      <w:r>
        <w:rPr>
          <w:rFonts w:hint="eastAsia" w:hAnsi="宋体"/>
          <w:color w:val="000000" w:themeColor="text1"/>
        </w:rPr>
        <w:t>间接排放</w:t>
      </w:r>
      <w:r>
        <w:rPr>
          <w:color w:val="000000" w:themeColor="text1"/>
        </w:rPr>
        <w:t>”</w:t>
      </w:r>
      <w:r>
        <w:rPr>
          <w:rFonts w:hAnsi="宋体"/>
          <w:color w:val="000000" w:themeColor="text1"/>
        </w:rPr>
        <w:t>的项目，根据《环境影响评价技术导则</w:t>
      </w:r>
      <w:r>
        <w:rPr>
          <w:color w:val="000000" w:themeColor="text1"/>
        </w:rPr>
        <w:t xml:space="preserve"> </w:t>
      </w:r>
      <w:r>
        <w:rPr>
          <w:rFonts w:hAnsi="宋体"/>
          <w:color w:val="000000" w:themeColor="text1"/>
        </w:rPr>
        <w:t>地表水环境》（</w:t>
      </w:r>
      <w:r>
        <w:rPr>
          <w:color w:val="000000" w:themeColor="text1"/>
        </w:rPr>
        <w:t>HJ2.3-2018</w:t>
      </w:r>
      <w:r>
        <w:rPr>
          <w:rFonts w:hAnsi="宋体"/>
          <w:color w:val="000000" w:themeColor="text1"/>
        </w:rPr>
        <w:t>）的</w:t>
      </w:r>
      <w:r>
        <w:rPr>
          <w:color w:val="000000" w:themeColor="text1"/>
        </w:rPr>
        <w:t xml:space="preserve"> 5.2.2.2</w:t>
      </w:r>
      <w:r>
        <w:rPr>
          <w:rFonts w:hAnsi="宋体"/>
          <w:color w:val="000000" w:themeColor="text1"/>
        </w:rPr>
        <w:t>规定</w:t>
      </w:r>
      <w:r>
        <w:rPr>
          <w:color w:val="000000" w:themeColor="text1"/>
        </w:rPr>
        <w:t>“</w:t>
      </w:r>
      <w:r>
        <w:rPr>
          <w:rFonts w:hAnsi="宋体"/>
          <w:color w:val="000000" w:themeColor="text1"/>
        </w:rPr>
        <w:t>间接排放建设项目评价等级为三级</w:t>
      </w:r>
      <w:r>
        <w:rPr>
          <w:color w:val="000000" w:themeColor="text1"/>
        </w:rPr>
        <w:t xml:space="preserve"> B”</w:t>
      </w:r>
      <w:r>
        <w:rPr>
          <w:rFonts w:hAnsi="宋体"/>
          <w:color w:val="000000" w:themeColor="text1"/>
        </w:rPr>
        <w:t>，不进行水环境影响预测。</w:t>
      </w:r>
    </w:p>
    <w:p>
      <w:pPr>
        <w:ind w:firstLine="482"/>
        <w:rPr>
          <w:b/>
          <w:color w:val="000000" w:themeColor="text1"/>
        </w:rPr>
      </w:pPr>
      <w:r>
        <w:rPr>
          <w:rFonts w:hint="eastAsia"/>
          <w:b/>
          <w:color w:val="000000" w:themeColor="text1"/>
        </w:rPr>
        <w:t>3、地下水环境</w:t>
      </w:r>
    </w:p>
    <w:p>
      <w:pPr>
        <w:ind w:firstLine="480"/>
        <w:rPr>
          <w:rFonts w:cs="Times New Roman"/>
          <w:color w:val="000000" w:themeColor="text1"/>
        </w:rPr>
      </w:pPr>
      <w:r>
        <w:rPr>
          <w:rFonts w:cs="Times New Roman"/>
          <w:color w:val="000000" w:themeColor="text1"/>
        </w:rPr>
        <w:t>根据《环境影响评价技术导则 地下水环境》(HJ610-2016)中的相关要求及查询附录 A 可知：项目属于“轻工 98、屠宰 (年屠宰 10 万头畜类及以上) 报告书Ⅲ类项目类别。”由于项目地不属于地下水环境敏感区，因此，地下水环境影响评价等级定为三级，确定本次环境影响评价的范围为项目</w:t>
      </w:r>
      <w:r>
        <w:rPr>
          <w:rFonts w:hint="eastAsia" w:cs="Times New Roman"/>
          <w:color w:val="000000" w:themeColor="text1"/>
        </w:rPr>
        <w:t>下游</w:t>
      </w:r>
      <w:r>
        <w:rPr>
          <w:rFonts w:cs="Times New Roman"/>
          <w:color w:val="000000" w:themeColor="text1"/>
        </w:rPr>
        <w:t>的面积约6km</w:t>
      </w:r>
      <w:r>
        <w:rPr>
          <w:rFonts w:cs="Times New Roman"/>
          <w:color w:val="000000" w:themeColor="text1"/>
          <w:vertAlign w:val="superscript"/>
        </w:rPr>
        <w:t>2</w:t>
      </w:r>
      <w:r>
        <w:rPr>
          <w:rFonts w:cs="Times New Roman"/>
          <w:color w:val="000000" w:themeColor="text1"/>
        </w:rPr>
        <w:t>的水文地质单元</w:t>
      </w:r>
      <w:r>
        <w:rPr>
          <w:rFonts w:hint="eastAsia" w:cs="Times New Roman"/>
          <w:color w:val="000000" w:themeColor="text1"/>
        </w:rPr>
        <w:t>。评价范围详见附图5。</w:t>
      </w:r>
    </w:p>
    <w:p>
      <w:pPr>
        <w:ind w:firstLine="482"/>
        <w:rPr>
          <w:b/>
          <w:color w:val="000000" w:themeColor="text1"/>
        </w:rPr>
      </w:pPr>
      <w:r>
        <w:rPr>
          <w:rFonts w:hint="eastAsia"/>
          <w:b/>
          <w:color w:val="000000" w:themeColor="text1"/>
        </w:rPr>
        <w:t>4、声环境</w:t>
      </w:r>
    </w:p>
    <w:p>
      <w:pPr>
        <w:ind w:firstLine="480"/>
        <w:rPr>
          <w:color w:val="000000" w:themeColor="text1"/>
        </w:rPr>
      </w:pPr>
      <w:r>
        <w:rPr>
          <w:rFonts w:hint="eastAsia"/>
          <w:color w:val="000000" w:themeColor="text1"/>
        </w:rPr>
        <w:t>项目所在区域声环境执行《声环境质量标准》(GB3095-2008)中的2类标准，项目建成后评价范围内敏感目标噪声级增高量达3~5dB(A)[含5dB(A)]，项目所在地受影响的居民较少，根据《环境影响评价技术导则－声环境》(HJ2.4-2009)要求，确定声环境影响评价工作等级为二级，评价范围为厂界外1m、周围200m范围内的敏感点。</w:t>
      </w:r>
      <w:r>
        <w:rPr>
          <w:rFonts w:hint="eastAsia" w:cs="Times New Roman"/>
          <w:color w:val="000000" w:themeColor="text1"/>
        </w:rPr>
        <w:t>评价范围详见附图5。</w:t>
      </w:r>
    </w:p>
    <w:p>
      <w:pPr>
        <w:ind w:firstLine="482"/>
        <w:rPr>
          <w:b/>
          <w:color w:val="000000" w:themeColor="text1"/>
        </w:rPr>
      </w:pPr>
      <w:r>
        <w:rPr>
          <w:rFonts w:hint="eastAsia"/>
          <w:b/>
          <w:color w:val="000000" w:themeColor="text1"/>
        </w:rPr>
        <w:t>5、生态环境</w:t>
      </w:r>
    </w:p>
    <w:p>
      <w:pPr>
        <w:ind w:firstLine="480"/>
        <w:rPr>
          <w:color w:val="000000" w:themeColor="text1"/>
        </w:rPr>
      </w:pPr>
      <w:r>
        <w:rPr>
          <w:rFonts w:hint="eastAsia"/>
          <w:color w:val="000000" w:themeColor="text1"/>
        </w:rPr>
        <w:t>根据《环境影响评价技术导则－生态影响》(HJ19-2011)的规定，依据影响区域的生态敏感性和评价项目的工程占地(水域)范围，包括永久占地和临时占地，将生态影响评价工作等级划分为一级、二级和三级，划分依据见表 1.5.1-4。</w:t>
      </w:r>
    </w:p>
    <w:p>
      <w:pPr>
        <w:pStyle w:val="54"/>
        <w:rPr>
          <w:color w:val="000000" w:themeColor="text1"/>
        </w:rPr>
      </w:pPr>
      <w:bookmarkStart w:id="19" w:name="_Ref498263508"/>
      <w:r>
        <w:rPr>
          <w:rFonts w:hint="eastAsia"/>
          <w:color w:val="000000" w:themeColor="text1"/>
        </w:rPr>
        <w:t>表</w:t>
      </w:r>
      <w:bookmarkEnd w:id="19"/>
      <w:r>
        <w:rPr>
          <w:rFonts w:hint="eastAsia"/>
          <w:color w:val="000000" w:themeColor="text1"/>
        </w:rPr>
        <w:t>1.5.1</w:t>
      </w:r>
      <w:r>
        <w:rPr>
          <w:color w:val="000000" w:themeColor="text1"/>
        </w:rPr>
        <w:t>-</w:t>
      </w:r>
      <w:r>
        <w:rPr>
          <w:rFonts w:hint="eastAsia"/>
          <w:color w:val="000000" w:themeColor="text1"/>
        </w:rPr>
        <w:t>4 生态影响评价工作等级划分表</w:t>
      </w:r>
    </w:p>
    <w:tbl>
      <w:tblPr>
        <w:tblStyle w:val="42"/>
        <w:tblW w:w="8897" w:type="dxa"/>
        <w:tblInd w:w="0"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1838"/>
        <w:gridCol w:w="1470"/>
        <w:gridCol w:w="2006"/>
        <w:gridCol w:w="1469"/>
        <w:gridCol w:w="2114"/>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c>
          <w:tcPr>
            <w:tcW w:w="1838" w:type="dxa"/>
            <w:vMerge w:val="restart"/>
            <w:tcBorders>
              <w:top w:val="single" w:color="auto" w:sz="2" w:space="0"/>
              <w:left w:val="single" w:color="auto" w:sz="2" w:space="0"/>
              <w:bottom w:val="single" w:color="auto" w:sz="6" w:space="0"/>
              <w:right w:val="single" w:color="auto" w:sz="6" w:space="0"/>
            </w:tcBorders>
            <w:vAlign w:val="center"/>
          </w:tcPr>
          <w:p>
            <w:pPr>
              <w:pStyle w:val="55"/>
              <w:rPr>
                <w:color w:val="000000" w:themeColor="text1"/>
              </w:rPr>
            </w:pPr>
            <w:r>
              <w:rPr>
                <w:rFonts w:hint="eastAsia"/>
                <w:color w:val="000000" w:themeColor="text1"/>
              </w:rPr>
              <w:t>影响区域生态敏感性</w:t>
            </w:r>
          </w:p>
        </w:tc>
        <w:tc>
          <w:tcPr>
            <w:tcW w:w="4945" w:type="dxa"/>
            <w:gridSpan w:val="3"/>
            <w:tcBorders>
              <w:top w:val="single" w:color="auto" w:sz="2" w:space="0"/>
              <w:left w:val="single" w:color="auto" w:sz="6" w:space="0"/>
              <w:bottom w:val="single" w:color="auto" w:sz="6" w:space="0"/>
              <w:right w:val="single" w:color="auto" w:sz="2" w:space="0"/>
            </w:tcBorders>
            <w:vAlign w:val="center"/>
          </w:tcPr>
          <w:p>
            <w:pPr>
              <w:pStyle w:val="55"/>
              <w:rPr>
                <w:color w:val="000000" w:themeColor="text1"/>
              </w:rPr>
            </w:pPr>
            <w:r>
              <w:rPr>
                <w:rFonts w:hint="eastAsia"/>
                <w:color w:val="000000" w:themeColor="text1"/>
              </w:rPr>
              <w:t>工程占地范围</w:t>
            </w:r>
          </w:p>
        </w:tc>
        <w:tc>
          <w:tcPr>
            <w:tcW w:w="2114" w:type="dxa"/>
            <w:vMerge w:val="restart"/>
            <w:tcBorders>
              <w:top w:val="single" w:color="auto" w:sz="2" w:space="0"/>
              <w:left w:val="single" w:color="auto" w:sz="2" w:space="0"/>
              <w:bottom w:val="single" w:color="auto" w:sz="6" w:space="0"/>
              <w:right w:val="single" w:color="auto" w:sz="2" w:space="0"/>
            </w:tcBorders>
            <w:vAlign w:val="center"/>
          </w:tcPr>
          <w:p>
            <w:pPr>
              <w:pStyle w:val="55"/>
              <w:rPr>
                <w:color w:val="000000" w:themeColor="text1"/>
              </w:rPr>
            </w:pPr>
            <w:r>
              <w:rPr>
                <w:rFonts w:hint="eastAsia"/>
                <w:color w:val="000000" w:themeColor="text1"/>
              </w:rPr>
              <w:t>本项目</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c>
          <w:tcPr>
            <w:tcW w:w="1838" w:type="dxa"/>
            <w:vMerge w:val="continue"/>
            <w:tcBorders>
              <w:top w:val="single" w:color="auto" w:sz="2" w:space="0"/>
              <w:left w:val="single" w:color="auto" w:sz="2" w:space="0"/>
              <w:bottom w:val="single" w:color="auto" w:sz="6" w:space="0"/>
              <w:right w:val="single" w:color="auto" w:sz="6" w:space="0"/>
            </w:tcBorders>
            <w:vAlign w:val="center"/>
          </w:tcPr>
          <w:p>
            <w:pPr>
              <w:pStyle w:val="55"/>
              <w:rPr>
                <w:rFonts w:ascii="Calibri" w:hAnsi="Calibri"/>
                <w:color w:val="000000" w:themeColor="text1"/>
                <w:szCs w:val="21"/>
              </w:rPr>
            </w:pPr>
          </w:p>
        </w:tc>
        <w:tc>
          <w:tcPr>
            <w:tcW w:w="1470" w:type="dxa"/>
            <w:tcBorders>
              <w:top w:val="single" w:color="auto" w:sz="6" w:space="0"/>
              <w:left w:val="single" w:color="auto" w:sz="6" w:space="0"/>
              <w:bottom w:val="single" w:color="auto" w:sz="6" w:space="0"/>
              <w:right w:val="single" w:color="auto" w:sz="6" w:space="0"/>
            </w:tcBorders>
            <w:vAlign w:val="center"/>
          </w:tcPr>
          <w:p>
            <w:pPr>
              <w:pStyle w:val="55"/>
              <w:rPr>
                <w:rFonts w:cs="Times New Roman"/>
                <w:color w:val="000000" w:themeColor="text1"/>
                <w:szCs w:val="21"/>
              </w:rPr>
            </w:pPr>
            <w:r>
              <w:rPr>
                <w:rFonts w:hint="eastAsia"/>
                <w:color w:val="000000" w:themeColor="text1"/>
              </w:rPr>
              <w:t>面积</w:t>
            </w:r>
            <w:r>
              <w:rPr>
                <w:color w:val="000000" w:themeColor="text1"/>
              </w:rPr>
              <w:t>≥20km</w:t>
            </w:r>
            <w:r>
              <w:rPr>
                <w:color w:val="000000" w:themeColor="text1"/>
                <w:vertAlign w:val="superscript"/>
              </w:rPr>
              <w:t>2</w:t>
            </w:r>
          </w:p>
          <w:p>
            <w:pPr>
              <w:pStyle w:val="55"/>
              <w:rPr>
                <w:color w:val="000000" w:themeColor="text1"/>
              </w:rPr>
            </w:pPr>
            <w:r>
              <w:rPr>
                <w:rFonts w:hint="eastAsia"/>
                <w:color w:val="000000" w:themeColor="text1"/>
              </w:rPr>
              <w:t>或长度</w:t>
            </w:r>
            <w:r>
              <w:rPr>
                <w:color w:val="000000" w:themeColor="text1"/>
              </w:rPr>
              <w:t>≥100km</w:t>
            </w:r>
          </w:p>
        </w:tc>
        <w:tc>
          <w:tcPr>
            <w:tcW w:w="2006" w:type="dxa"/>
            <w:tcBorders>
              <w:top w:val="single" w:color="auto" w:sz="6" w:space="0"/>
              <w:left w:val="single" w:color="auto" w:sz="6" w:space="0"/>
              <w:bottom w:val="single" w:color="auto" w:sz="6" w:space="0"/>
              <w:right w:val="single" w:color="auto" w:sz="2" w:space="0"/>
            </w:tcBorders>
            <w:vAlign w:val="center"/>
          </w:tcPr>
          <w:p>
            <w:pPr>
              <w:pStyle w:val="55"/>
              <w:rPr>
                <w:rFonts w:cs="Times New Roman"/>
                <w:color w:val="000000" w:themeColor="text1"/>
                <w:szCs w:val="21"/>
              </w:rPr>
            </w:pPr>
            <w:r>
              <w:rPr>
                <w:rFonts w:hint="eastAsia"/>
                <w:color w:val="000000" w:themeColor="text1"/>
              </w:rPr>
              <w:t>面积</w:t>
            </w:r>
            <w:r>
              <w:rPr>
                <w:color w:val="000000" w:themeColor="text1"/>
              </w:rPr>
              <w:t>2km</w:t>
            </w:r>
            <w:r>
              <w:rPr>
                <w:color w:val="000000" w:themeColor="text1"/>
                <w:vertAlign w:val="superscript"/>
              </w:rPr>
              <w:t>2</w:t>
            </w:r>
            <w:r>
              <w:rPr>
                <w:color w:val="000000" w:themeColor="text1"/>
              </w:rPr>
              <w:t>~20km</w:t>
            </w:r>
            <w:r>
              <w:rPr>
                <w:color w:val="000000" w:themeColor="text1"/>
                <w:vertAlign w:val="superscript"/>
              </w:rPr>
              <w:t>2</w:t>
            </w:r>
          </w:p>
          <w:p>
            <w:pPr>
              <w:pStyle w:val="55"/>
              <w:rPr>
                <w:color w:val="000000" w:themeColor="text1"/>
              </w:rPr>
            </w:pPr>
            <w:r>
              <w:rPr>
                <w:rFonts w:hint="eastAsia"/>
                <w:color w:val="000000" w:themeColor="text1"/>
              </w:rPr>
              <w:t>或长度</w:t>
            </w:r>
            <w:r>
              <w:rPr>
                <w:color w:val="000000" w:themeColor="text1"/>
              </w:rPr>
              <w:t>50km~100km</w:t>
            </w:r>
          </w:p>
        </w:tc>
        <w:tc>
          <w:tcPr>
            <w:tcW w:w="1469" w:type="dxa"/>
            <w:tcBorders>
              <w:top w:val="single" w:color="auto" w:sz="6" w:space="0"/>
              <w:left w:val="single" w:color="auto" w:sz="2" w:space="0"/>
              <w:bottom w:val="single" w:color="auto" w:sz="6" w:space="0"/>
              <w:right w:val="single" w:color="auto" w:sz="2" w:space="0"/>
            </w:tcBorders>
            <w:vAlign w:val="center"/>
          </w:tcPr>
          <w:p>
            <w:pPr>
              <w:pStyle w:val="55"/>
              <w:rPr>
                <w:rFonts w:cs="Times New Roman"/>
                <w:color w:val="000000" w:themeColor="text1"/>
                <w:szCs w:val="21"/>
              </w:rPr>
            </w:pPr>
            <w:r>
              <w:rPr>
                <w:rFonts w:hint="eastAsia"/>
                <w:color w:val="000000" w:themeColor="text1"/>
              </w:rPr>
              <w:t>面积</w:t>
            </w:r>
            <w:r>
              <w:rPr>
                <w:color w:val="000000" w:themeColor="text1"/>
              </w:rPr>
              <w:t>≤2km</w:t>
            </w:r>
            <w:r>
              <w:rPr>
                <w:color w:val="000000" w:themeColor="text1"/>
                <w:vertAlign w:val="superscript"/>
              </w:rPr>
              <w:t>2</w:t>
            </w:r>
          </w:p>
          <w:p>
            <w:pPr>
              <w:pStyle w:val="55"/>
              <w:rPr>
                <w:color w:val="000000" w:themeColor="text1"/>
              </w:rPr>
            </w:pPr>
            <w:r>
              <w:rPr>
                <w:rFonts w:hint="eastAsia"/>
                <w:color w:val="000000" w:themeColor="text1"/>
              </w:rPr>
              <w:t>或长度</w:t>
            </w:r>
            <w:r>
              <w:rPr>
                <w:color w:val="000000" w:themeColor="text1"/>
              </w:rPr>
              <w:t>≤50km</w:t>
            </w:r>
          </w:p>
        </w:tc>
        <w:tc>
          <w:tcPr>
            <w:tcW w:w="2114" w:type="dxa"/>
            <w:vMerge w:val="continue"/>
            <w:tcBorders>
              <w:top w:val="single" w:color="auto" w:sz="2" w:space="0"/>
              <w:left w:val="single" w:color="auto" w:sz="2" w:space="0"/>
              <w:bottom w:val="single" w:color="auto" w:sz="6" w:space="0"/>
              <w:right w:val="single" w:color="auto" w:sz="2" w:space="0"/>
            </w:tcBorders>
            <w:vAlign w:val="center"/>
          </w:tcPr>
          <w:p>
            <w:pPr>
              <w:pStyle w:val="55"/>
              <w:rPr>
                <w:rFonts w:ascii="Calibri" w:hAnsi="Calibri"/>
                <w:color w:val="000000" w:themeColor="text1"/>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c>
          <w:tcPr>
            <w:tcW w:w="1838" w:type="dxa"/>
            <w:tcBorders>
              <w:top w:val="single" w:color="auto" w:sz="6" w:space="0"/>
              <w:left w:val="single" w:color="auto" w:sz="2" w:space="0"/>
              <w:bottom w:val="single" w:color="auto" w:sz="6" w:space="0"/>
              <w:right w:val="single" w:color="auto" w:sz="6" w:space="0"/>
            </w:tcBorders>
            <w:vAlign w:val="center"/>
          </w:tcPr>
          <w:p>
            <w:pPr>
              <w:pStyle w:val="55"/>
              <w:rPr>
                <w:color w:val="000000" w:themeColor="text1"/>
              </w:rPr>
            </w:pPr>
            <w:r>
              <w:rPr>
                <w:rFonts w:hint="eastAsia"/>
                <w:color w:val="000000" w:themeColor="text1"/>
              </w:rPr>
              <w:t>特殊生态敏感区</w:t>
            </w:r>
          </w:p>
        </w:tc>
        <w:tc>
          <w:tcPr>
            <w:tcW w:w="1470"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rPr>
            </w:pPr>
            <w:r>
              <w:rPr>
                <w:rFonts w:hint="eastAsia"/>
                <w:color w:val="000000" w:themeColor="text1"/>
              </w:rPr>
              <w:t>一级</w:t>
            </w:r>
          </w:p>
        </w:tc>
        <w:tc>
          <w:tcPr>
            <w:tcW w:w="2006" w:type="dxa"/>
            <w:tcBorders>
              <w:top w:val="single" w:color="auto" w:sz="6" w:space="0"/>
              <w:left w:val="single" w:color="auto" w:sz="6" w:space="0"/>
              <w:bottom w:val="single" w:color="auto" w:sz="6" w:space="0"/>
              <w:right w:val="single" w:color="auto" w:sz="2" w:space="0"/>
            </w:tcBorders>
            <w:vAlign w:val="center"/>
          </w:tcPr>
          <w:p>
            <w:pPr>
              <w:pStyle w:val="55"/>
              <w:rPr>
                <w:color w:val="000000" w:themeColor="text1"/>
              </w:rPr>
            </w:pPr>
            <w:r>
              <w:rPr>
                <w:rFonts w:hint="eastAsia"/>
                <w:color w:val="000000" w:themeColor="text1"/>
              </w:rPr>
              <w:t>一级</w:t>
            </w:r>
          </w:p>
        </w:tc>
        <w:tc>
          <w:tcPr>
            <w:tcW w:w="1469" w:type="dxa"/>
            <w:tcBorders>
              <w:top w:val="single" w:color="auto" w:sz="6" w:space="0"/>
              <w:left w:val="single" w:color="auto" w:sz="2" w:space="0"/>
              <w:bottom w:val="single" w:color="auto" w:sz="6" w:space="0"/>
              <w:right w:val="single" w:color="auto" w:sz="2" w:space="0"/>
            </w:tcBorders>
            <w:vAlign w:val="center"/>
          </w:tcPr>
          <w:p>
            <w:pPr>
              <w:pStyle w:val="55"/>
              <w:rPr>
                <w:color w:val="000000" w:themeColor="text1"/>
              </w:rPr>
            </w:pPr>
            <w:r>
              <w:rPr>
                <w:rFonts w:hint="eastAsia"/>
                <w:color w:val="000000" w:themeColor="text1"/>
              </w:rPr>
              <w:t>一级</w:t>
            </w:r>
          </w:p>
        </w:tc>
        <w:tc>
          <w:tcPr>
            <w:tcW w:w="2114" w:type="dxa"/>
            <w:tcBorders>
              <w:top w:val="single" w:color="auto" w:sz="6" w:space="0"/>
              <w:left w:val="single" w:color="auto" w:sz="2" w:space="0"/>
              <w:bottom w:val="single" w:color="auto" w:sz="6" w:space="0"/>
              <w:right w:val="single" w:color="auto" w:sz="2" w:space="0"/>
            </w:tcBorders>
            <w:vAlign w:val="center"/>
          </w:tcPr>
          <w:p>
            <w:pPr>
              <w:pStyle w:val="55"/>
              <w:rPr>
                <w:color w:val="000000" w:themeColor="text1"/>
              </w:rPr>
            </w:pPr>
            <w:r>
              <w:rPr>
                <w:rFonts w:hint="eastAsia"/>
                <w:color w:val="000000" w:themeColor="text1"/>
              </w:rPr>
              <w:t>非特殊生态敏感区</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c>
          <w:tcPr>
            <w:tcW w:w="1838" w:type="dxa"/>
            <w:tcBorders>
              <w:top w:val="single" w:color="auto" w:sz="6" w:space="0"/>
              <w:left w:val="single" w:color="auto" w:sz="2" w:space="0"/>
              <w:bottom w:val="single" w:color="auto" w:sz="6" w:space="0"/>
              <w:right w:val="single" w:color="auto" w:sz="6" w:space="0"/>
            </w:tcBorders>
            <w:vAlign w:val="center"/>
          </w:tcPr>
          <w:p>
            <w:pPr>
              <w:pStyle w:val="55"/>
              <w:rPr>
                <w:color w:val="000000" w:themeColor="text1"/>
              </w:rPr>
            </w:pPr>
            <w:r>
              <w:rPr>
                <w:rFonts w:hint="eastAsia"/>
                <w:color w:val="000000" w:themeColor="text1"/>
              </w:rPr>
              <w:t>重要生态敏感区</w:t>
            </w:r>
          </w:p>
        </w:tc>
        <w:tc>
          <w:tcPr>
            <w:tcW w:w="1470"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rPr>
            </w:pPr>
            <w:r>
              <w:rPr>
                <w:rFonts w:hint="eastAsia"/>
                <w:color w:val="000000" w:themeColor="text1"/>
              </w:rPr>
              <w:t>一级</w:t>
            </w:r>
          </w:p>
        </w:tc>
        <w:tc>
          <w:tcPr>
            <w:tcW w:w="2006" w:type="dxa"/>
            <w:tcBorders>
              <w:top w:val="single" w:color="auto" w:sz="6" w:space="0"/>
              <w:left w:val="single" w:color="auto" w:sz="6" w:space="0"/>
              <w:bottom w:val="single" w:color="auto" w:sz="6" w:space="0"/>
              <w:right w:val="single" w:color="auto" w:sz="2" w:space="0"/>
            </w:tcBorders>
            <w:vAlign w:val="center"/>
          </w:tcPr>
          <w:p>
            <w:pPr>
              <w:pStyle w:val="55"/>
              <w:rPr>
                <w:color w:val="000000" w:themeColor="text1"/>
              </w:rPr>
            </w:pPr>
            <w:r>
              <w:rPr>
                <w:rFonts w:hint="eastAsia"/>
                <w:color w:val="000000" w:themeColor="text1"/>
              </w:rPr>
              <w:t>二级</w:t>
            </w:r>
          </w:p>
        </w:tc>
        <w:tc>
          <w:tcPr>
            <w:tcW w:w="1469" w:type="dxa"/>
            <w:tcBorders>
              <w:top w:val="single" w:color="auto" w:sz="6" w:space="0"/>
              <w:left w:val="single" w:color="auto" w:sz="2" w:space="0"/>
              <w:bottom w:val="single" w:color="auto" w:sz="6" w:space="0"/>
              <w:right w:val="single" w:color="auto" w:sz="2" w:space="0"/>
            </w:tcBorders>
            <w:vAlign w:val="center"/>
          </w:tcPr>
          <w:p>
            <w:pPr>
              <w:pStyle w:val="55"/>
              <w:rPr>
                <w:color w:val="000000" w:themeColor="text1"/>
              </w:rPr>
            </w:pPr>
            <w:r>
              <w:rPr>
                <w:rFonts w:hint="eastAsia"/>
                <w:color w:val="000000" w:themeColor="text1"/>
              </w:rPr>
              <w:t>三级</w:t>
            </w:r>
          </w:p>
        </w:tc>
        <w:tc>
          <w:tcPr>
            <w:tcW w:w="2114" w:type="dxa"/>
            <w:tcBorders>
              <w:top w:val="single" w:color="auto" w:sz="6" w:space="0"/>
              <w:left w:val="single" w:color="auto" w:sz="2" w:space="0"/>
              <w:bottom w:val="single" w:color="auto" w:sz="6" w:space="0"/>
              <w:right w:val="single" w:color="auto" w:sz="2" w:space="0"/>
            </w:tcBorders>
            <w:vAlign w:val="center"/>
          </w:tcPr>
          <w:p>
            <w:pPr>
              <w:pStyle w:val="55"/>
              <w:rPr>
                <w:color w:val="000000" w:themeColor="text1"/>
              </w:rPr>
            </w:pPr>
            <w:r>
              <w:rPr>
                <w:rFonts w:hint="eastAsia"/>
                <w:color w:val="000000" w:themeColor="text1"/>
              </w:rPr>
              <w:t>非重要生态敏感区</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c>
          <w:tcPr>
            <w:tcW w:w="1838" w:type="dxa"/>
            <w:tcBorders>
              <w:top w:val="single" w:color="auto" w:sz="6" w:space="0"/>
              <w:left w:val="single" w:color="auto" w:sz="2" w:space="0"/>
              <w:bottom w:val="single" w:color="auto" w:sz="2" w:space="0"/>
              <w:right w:val="single" w:color="auto" w:sz="6" w:space="0"/>
            </w:tcBorders>
            <w:vAlign w:val="center"/>
          </w:tcPr>
          <w:p>
            <w:pPr>
              <w:pStyle w:val="55"/>
              <w:rPr>
                <w:color w:val="000000" w:themeColor="text1"/>
              </w:rPr>
            </w:pPr>
            <w:r>
              <w:rPr>
                <w:rFonts w:hint="eastAsia"/>
                <w:color w:val="000000" w:themeColor="text1"/>
              </w:rPr>
              <w:t>一般区域</w:t>
            </w:r>
          </w:p>
        </w:tc>
        <w:tc>
          <w:tcPr>
            <w:tcW w:w="1470" w:type="dxa"/>
            <w:tcBorders>
              <w:top w:val="single" w:color="auto" w:sz="6" w:space="0"/>
              <w:left w:val="single" w:color="auto" w:sz="6" w:space="0"/>
              <w:bottom w:val="single" w:color="auto" w:sz="2" w:space="0"/>
              <w:right w:val="single" w:color="auto" w:sz="6" w:space="0"/>
            </w:tcBorders>
            <w:vAlign w:val="center"/>
          </w:tcPr>
          <w:p>
            <w:pPr>
              <w:pStyle w:val="55"/>
              <w:rPr>
                <w:color w:val="000000" w:themeColor="text1"/>
              </w:rPr>
            </w:pPr>
            <w:r>
              <w:rPr>
                <w:rFonts w:hint="eastAsia"/>
                <w:color w:val="000000" w:themeColor="text1"/>
              </w:rPr>
              <w:t>二级</w:t>
            </w:r>
          </w:p>
        </w:tc>
        <w:tc>
          <w:tcPr>
            <w:tcW w:w="2006" w:type="dxa"/>
            <w:tcBorders>
              <w:top w:val="single" w:color="auto" w:sz="6" w:space="0"/>
              <w:left w:val="single" w:color="auto" w:sz="6" w:space="0"/>
              <w:bottom w:val="single" w:color="auto" w:sz="2" w:space="0"/>
              <w:right w:val="single" w:color="auto" w:sz="2" w:space="0"/>
            </w:tcBorders>
            <w:vAlign w:val="center"/>
          </w:tcPr>
          <w:p>
            <w:pPr>
              <w:pStyle w:val="55"/>
              <w:rPr>
                <w:color w:val="000000" w:themeColor="text1"/>
              </w:rPr>
            </w:pPr>
            <w:r>
              <w:rPr>
                <w:rFonts w:hint="eastAsia"/>
                <w:color w:val="000000" w:themeColor="text1"/>
              </w:rPr>
              <w:t>三级</w:t>
            </w:r>
          </w:p>
        </w:tc>
        <w:tc>
          <w:tcPr>
            <w:tcW w:w="1469" w:type="dxa"/>
            <w:tcBorders>
              <w:top w:val="single" w:color="auto" w:sz="6" w:space="0"/>
              <w:left w:val="single" w:color="auto" w:sz="2" w:space="0"/>
              <w:bottom w:val="single" w:color="auto" w:sz="2" w:space="0"/>
              <w:right w:val="single" w:color="auto" w:sz="2" w:space="0"/>
            </w:tcBorders>
            <w:vAlign w:val="center"/>
          </w:tcPr>
          <w:p>
            <w:pPr>
              <w:pStyle w:val="55"/>
              <w:rPr>
                <w:b/>
                <w:color w:val="000000" w:themeColor="text1"/>
              </w:rPr>
            </w:pPr>
            <w:r>
              <w:rPr>
                <w:rFonts w:hint="eastAsia"/>
                <w:b/>
                <w:color w:val="000000" w:themeColor="text1"/>
              </w:rPr>
              <w:t>三级</w:t>
            </w:r>
          </w:p>
        </w:tc>
        <w:tc>
          <w:tcPr>
            <w:tcW w:w="2114" w:type="dxa"/>
            <w:tcBorders>
              <w:top w:val="single" w:color="auto" w:sz="6" w:space="0"/>
              <w:left w:val="single" w:color="auto" w:sz="2" w:space="0"/>
              <w:bottom w:val="single" w:color="auto" w:sz="2" w:space="0"/>
              <w:right w:val="single" w:color="auto" w:sz="2" w:space="0"/>
            </w:tcBorders>
            <w:vAlign w:val="center"/>
          </w:tcPr>
          <w:p>
            <w:pPr>
              <w:pStyle w:val="55"/>
              <w:rPr>
                <w:color w:val="000000" w:themeColor="text1"/>
              </w:rPr>
            </w:pPr>
            <w:r>
              <w:rPr>
                <w:rFonts w:hint="eastAsia"/>
                <w:color w:val="000000" w:themeColor="text1"/>
              </w:rPr>
              <w:t>占地面积</w:t>
            </w:r>
            <w:r>
              <w:rPr>
                <w:color w:val="000000" w:themeColor="text1"/>
              </w:rPr>
              <w:t>0.0</w:t>
            </w:r>
            <w:r>
              <w:rPr>
                <w:rFonts w:hint="eastAsia"/>
                <w:color w:val="000000" w:themeColor="text1"/>
              </w:rPr>
              <w:t>096</w:t>
            </w:r>
            <w:r>
              <w:rPr>
                <w:color w:val="000000" w:themeColor="text1"/>
              </w:rPr>
              <w:t>km</w:t>
            </w:r>
            <w:r>
              <w:rPr>
                <w:color w:val="000000" w:themeColor="text1"/>
                <w:vertAlign w:val="superscript"/>
              </w:rPr>
              <w:t>2</w:t>
            </w:r>
          </w:p>
        </w:tc>
      </w:tr>
    </w:tbl>
    <w:p>
      <w:pPr>
        <w:ind w:firstLine="480"/>
        <w:rPr>
          <w:color w:val="000000" w:themeColor="text1"/>
        </w:rPr>
      </w:pPr>
      <w:r>
        <w:rPr>
          <w:rFonts w:hint="eastAsia"/>
          <w:color w:val="000000" w:themeColor="text1"/>
        </w:rPr>
        <w:t>根据资料收集及现场调查，项目影响区域内无自然保护区、世界文化和自然遗产地等特殊生态敏感区，也无风景名胜、森林公园、重要湿地、原始天然林、珍稀濒危野生动植物集中分布区等重要生态敏感区，因此影响区域生态敏感性属于一般区域。</w:t>
      </w:r>
      <w:r>
        <w:rPr>
          <w:rFonts w:hint="eastAsia"/>
          <w:bCs/>
          <w:color w:val="000000" w:themeColor="text1"/>
        </w:rPr>
        <w:t>项目占地面积</w:t>
      </w:r>
      <w:r>
        <w:rPr>
          <w:rFonts w:hint="eastAsia"/>
          <w:color w:val="000000" w:themeColor="text1"/>
        </w:rPr>
        <w:t>9613.84</w:t>
      </w:r>
      <w:r>
        <w:rPr>
          <w:color w:val="000000" w:themeColor="text1"/>
        </w:rPr>
        <w:t>m</w:t>
      </w:r>
      <w:r>
        <w:rPr>
          <w:color w:val="000000" w:themeColor="text1"/>
          <w:vertAlign w:val="superscript"/>
        </w:rPr>
        <w:t>2</w:t>
      </w:r>
      <w:r>
        <w:rPr>
          <w:rFonts w:hint="eastAsia"/>
          <w:color w:val="000000" w:themeColor="text1"/>
        </w:rPr>
        <w:t>（</w:t>
      </w:r>
      <w:r>
        <w:rPr>
          <w:color w:val="000000" w:themeColor="text1"/>
        </w:rPr>
        <w:t>0.0</w:t>
      </w:r>
      <w:r>
        <w:rPr>
          <w:rFonts w:hint="eastAsia"/>
          <w:color w:val="000000" w:themeColor="text1"/>
        </w:rPr>
        <w:t>096</w:t>
      </w:r>
      <w:r>
        <w:rPr>
          <w:color w:val="000000" w:themeColor="text1"/>
        </w:rPr>
        <w:t>km</w:t>
      </w:r>
      <w:r>
        <w:rPr>
          <w:color w:val="000000" w:themeColor="text1"/>
          <w:vertAlign w:val="superscript"/>
        </w:rPr>
        <w:t>2</w:t>
      </w:r>
      <w:r>
        <w:rPr>
          <w:rFonts w:hint="eastAsia"/>
          <w:color w:val="000000" w:themeColor="text1"/>
        </w:rPr>
        <w:t>）</w:t>
      </w:r>
      <w:r>
        <w:rPr>
          <w:rFonts w:hint="eastAsia"/>
          <w:bCs/>
          <w:color w:val="000000" w:themeColor="text1"/>
        </w:rPr>
        <w:t>，小于</w:t>
      </w:r>
      <w:r>
        <w:rPr>
          <w:color w:val="000000" w:themeColor="text1"/>
        </w:rPr>
        <w:t>2km</w:t>
      </w:r>
      <w:r>
        <w:rPr>
          <w:color w:val="000000" w:themeColor="text1"/>
          <w:vertAlign w:val="superscript"/>
        </w:rPr>
        <w:t>2</w:t>
      </w:r>
      <w:r>
        <w:rPr>
          <w:rFonts w:hint="eastAsia"/>
          <w:color w:val="000000" w:themeColor="text1"/>
        </w:rPr>
        <w:t>。按照《环境影响评价技术导则生态环境影响》（</w:t>
      </w:r>
      <w:r>
        <w:rPr>
          <w:color w:val="000000" w:themeColor="text1"/>
        </w:rPr>
        <w:t>HJ19-2011</w:t>
      </w:r>
      <w:r>
        <w:rPr>
          <w:rFonts w:hint="eastAsia"/>
          <w:color w:val="000000" w:themeColor="text1"/>
        </w:rPr>
        <w:t>）规定，本项目生态环境影响评价等级应为三级，根据《环境影响评价技术导则-生态影响》(HJ19-2011)的规定，从该项目周围环境具体情况出发，生态评价范围为项目区用地范围外扩 200m范围内的区域。</w:t>
      </w:r>
      <w:r>
        <w:rPr>
          <w:rFonts w:hint="eastAsia" w:cs="Times New Roman"/>
          <w:color w:val="000000" w:themeColor="text1"/>
        </w:rPr>
        <w:t>评价范围详见附图5。</w:t>
      </w:r>
    </w:p>
    <w:p>
      <w:pPr>
        <w:ind w:firstLine="482"/>
        <w:rPr>
          <w:b/>
          <w:color w:val="000000" w:themeColor="text1"/>
        </w:rPr>
      </w:pPr>
      <w:r>
        <w:rPr>
          <w:rFonts w:hint="eastAsia"/>
          <w:b/>
          <w:color w:val="000000" w:themeColor="text1"/>
        </w:rPr>
        <w:t>6、土壤环境</w:t>
      </w:r>
    </w:p>
    <w:p>
      <w:pPr>
        <w:ind w:firstLine="480"/>
        <w:rPr>
          <w:color w:val="000000" w:themeColor="text1"/>
        </w:rPr>
      </w:pPr>
      <w:r>
        <w:rPr>
          <w:rFonts w:hint="eastAsia"/>
          <w:color w:val="000000" w:themeColor="text1"/>
        </w:rPr>
        <w:t>本项目的影响类型：污染影响型；根据《环境影响评价技术导则土壤环境(试行)》(HJ964-2018)附录A，本项目类别属于IV类项目。</w:t>
      </w:r>
    </w:p>
    <w:p>
      <w:pPr>
        <w:ind w:firstLine="480"/>
        <w:rPr>
          <w:color w:val="000000" w:themeColor="text1"/>
        </w:rPr>
      </w:pPr>
      <w:r>
        <w:rPr>
          <w:rFonts w:hint="eastAsia"/>
          <w:color w:val="000000" w:themeColor="text1"/>
        </w:rPr>
        <w:t>根据HJ964-2018中的4.2.2节要求，IV类项目可不开展土壤环境影响评价。本次土壤环境影响评价仅针对项目特点进行土壤环境影响分析。</w:t>
      </w:r>
    </w:p>
    <w:p>
      <w:pPr>
        <w:ind w:firstLine="482"/>
        <w:rPr>
          <w:b/>
          <w:color w:val="000000" w:themeColor="text1"/>
        </w:rPr>
      </w:pPr>
      <w:r>
        <w:rPr>
          <w:rFonts w:hint="eastAsia"/>
          <w:b/>
          <w:color w:val="000000" w:themeColor="text1"/>
        </w:rPr>
        <w:t>7、环境风险</w:t>
      </w:r>
    </w:p>
    <w:p>
      <w:pPr>
        <w:ind w:firstLine="480"/>
        <w:rPr>
          <w:color w:val="000000" w:themeColor="text1"/>
        </w:rPr>
      </w:pPr>
      <w:r>
        <w:rPr>
          <w:rFonts w:hint="eastAsia"/>
          <w:color w:val="000000" w:themeColor="text1"/>
        </w:rPr>
        <w:t>按《建设项目环境风险评价技术导则》(HJ/T169-2018)所提供的方法。风险评价工作级别按下表划分。</w:t>
      </w:r>
    </w:p>
    <w:p>
      <w:pPr>
        <w:pStyle w:val="54"/>
        <w:rPr>
          <w:color w:val="000000" w:themeColor="text1"/>
        </w:rPr>
      </w:pPr>
      <w:r>
        <w:rPr>
          <w:rFonts w:hint="eastAsia"/>
          <w:color w:val="000000" w:themeColor="text1"/>
        </w:rPr>
        <w:t>表</w:t>
      </w:r>
      <w:r>
        <w:rPr>
          <w:rFonts w:hint="eastAsia"/>
          <w:color w:val="000000" w:themeColor="text1"/>
          <w:szCs w:val="28"/>
        </w:rPr>
        <w:t>1.5.1-5</w:t>
      </w:r>
      <w:r>
        <w:rPr>
          <w:rFonts w:hint="eastAsia"/>
          <w:color w:val="000000" w:themeColor="text1"/>
        </w:rPr>
        <w:t xml:space="preserve">  环境风险评价工作等级划分</w:t>
      </w:r>
    </w:p>
    <w:tbl>
      <w:tblPr>
        <w:tblStyle w:val="42"/>
        <w:tblW w:w="8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65"/>
        <w:gridCol w:w="1589"/>
        <w:gridCol w:w="1590"/>
        <w:gridCol w:w="1590"/>
        <w:gridCol w:w="1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965"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环境风险潜势</w:t>
            </w:r>
          </w:p>
        </w:tc>
        <w:tc>
          <w:tcPr>
            <w:tcW w:w="1589"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Ⅳ、Ⅳ</w:t>
            </w:r>
            <w:r>
              <w:rPr>
                <w:rFonts w:cs="Times New Roman"/>
                <w:color w:val="000000" w:themeColor="text1"/>
                <w:vertAlign w:val="superscript"/>
              </w:rPr>
              <w:t>+</w:t>
            </w:r>
          </w:p>
        </w:tc>
        <w:tc>
          <w:tcPr>
            <w:tcW w:w="1590"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Ⅲ</w:t>
            </w:r>
          </w:p>
        </w:tc>
        <w:tc>
          <w:tcPr>
            <w:tcW w:w="1590"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Ⅱ</w:t>
            </w:r>
          </w:p>
        </w:tc>
        <w:tc>
          <w:tcPr>
            <w:tcW w:w="158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965"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评价工作等级</w:t>
            </w:r>
          </w:p>
        </w:tc>
        <w:tc>
          <w:tcPr>
            <w:tcW w:w="1589"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一</w:t>
            </w:r>
          </w:p>
        </w:tc>
        <w:tc>
          <w:tcPr>
            <w:tcW w:w="1590"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二</w:t>
            </w:r>
          </w:p>
        </w:tc>
        <w:tc>
          <w:tcPr>
            <w:tcW w:w="1590"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三</w:t>
            </w:r>
          </w:p>
        </w:tc>
        <w:tc>
          <w:tcPr>
            <w:tcW w:w="158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简单分析</w:t>
            </w:r>
            <w:r>
              <w:rPr>
                <w:rFonts w:cs="Times New Roman"/>
                <w:color w:val="000000" w:themeColor="text1"/>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322" w:type="dxa"/>
            <w:gridSpan w:val="5"/>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a是相对与详细评价工作内容而言，在描述危险物质、环境影响途径、环境危害后果、风险防范措施等方面给出定性的说明。见附录A。</w:t>
            </w:r>
          </w:p>
        </w:tc>
      </w:tr>
    </w:tbl>
    <w:p>
      <w:pPr>
        <w:ind w:firstLine="480"/>
        <w:rPr>
          <w:color w:val="000000" w:themeColor="text1"/>
        </w:rPr>
      </w:pPr>
      <w:r>
        <w:rPr>
          <w:rFonts w:hint="eastAsia"/>
          <w:color w:val="000000" w:themeColor="text1"/>
        </w:rPr>
        <w:t>本项目危险物质数量与临界量比值Q小于1，环境风险潜势为Ⅰ级，评价等级为简单分析。评价范围定为厂址周围半径3.0km范围内。</w:t>
      </w:r>
      <w:r>
        <w:rPr>
          <w:rFonts w:hint="eastAsia" w:cs="Times New Roman"/>
          <w:color w:val="000000" w:themeColor="text1"/>
        </w:rPr>
        <w:t>评价范围详见附图5。</w:t>
      </w:r>
    </w:p>
    <w:p>
      <w:pPr>
        <w:ind w:firstLine="482"/>
        <w:rPr>
          <w:b/>
          <w:color w:val="000000" w:themeColor="text1"/>
        </w:rPr>
      </w:pPr>
      <w:r>
        <w:rPr>
          <w:rFonts w:hint="eastAsia"/>
          <w:b/>
          <w:color w:val="000000" w:themeColor="text1"/>
        </w:rPr>
        <w:t>8、环境影响评价等级汇总</w:t>
      </w:r>
    </w:p>
    <w:p>
      <w:pPr>
        <w:ind w:firstLine="480"/>
        <w:rPr>
          <w:color w:val="000000" w:themeColor="text1"/>
        </w:rPr>
      </w:pPr>
      <w:r>
        <w:rPr>
          <w:rFonts w:hint="eastAsia"/>
          <w:color w:val="000000" w:themeColor="text1"/>
        </w:rPr>
        <w:t>本次环境影响评价等级汇总见表1.5.1-6。</w:t>
      </w:r>
    </w:p>
    <w:p>
      <w:pPr>
        <w:pStyle w:val="54"/>
        <w:rPr>
          <w:color w:val="000000" w:themeColor="text1"/>
        </w:rPr>
      </w:pPr>
      <w:r>
        <w:rPr>
          <w:rFonts w:hint="eastAsia"/>
          <w:color w:val="000000" w:themeColor="text1"/>
        </w:rPr>
        <w:t>表1.5.1-6 评价等级及评价范围一览表</w:t>
      </w:r>
    </w:p>
    <w:tbl>
      <w:tblPr>
        <w:tblStyle w:val="43"/>
        <w:tblW w:w="8522" w:type="dxa"/>
        <w:tblInd w:w="0" w:type="dxa"/>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101"/>
        <w:gridCol w:w="2693"/>
        <w:gridCol w:w="1701"/>
        <w:gridCol w:w="3027"/>
      </w:tblGrid>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pStyle w:val="55"/>
              <w:rPr>
                <w:b/>
                <w:color w:val="000000" w:themeColor="text1"/>
              </w:rPr>
            </w:pPr>
            <w:r>
              <w:rPr>
                <w:b/>
                <w:color w:val="000000" w:themeColor="text1"/>
              </w:rPr>
              <w:t>名称</w:t>
            </w:r>
          </w:p>
        </w:tc>
        <w:tc>
          <w:tcPr>
            <w:tcW w:w="2693" w:type="dxa"/>
            <w:vAlign w:val="center"/>
          </w:tcPr>
          <w:p>
            <w:pPr>
              <w:pStyle w:val="55"/>
              <w:rPr>
                <w:b/>
                <w:color w:val="000000" w:themeColor="text1"/>
              </w:rPr>
            </w:pPr>
            <w:r>
              <w:rPr>
                <w:b/>
                <w:color w:val="000000" w:themeColor="text1"/>
              </w:rPr>
              <w:t>主要影响因素</w:t>
            </w:r>
          </w:p>
        </w:tc>
        <w:tc>
          <w:tcPr>
            <w:tcW w:w="1701" w:type="dxa"/>
            <w:vAlign w:val="center"/>
          </w:tcPr>
          <w:p>
            <w:pPr>
              <w:pStyle w:val="55"/>
              <w:rPr>
                <w:b/>
                <w:color w:val="000000" w:themeColor="text1"/>
              </w:rPr>
            </w:pPr>
            <w:r>
              <w:rPr>
                <w:b/>
                <w:color w:val="000000" w:themeColor="text1"/>
              </w:rPr>
              <w:t>评价等级</w:t>
            </w:r>
          </w:p>
        </w:tc>
        <w:tc>
          <w:tcPr>
            <w:tcW w:w="3027" w:type="dxa"/>
            <w:vAlign w:val="center"/>
          </w:tcPr>
          <w:p>
            <w:pPr>
              <w:pStyle w:val="55"/>
              <w:rPr>
                <w:b/>
                <w:color w:val="000000" w:themeColor="text1"/>
              </w:rPr>
            </w:pPr>
            <w:r>
              <w:rPr>
                <w:b/>
                <w:color w:val="000000" w:themeColor="text1"/>
              </w:rPr>
              <w:t>评价范围</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pStyle w:val="55"/>
              <w:rPr>
                <w:color w:val="000000" w:themeColor="text1"/>
              </w:rPr>
            </w:pPr>
            <w:r>
              <w:rPr>
                <w:color w:val="000000" w:themeColor="text1"/>
              </w:rPr>
              <w:t>大气</w:t>
            </w:r>
          </w:p>
        </w:tc>
        <w:tc>
          <w:tcPr>
            <w:tcW w:w="2693" w:type="dxa"/>
            <w:vAlign w:val="center"/>
          </w:tcPr>
          <w:p>
            <w:pPr>
              <w:pStyle w:val="55"/>
              <w:rPr>
                <w:color w:val="000000" w:themeColor="text1"/>
              </w:rPr>
            </w:pPr>
            <w:r>
              <w:rPr>
                <w:rFonts w:hint="eastAsia"/>
                <w:color w:val="000000" w:themeColor="text1"/>
              </w:rPr>
              <w:t>待宰圈、屠宰车间、污</w:t>
            </w:r>
          </w:p>
          <w:p>
            <w:pPr>
              <w:pStyle w:val="55"/>
              <w:rPr>
                <w:color w:val="000000" w:themeColor="text1"/>
              </w:rPr>
            </w:pPr>
            <w:r>
              <w:rPr>
                <w:rFonts w:hint="eastAsia"/>
                <w:color w:val="000000" w:themeColor="text1"/>
              </w:rPr>
              <w:t>水处理站恶臭气体，生物质锅炉废气，焚烧炉废气</w:t>
            </w:r>
          </w:p>
        </w:tc>
        <w:tc>
          <w:tcPr>
            <w:tcW w:w="1701" w:type="dxa"/>
            <w:vAlign w:val="center"/>
          </w:tcPr>
          <w:p>
            <w:pPr>
              <w:pStyle w:val="55"/>
              <w:rPr>
                <w:color w:val="000000" w:themeColor="text1"/>
              </w:rPr>
            </w:pPr>
            <w:r>
              <w:rPr>
                <w:rFonts w:hint="eastAsia"/>
                <w:color w:val="000000" w:themeColor="text1"/>
              </w:rPr>
              <w:t>二级评价</w:t>
            </w:r>
          </w:p>
        </w:tc>
        <w:tc>
          <w:tcPr>
            <w:tcW w:w="3027" w:type="dxa"/>
            <w:vAlign w:val="center"/>
          </w:tcPr>
          <w:p>
            <w:pPr>
              <w:pStyle w:val="55"/>
              <w:rPr>
                <w:color w:val="000000" w:themeColor="text1"/>
              </w:rPr>
            </w:pPr>
            <w:r>
              <w:rPr>
                <w:rFonts w:hint="eastAsia"/>
                <w:color w:val="000000" w:themeColor="text1"/>
              </w:rPr>
              <w:t>以建设项目厂址为中心，厂界</w:t>
            </w:r>
          </w:p>
          <w:p>
            <w:pPr>
              <w:pStyle w:val="55"/>
              <w:rPr>
                <w:color w:val="000000" w:themeColor="text1"/>
              </w:rPr>
            </w:pPr>
            <w:r>
              <w:rPr>
                <w:rFonts w:hint="eastAsia"/>
                <w:color w:val="000000" w:themeColor="text1"/>
              </w:rPr>
              <w:t>外边长5km的矩形区域范围</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pStyle w:val="55"/>
              <w:rPr>
                <w:color w:val="000000" w:themeColor="text1"/>
              </w:rPr>
            </w:pPr>
            <w:r>
              <w:rPr>
                <w:color w:val="000000" w:themeColor="text1"/>
              </w:rPr>
              <w:t>地表水</w:t>
            </w:r>
          </w:p>
        </w:tc>
        <w:tc>
          <w:tcPr>
            <w:tcW w:w="2693" w:type="dxa"/>
            <w:vAlign w:val="center"/>
          </w:tcPr>
          <w:p>
            <w:pPr>
              <w:pStyle w:val="55"/>
              <w:rPr>
                <w:color w:val="000000" w:themeColor="text1"/>
              </w:rPr>
            </w:pPr>
            <w:r>
              <w:rPr>
                <w:color w:val="000000" w:themeColor="text1"/>
              </w:rPr>
              <w:t>生产污水</w:t>
            </w:r>
            <w:r>
              <w:rPr>
                <w:rFonts w:hint="eastAsia"/>
                <w:color w:val="000000" w:themeColor="text1"/>
              </w:rPr>
              <w:t>、</w:t>
            </w:r>
            <w:r>
              <w:rPr>
                <w:color w:val="000000" w:themeColor="text1"/>
              </w:rPr>
              <w:t>生活废水</w:t>
            </w:r>
          </w:p>
        </w:tc>
        <w:tc>
          <w:tcPr>
            <w:tcW w:w="1701" w:type="dxa"/>
            <w:vAlign w:val="center"/>
          </w:tcPr>
          <w:p>
            <w:pPr>
              <w:pStyle w:val="55"/>
              <w:rPr>
                <w:color w:val="000000" w:themeColor="text1"/>
              </w:rPr>
            </w:pPr>
            <w:r>
              <w:rPr>
                <w:rFonts w:hint="eastAsia"/>
                <w:color w:val="000000" w:themeColor="text1"/>
              </w:rPr>
              <w:t>三级B</w:t>
            </w:r>
          </w:p>
        </w:tc>
        <w:tc>
          <w:tcPr>
            <w:tcW w:w="3027" w:type="dxa"/>
            <w:vAlign w:val="center"/>
          </w:tcPr>
          <w:p>
            <w:pPr>
              <w:pStyle w:val="55"/>
              <w:rPr>
                <w:color w:val="000000" w:themeColor="text1"/>
              </w:rPr>
            </w:pPr>
            <w:r>
              <w:rPr>
                <w:rFonts w:hint="eastAsia"/>
                <w:color w:val="000000" w:themeColor="text1"/>
              </w:rPr>
              <w:t>——</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pStyle w:val="55"/>
              <w:rPr>
                <w:color w:val="000000" w:themeColor="text1"/>
              </w:rPr>
            </w:pPr>
            <w:r>
              <w:rPr>
                <w:color w:val="000000" w:themeColor="text1"/>
              </w:rPr>
              <w:t>地下水</w:t>
            </w:r>
          </w:p>
        </w:tc>
        <w:tc>
          <w:tcPr>
            <w:tcW w:w="2693" w:type="dxa"/>
            <w:vAlign w:val="center"/>
          </w:tcPr>
          <w:p>
            <w:pPr>
              <w:pStyle w:val="55"/>
              <w:rPr>
                <w:color w:val="000000" w:themeColor="text1"/>
              </w:rPr>
            </w:pPr>
            <w:r>
              <w:rPr>
                <w:color w:val="000000" w:themeColor="text1"/>
              </w:rPr>
              <w:t>生产污水</w:t>
            </w:r>
            <w:r>
              <w:rPr>
                <w:rFonts w:hint="eastAsia"/>
                <w:color w:val="000000" w:themeColor="text1"/>
              </w:rPr>
              <w:t>、</w:t>
            </w:r>
            <w:r>
              <w:rPr>
                <w:color w:val="000000" w:themeColor="text1"/>
              </w:rPr>
              <w:t>生活废水</w:t>
            </w:r>
          </w:p>
        </w:tc>
        <w:tc>
          <w:tcPr>
            <w:tcW w:w="1701" w:type="dxa"/>
            <w:vAlign w:val="center"/>
          </w:tcPr>
          <w:p>
            <w:pPr>
              <w:pStyle w:val="55"/>
              <w:rPr>
                <w:color w:val="000000" w:themeColor="text1"/>
              </w:rPr>
            </w:pPr>
            <w:r>
              <w:rPr>
                <w:color w:val="000000" w:themeColor="text1"/>
              </w:rPr>
              <w:t>三级</w:t>
            </w:r>
          </w:p>
        </w:tc>
        <w:tc>
          <w:tcPr>
            <w:tcW w:w="3027" w:type="dxa"/>
            <w:vAlign w:val="center"/>
          </w:tcPr>
          <w:p>
            <w:pPr>
              <w:pStyle w:val="55"/>
              <w:rPr>
                <w:color w:val="000000" w:themeColor="text1"/>
              </w:rPr>
            </w:pPr>
            <w:r>
              <w:rPr>
                <w:rFonts w:cs="Times New Roman"/>
                <w:color w:val="000000" w:themeColor="text1"/>
              </w:rPr>
              <w:t>项目</w:t>
            </w:r>
            <w:r>
              <w:rPr>
                <w:rFonts w:hint="eastAsia" w:cs="Times New Roman"/>
                <w:color w:val="000000" w:themeColor="text1"/>
              </w:rPr>
              <w:t>下游</w:t>
            </w:r>
            <w:r>
              <w:rPr>
                <w:rFonts w:cs="Times New Roman"/>
                <w:color w:val="000000" w:themeColor="text1"/>
              </w:rPr>
              <w:t>的面积约6km</w:t>
            </w:r>
            <w:r>
              <w:rPr>
                <w:rFonts w:cs="Times New Roman"/>
                <w:color w:val="000000" w:themeColor="text1"/>
                <w:vertAlign w:val="superscript"/>
              </w:rPr>
              <w:t>2</w:t>
            </w:r>
            <w:r>
              <w:rPr>
                <w:rFonts w:cs="Times New Roman"/>
                <w:color w:val="000000" w:themeColor="text1"/>
              </w:rPr>
              <w:t>的水文地质单元</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pStyle w:val="55"/>
              <w:rPr>
                <w:color w:val="000000" w:themeColor="text1"/>
              </w:rPr>
            </w:pPr>
            <w:r>
              <w:rPr>
                <w:color w:val="000000" w:themeColor="text1"/>
              </w:rPr>
              <w:t>声环境</w:t>
            </w:r>
          </w:p>
        </w:tc>
        <w:tc>
          <w:tcPr>
            <w:tcW w:w="2693" w:type="dxa"/>
            <w:vAlign w:val="center"/>
          </w:tcPr>
          <w:p>
            <w:pPr>
              <w:pStyle w:val="55"/>
              <w:rPr>
                <w:color w:val="000000" w:themeColor="text1"/>
              </w:rPr>
            </w:pPr>
            <w:r>
              <w:rPr>
                <w:color w:val="000000" w:themeColor="text1"/>
              </w:rPr>
              <w:t>厂区设备噪声</w:t>
            </w:r>
            <w:r>
              <w:rPr>
                <w:rFonts w:hint="eastAsia"/>
                <w:color w:val="000000" w:themeColor="text1"/>
              </w:rPr>
              <w:t>、</w:t>
            </w:r>
            <w:r>
              <w:rPr>
                <w:color w:val="000000" w:themeColor="text1"/>
              </w:rPr>
              <w:t>交通噪声</w:t>
            </w:r>
            <w:r>
              <w:rPr>
                <w:rFonts w:hint="eastAsia"/>
                <w:color w:val="000000" w:themeColor="text1"/>
              </w:rPr>
              <w:t>等</w:t>
            </w:r>
          </w:p>
        </w:tc>
        <w:tc>
          <w:tcPr>
            <w:tcW w:w="1701" w:type="dxa"/>
            <w:vAlign w:val="center"/>
          </w:tcPr>
          <w:p>
            <w:pPr>
              <w:pStyle w:val="55"/>
              <w:rPr>
                <w:color w:val="000000" w:themeColor="text1"/>
              </w:rPr>
            </w:pPr>
            <w:r>
              <w:rPr>
                <w:color w:val="000000" w:themeColor="text1"/>
              </w:rPr>
              <w:t>二级</w:t>
            </w:r>
          </w:p>
        </w:tc>
        <w:tc>
          <w:tcPr>
            <w:tcW w:w="3027" w:type="dxa"/>
            <w:vAlign w:val="center"/>
          </w:tcPr>
          <w:p>
            <w:pPr>
              <w:pStyle w:val="55"/>
              <w:rPr>
                <w:color w:val="000000" w:themeColor="text1"/>
              </w:rPr>
            </w:pPr>
            <w:r>
              <w:rPr>
                <w:rFonts w:hint="eastAsia"/>
                <w:color w:val="000000" w:themeColor="text1"/>
              </w:rPr>
              <w:t>厂界外1m、周围200m范围内的敏感点</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pStyle w:val="55"/>
              <w:rPr>
                <w:color w:val="000000" w:themeColor="text1"/>
              </w:rPr>
            </w:pPr>
            <w:r>
              <w:rPr>
                <w:color w:val="000000" w:themeColor="text1"/>
              </w:rPr>
              <w:t>生态环境</w:t>
            </w:r>
          </w:p>
        </w:tc>
        <w:tc>
          <w:tcPr>
            <w:tcW w:w="2693" w:type="dxa"/>
            <w:vAlign w:val="center"/>
          </w:tcPr>
          <w:p>
            <w:pPr>
              <w:pStyle w:val="55"/>
              <w:rPr>
                <w:color w:val="000000" w:themeColor="text1"/>
              </w:rPr>
            </w:pPr>
            <w:r>
              <w:rPr>
                <w:color w:val="000000" w:themeColor="text1"/>
              </w:rPr>
              <w:t>占地硬化等</w:t>
            </w:r>
          </w:p>
        </w:tc>
        <w:tc>
          <w:tcPr>
            <w:tcW w:w="1701" w:type="dxa"/>
            <w:vAlign w:val="center"/>
          </w:tcPr>
          <w:p>
            <w:pPr>
              <w:pStyle w:val="55"/>
              <w:rPr>
                <w:color w:val="000000" w:themeColor="text1"/>
              </w:rPr>
            </w:pPr>
            <w:r>
              <w:rPr>
                <w:color w:val="000000" w:themeColor="text1"/>
              </w:rPr>
              <w:t>三级</w:t>
            </w:r>
          </w:p>
        </w:tc>
        <w:tc>
          <w:tcPr>
            <w:tcW w:w="3027" w:type="dxa"/>
            <w:vAlign w:val="center"/>
          </w:tcPr>
          <w:p>
            <w:pPr>
              <w:pStyle w:val="55"/>
              <w:rPr>
                <w:color w:val="000000" w:themeColor="text1"/>
              </w:rPr>
            </w:pPr>
            <w:r>
              <w:rPr>
                <w:rFonts w:hint="eastAsia"/>
                <w:color w:val="000000" w:themeColor="text1"/>
              </w:rPr>
              <w:t>占地范围外扩200m范围内的区域</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pStyle w:val="55"/>
              <w:rPr>
                <w:color w:val="000000" w:themeColor="text1"/>
              </w:rPr>
            </w:pPr>
            <w:r>
              <w:rPr>
                <w:color w:val="000000" w:themeColor="text1"/>
              </w:rPr>
              <w:t>土壤环境</w:t>
            </w:r>
          </w:p>
        </w:tc>
        <w:tc>
          <w:tcPr>
            <w:tcW w:w="2693" w:type="dxa"/>
            <w:vAlign w:val="center"/>
          </w:tcPr>
          <w:p>
            <w:pPr>
              <w:pStyle w:val="55"/>
              <w:rPr>
                <w:color w:val="000000" w:themeColor="text1"/>
              </w:rPr>
            </w:pPr>
            <w:r>
              <w:rPr>
                <w:rFonts w:hint="eastAsia"/>
                <w:color w:val="000000" w:themeColor="text1"/>
              </w:rPr>
              <w:t>——</w:t>
            </w:r>
          </w:p>
        </w:tc>
        <w:tc>
          <w:tcPr>
            <w:tcW w:w="1701" w:type="dxa"/>
            <w:vAlign w:val="center"/>
          </w:tcPr>
          <w:p>
            <w:pPr>
              <w:pStyle w:val="55"/>
              <w:rPr>
                <w:color w:val="000000" w:themeColor="text1"/>
              </w:rPr>
            </w:pPr>
            <w:r>
              <w:rPr>
                <w:color w:val="000000" w:themeColor="text1"/>
              </w:rPr>
              <w:t>影响分析</w:t>
            </w:r>
          </w:p>
        </w:tc>
        <w:tc>
          <w:tcPr>
            <w:tcW w:w="3027" w:type="dxa"/>
            <w:vAlign w:val="center"/>
          </w:tcPr>
          <w:p>
            <w:pPr>
              <w:pStyle w:val="55"/>
              <w:rPr>
                <w:color w:val="000000" w:themeColor="text1"/>
              </w:rPr>
            </w:pPr>
            <w:r>
              <w:rPr>
                <w:rFonts w:hint="eastAsia"/>
                <w:color w:val="000000" w:themeColor="text1"/>
              </w:rPr>
              <w:t>——</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pStyle w:val="55"/>
              <w:rPr>
                <w:color w:val="000000" w:themeColor="text1"/>
              </w:rPr>
            </w:pPr>
            <w:r>
              <w:rPr>
                <w:color w:val="000000" w:themeColor="text1"/>
              </w:rPr>
              <w:t>环境风险</w:t>
            </w:r>
          </w:p>
        </w:tc>
        <w:tc>
          <w:tcPr>
            <w:tcW w:w="2693" w:type="dxa"/>
            <w:vAlign w:val="center"/>
          </w:tcPr>
          <w:p>
            <w:pPr>
              <w:pStyle w:val="55"/>
              <w:rPr>
                <w:color w:val="000000" w:themeColor="text1"/>
              </w:rPr>
            </w:pPr>
            <w:r>
              <w:rPr>
                <w:rFonts w:hint="eastAsia"/>
                <w:color w:val="000000" w:themeColor="text1"/>
              </w:rPr>
              <w:t>——</w:t>
            </w:r>
          </w:p>
        </w:tc>
        <w:tc>
          <w:tcPr>
            <w:tcW w:w="1701" w:type="dxa"/>
            <w:vAlign w:val="center"/>
          </w:tcPr>
          <w:p>
            <w:pPr>
              <w:pStyle w:val="55"/>
              <w:rPr>
                <w:color w:val="000000" w:themeColor="text1"/>
              </w:rPr>
            </w:pPr>
            <w:r>
              <w:rPr>
                <w:color w:val="000000" w:themeColor="text1"/>
              </w:rPr>
              <w:t>简单分析</w:t>
            </w:r>
          </w:p>
        </w:tc>
        <w:tc>
          <w:tcPr>
            <w:tcW w:w="3027" w:type="dxa"/>
            <w:vAlign w:val="center"/>
          </w:tcPr>
          <w:p>
            <w:pPr>
              <w:pStyle w:val="55"/>
              <w:rPr>
                <w:color w:val="000000" w:themeColor="text1"/>
              </w:rPr>
            </w:pPr>
            <w:r>
              <w:rPr>
                <w:rFonts w:hint="eastAsia"/>
                <w:color w:val="000000" w:themeColor="text1"/>
              </w:rPr>
              <w:t>厂址周围半径3.0km范围内</w:t>
            </w:r>
          </w:p>
        </w:tc>
      </w:tr>
    </w:tbl>
    <w:p>
      <w:pPr>
        <w:pStyle w:val="38"/>
        <w:ind w:firstLine="281"/>
        <w:rPr>
          <w:color w:val="000000" w:themeColor="text1"/>
        </w:rPr>
      </w:pPr>
      <w:bookmarkStart w:id="20" w:name="_Toc47375783"/>
      <w:r>
        <w:rPr>
          <w:rFonts w:hint="eastAsia"/>
          <w:color w:val="000000" w:themeColor="text1"/>
        </w:rPr>
        <w:t>1.5.2重点保护目标</w:t>
      </w:r>
      <w:bookmarkEnd w:id="20"/>
    </w:p>
    <w:p>
      <w:pPr>
        <w:ind w:firstLine="480"/>
        <w:rPr>
          <w:color w:val="000000" w:themeColor="text1"/>
        </w:rPr>
      </w:pPr>
      <w:r>
        <w:rPr>
          <w:rFonts w:hint="eastAsia"/>
          <w:color w:val="000000" w:themeColor="text1"/>
        </w:rPr>
        <w:t>根据本区域的环境状况，评价区主要环境敏感保护目标情况见表1.5.2-1。评价区主要环境敏感保护目标情况及环境影响评价范围见附图5。</w:t>
      </w:r>
    </w:p>
    <w:p>
      <w:pPr>
        <w:pStyle w:val="54"/>
        <w:rPr>
          <w:color w:val="000000" w:themeColor="text1"/>
        </w:rPr>
      </w:pPr>
      <w:r>
        <w:rPr>
          <w:rFonts w:hint="eastAsia"/>
          <w:color w:val="000000" w:themeColor="text1"/>
        </w:rPr>
        <w:t>表1.5.2-1 项目周围保护目标一览表</w:t>
      </w:r>
    </w:p>
    <w:tbl>
      <w:tblPr>
        <w:tblStyle w:val="42"/>
        <w:tblW w:w="9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653"/>
        <w:gridCol w:w="697"/>
        <w:gridCol w:w="1082"/>
        <w:gridCol w:w="1479"/>
        <w:gridCol w:w="1838"/>
        <w:gridCol w:w="1211"/>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名称</w:t>
            </w:r>
          </w:p>
        </w:tc>
        <w:tc>
          <w:tcPr>
            <w:tcW w:w="1350"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坐标</w:t>
            </w:r>
            <w:r>
              <w:rPr>
                <w:color w:val="000000" w:themeColor="text1"/>
              </w:rPr>
              <w:t>/m</w:t>
            </w:r>
          </w:p>
        </w:tc>
        <w:tc>
          <w:tcPr>
            <w:tcW w:w="1082" w:type="dxa"/>
            <w:vMerge w:val="restart"/>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hint="eastAsia"/>
                <w:color w:val="000000" w:themeColor="text1"/>
              </w:rPr>
              <w:t>保护</w:t>
            </w:r>
          </w:p>
          <w:p>
            <w:pPr>
              <w:pStyle w:val="55"/>
              <w:rPr>
                <w:color w:val="000000" w:themeColor="text1"/>
              </w:rPr>
            </w:pPr>
            <w:r>
              <w:rPr>
                <w:rFonts w:hint="eastAsia"/>
                <w:color w:val="000000" w:themeColor="text1"/>
              </w:rPr>
              <w:t>对象</w:t>
            </w:r>
          </w:p>
        </w:tc>
        <w:tc>
          <w:tcPr>
            <w:tcW w:w="1479" w:type="dxa"/>
            <w:vMerge w:val="restar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保护内容</w:t>
            </w:r>
          </w:p>
        </w:tc>
        <w:tc>
          <w:tcPr>
            <w:tcW w:w="1838"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环境功能</w:t>
            </w:r>
          </w:p>
        </w:tc>
        <w:tc>
          <w:tcPr>
            <w:tcW w:w="1211"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相对厂址方位</w:t>
            </w:r>
          </w:p>
        </w:tc>
        <w:tc>
          <w:tcPr>
            <w:tcW w:w="1026"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相对厂界距离</w:t>
            </w:r>
            <w:r>
              <w:rPr>
                <w:color w:val="000000" w:themeColor="text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65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X</w:t>
            </w:r>
          </w:p>
        </w:tc>
        <w:tc>
          <w:tcPr>
            <w:tcW w:w="69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Y</w:t>
            </w:r>
          </w:p>
        </w:tc>
        <w:tc>
          <w:tcPr>
            <w:tcW w:w="1082"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479"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83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211"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02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color w:val="000000" w:themeColor="text1"/>
              </w:rPr>
              <w:t>小龙白</w:t>
            </w:r>
          </w:p>
        </w:tc>
        <w:tc>
          <w:tcPr>
            <w:tcW w:w="6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490</w:t>
            </w:r>
          </w:p>
        </w:tc>
        <w:tc>
          <w:tcPr>
            <w:tcW w:w="69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-175</w:t>
            </w:r>
          </w:p>
        </w:tc>
        <w:tc>
          <w:tcPr>
            <w:tcW w:w="108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居民</w:t>
            </w:r>
          </w:p>
        </w:tc>
        <w:tc>
          <w:tcPr>
            <w:tcW w:w="147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62户，</w:t>
            </w:r>
            <w:r>
              <w:rPr>
                <w:color w:val="000000" w:themeColor="text1"/>
              </w:rPr>
              <w:t>2</w:t>
            </w:r>
            <w:r>
              <w:rPr>
                <w:rFonts w:hint="eastAsia"/>
                <w:color w:val="000000" w:themeColor="text1"/>
              </w:rPr>
              <w:t>42人</w:t>
            </w:r>
          </w:p>
        </w:tc>
        <w:tc>
          <w:tcPr>
            <w:tcW w:w="1838" w:type="dxa"/>
            <w:vMerge w:val="restar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rFonts w:cs="Times New Roman"/>
                <w:color w:val="000000" w:themeColor="text1"/>
              </w:rPr>
            </w:pPr>
            <w:r>
              <w:rPr>
                <w:rFonts w:hint="eastAsia"/>
                <w:color w:val="000000" w:themeColor="text1"/>
              </w:rPr>
              <w:t>《环境空气质量标准》（</w:t>
            </w:r>
            <w:r>
              <w:rPr>
                <w:color w:val="000000" w:themeColor="text1"/>
              </w:rPr>
              <w:t>GB3095-2012</w:t>
            </w:r>
            <w:r>
              <w:rPr>
                <w:rFonts w:hint="eastAsia"/>
                <w:color w:val="000000" w:themeColor="text1"/>
              </w:rPr>
              <w:t>）中二类区</w:t>
            </w:r>
          </w:p>
          <w:p>
            <w:pPr>
              <w:pStyle w:val="55"/>
              <w:rPr>
                <w:color w:val="000000" w:themeColor="text1"/>
              </w:rPr>
            </w:pPr>
          </w:p>
        </w:tc>
        <w:tc>
          <w:tcPr>
            <w:tcW w:w="121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东南侧</w:t>
            </w:r>
          </w:p>
        </w:tc>
        <w:tc>
          <w:tcPr>
            <w:tcW w:w="102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500</w:t>
            </w:r>
            <w:r>
              <w:rPr>
                <w:color w:val="000000" w:themeColor="text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color w:val="000000" w:themeColor="text1"/>
              </w:rPr>
              <w:t>上舍克</w:t>
            </w:r>
          </w:p>
        </w:tc>
        <w:tc>
          <w:tcPr>
            <w:tcW w:w="6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-1488</w:t>
            </w:r>
          </w:p>
        </w:tc>
        <w:tc>
          <w:tcPr>
            <w:tcW w:w="69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-183</w:t>
            </w:r>
          </w:p>
        </w:tc>
        <w:tc>
          <w:tcPr>
            <w:tcW w:w="108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szCs w:val="24"/>
              </w:rPr>
            </w:pPr>
            <w:r>
              <w:rPr>
                <w:rFonts w:hint="eastAsia"/>
                <w:color w:val="000000" w:themeColor="text1"/>
              </w:rPr>
              <w:t>居民</w:t>
            </w:r>
          </w:p>
        </w:tc>
        <w:tc>
          <w:tcPr>
            <w:tcW w:w="147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88户，353人</w:t>
            </w:r>
          </w:p>
        </w:tc>
        <w:tc>
          <w:tcPr>
            <w:tcW w:w="183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21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西南侧</w:t>
            </w:r>
          </w:p>
        </w:tc>
        <w:tc>
          <w:tcPr>
            <w:tcW w:w="102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1337</w:t>
            </w:r>
            <w:r>
              <w:rPr>
                <w:color w:val="000000" w:themeColor="text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color w:val="000000" w:themeColor="text1"/>
              </w:rPr>
              <w:t>白龙山</w:t>
            </w:r>
          </w:p>
        </w:tc>
        <w:tc>
          <w:tcPr>
            <w:tcW w:w="6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0</w:t>
            </w:r>
          </w:p>
        </w:tc>
        <w:tc>
          <w:tcPr>
            <w:tcW w:w="69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-2411</w:t>
            </w:r>
          </w:p>
        </w:tc>
        <w:tc>
          <w:tcPr>
            <w:tcW w:w="108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szCs w:val="24"/>
              </w:rPr>
            </w:pPr>
            <w:r>
              <w:rPr>
                <w:rFonts w:hint="eastAsia"/>
                <w:color w:val="000000" w:themeColor="text1"/>
              </w:rPr>
              <w:t>居民</w:t>
            </w:r>
          </w:p>
        </w:tc>
        <w:tc>
          <w:tcPr>
            <w:tcW w:w="147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265户，1225人</w:t>
            </w:r>
          </w:p>
        </w:tc>
        <w:tc>
          <w:tcPr>
            <w:tcW w:w="183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21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南侧</w:t>
            </w:r>
          </w:p>
        </w:tc>
        <w:tc>
          <w:tcPr>
            <w:tcW w:w="102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2132</w:t>
            </w:r>
            <w:r>
              <w:rPr>
                <w:color w:val="000000" w:themeColor="text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color w:val="000000" w:themeColor="text1"/>
              </w:rPr>
              <w:t>永忠</w:t>
            </w:r>
          </w:p>
        </w:tc>
        <w:tc>
          <w:tcPr>
            <w:tcW w:w="6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1304</w:t>
            </w:r>
          </w:p>
        </w:tc>
        <w:tc>
          <w:tcPr>
            <w:tcW w:w="69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-1610</w:t>
            </w:r>
          </w:p>
        </w:tc>
        <w:tc>
          <w:tcPr>
            <w:tcW w:w="108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szCs w:val="24"/>
              </w:rPr>
            </w:pPr>
            <w:r>
              <w:rPr>
                <w:rFonts w:hint="eastAsia"/>
                <w:color w:val="000000" w:themeColor="text1"/>
              </w:rPr>
              <w:t>居民</w:t>
            </w:r>
          </w:p>
        </w:tc>
        <w:tc>
          <w:tcPr>
            <w:tcW w:w="147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14户，78人</w:t>
            </w:r>
          </w:p>
        </w:tc>
        <w:tc>
          <w:tcPr>
            <w:tcW w:w="183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21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东南侧</w:t>
            </w:r>
          </w:p>
        </w:tc>
        <w:tc>
          <w:tcPr>
            <w:tcW w:w="102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2055</w:t>
            </w:r>
            <w:r>
              <w:rPr>
                <w:color w:val="000000" w:themeColor="text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color w:val="000000" w:themeColor="text1"/>
              </w:rPr>
              <w:t>布标</w:t>
            </w:r>
          </w:p>
        </w:tc>
        <w:tc>
          <w:tcPr>
            <w:tcW w:w="6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1553</w:t>
            </w:r>
          </w:p>
        </w:tc>
        <w:tc>
          <w:tcPr>
            <w:tcW w:w="69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-657</w:t>
            </w:r>
          </w:p>
        </w:tc>
        <w:tc>
          <w:tcPr>
            <w:tcW w:w="108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szCs w:val="24"/>
              </w:rPr>
            </w:pPr>
            <w:r>
              <w:rPr>
                <w:rFonts w:hint="eastAsia"/>
                <w:color w:val="000000" w:themeColor="text1"/>
              </w:rPr>
              <w:t>居民</w:t>
            </w:r>
          </w:p>
        </w:tc>
        <w:tc>
          <w:tcPr>
            <w:tcW w:w="147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353户，1801人</w:t>
            </w:r>
          </w:p>
        </w:tc>
        <w:tc>
          <w:tcPr>
            <w:tcW w:w="183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21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东南侧</w:t>
            </w:r>
          </w:p>
        </w:tc>
        <w:tc>
          <w:tcPr>
            <w:tcW w:w="102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1653</w:t>
            </w:r>
            <w:r>
              <w:rPr>
                <w:color w:val="000000" w:themeColor="text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color w:val="000000" w:themeColor="text1"/>
              </w:rPr>
              <w:t>小舍克</w:t>
            </w:r>
          </w:p>
        </w:tc>
        <w:tc>
          <w:tcPr>
            <w:tcW w:w="6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-600</w:t>
            </w:r>
          </w:p>
        </w:tc>
        <w:tc>
          <w:tcPr>
            <w:tcW w:w="69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1575</w:t>
            </w:r>
          </w:p>
        </w:tc>
        <w:tc>
          <w:tcPr>
            <w:tcW w:w="108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szCs w:val="24"/>
              </w:rPr>
            </w:pPr>
            <w:r>
              <w:rPr>
                <w:rFonts w:hint="eastAsia"/>
                <w:color w:val="000000" w:themeColor="text1"/>
              </w:rPr>
              <w:t>居民</w:t>
            </w:r>
          </w:p>
        </w:tc>
        <w:tc>
          <w:tcPr>
            <w:tcW w:w="147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202户，895人</w:t>
            </w:r>
          </w:p>
        </w:tc>
        <w:tc>
          <w:tcPr>
            <w:tcW w:w="183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21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西北侧</w:t>
            </w:r>
          </w:p>
        </w:tc>
        <w:tc>
          <w:tcPr>
            <w:tcW w:w="102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1644</w:t>
            </w:r>
            <w:r>
              <w:rPr>
                <w:color w:val="000000" w:themeColor="text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color w:val="000000" w:themeColor="text1"/>
              </w:rPr>
              <w:t>碧云村</w:t>
            </w:r>
          </w:p>
        </w:tc>
        <w:tc>
          <w:tcPr>
            <w:tcW w:w="6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2083</w:t>
            </w:r>
          </w:p>
        </w:tc>
        <w:tc>
          <w:tcPr>
            <w:tcW w:w="69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1750</w:t>
            </w:r>
          </w:p>
        </w:tc>
        <w:tc>
          <w:tcPr>
            <w:tcW w:w="108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szCs w:val="24"/>
              </w:rPr>
            </w:pPr>
            <w:r>
              <w:rPr>
                <w:rFonts w:hint="eastAsia"/>
                <w:color w:val="000000" w:themeColor="text1"/>
              </w:rPr>
              <w:t>居民</w:t>
            </w:r>
          </w:p>
        </w:tc>
        <w:tc>
          <w:tcPr>
            <w:tcW w:w="147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400户，1895人</w:t>
            </w:r>
          </w:p>
        </w:tc>
        <w:tc>
          <w:tcPr>
            <w:tcW w:w="183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21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东北侧</w:t>
            </w:r>
          </w:p>
        </w:tc>
        <w:tc>
          <w:tcPr>
            <w:tcW w:w="102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2600</w:t>
            </w:r>
            <w:r>
              <w:rPr>
                <w:color w:val="000000" w:themeColor="text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小龙白</w:t>
            </w:r>
          </w:p>
        </w:tc>
        <w:tc>
          <w:tcPr>
            <w:tcW w:w="6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490</w:t>
            </w:r>
          </w:p>
        </w:tc>
        <w:tc>
          <w:tcPr>
            <w:tcW w:w="69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-175</w:t>
            </w:r>
          </w:p>
        </w:tc>
        <w:tc>
          <w:tcPr>
            <w:tcW w:w="108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居民</w:t>
            </w:r>
          </w:p>
        </w:tc>
        <w:tc>
          <w:tcPr>
            <w:tcW w:w="147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62户，</w:t>
            </w:r>
            <w:r>
              <w:rPr>
                <w:color w:val="000000" w:themeColor="text1"/>
              </w:rPr>
              <w:t>2</w:t>
            </w:r>
            <w:r>
              <w:rPr>
                <w:rFonts w:hint="eastAsia"/>
                <w:color w:val="000000" w:themeColor="text1"/>
              </w:rPr>
              <w:t>42人</w:t>
            </w:r>
          </w:p>
        </w:tc>
        <w:tc>
          <w:tcPr>
            <w:tcW w:w="183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执行《声环境质量标准》（</w:t>
            </w:r>
            <w:r>
              <w:rPr>
                <w:color w:val="000000" w:themeColor="text1"/>
              </w:rPr>
              <w:t>GB3096-2008</w:t>
            </w:r>
            <w:r>
              <w:rPr>
                <w:rFonts w:hint="eastAsia"/>
                <w:color w:val="000000" w:themeColor="text1"/>
              </w:rPr>
              <w:t>）</w:t>
            </w:r>
            <w:r>
              <w:rPr>
                <w:color w:val="000000" w:themeColor="text1"/>
              </w:rPr>
              <w:t>2</w:t>
            </w:r>
            <w:r>
              <w:rPr>
                <w:rFonts w:hint="eastAsia"/>
                <w:color w:val="000000" w:themeColor="text1"/>
              </w:rPr>
              <w:t>类标准</w:t>
            </w:r>
          </w:p>
        </w:tc>
        <w:tc>
          <w:tcPr>
            <w:tcW w:w="121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东南侧</w:t>
            </w:r>
          </w:p>
        </w:tc>
        <w:tc>
          <w:tcPr>
            <w:tcW w:w="102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46</w:t>
            </w:r>
            <w:r>
              <w:rPr>
                <w:color w:val="000000" w:themeColor="text1"/>
              </w:rPr>
              <w:t>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09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地表水环境</w:t>
            </w:r>
          </w:p>
        </w:tc>
        <w:tc>
          <w:tcPr>
            <w:tcW w:w="6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sz w:val="24"/>
                <w:szCs w:val="24"/>
              </w:rPr>
            </w:pPr>
            <w:r>
              <w:rPr>
                <w:color w:val="000000" w:themeColor="text1"/>
                <w:sz w:val="24"/>
              </w:rPr>
              <w:t>-</w:t>
            </w:r>
          </w:p>
        </w:tc>
        <w:tc>
          <w:tcPr>
            <w:tcW w:w="69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sz w:val="24"/>
                <w:szCs w:val="24"/>
              </w:rPr>
            </w:pPr>
            <w:r>
              <w:rPr>
                <w:color w:val="000000" w:themeColor="text1"/>
                <w:sz w:val="24"/>
              </w:rPr>
              <w:t>-</w:t>
            </w:r>
          </w:p>
        </w:tc>
        <w:tc>
          <w:tcPr>
            <w:tcW w:w="108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听湖水库</w:t>
            </w:r>
          </w:p>
        </w:tc>
        <w:tc>
          <w:tcPr>
            <w:tcW w:w="147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水质</w:t>
            </w:r>
          </w:p>
        </w:tc>
        <w:tc>
          <w:tcPr>
            <w:tcW w:w="183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《地表水环境质量标准》（</w:t>
            </w:r>
            <w:r>
              <w:rPr>
                <w:color w:val="000000" w:themeColor="text1"/>
              </w:rPr>
              <w:t>GB3838-2002</w:t>
            </w:r>
            <w:r>
              <w:rPr>
                <w:rFonts w:hint="eastAsia"/>
                <w:color w:val="000000" w:themeColor="text1"/>
              </w:rPr>
              <w:t>）Ⅲ类水质标准</w:t>
            </w:r>
          </w:p>
        </w:tc>
        <w:tc>
          <w:tcPr>
            <w:tcW w:w="121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东南侧</w:t>
            </w:r>
          </w:p>
        </w:tc>
        <w:tc>
          <w:tcPr>
            <w:tcW w:w="102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3175</w:t>
            </w:r>
            <w:r>
              <w:rPr>
                <w:color w:val="000000" w:themeColor="text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地下水环境</w:t>
            </w:r>
          </w:p>
        </w:tc>
        <w:tc>
          <w:tcPr>
            <w:tcW w:w="6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sz w:val="24"/>
                <w:szCs w:val="24"/>
              </w:rPr>
            </w:pPr>
            <w:r>
              <w:rPr>
                <w:color w:val="000000" w:themeColor="text1"/>
                <w:sz w:val="24"/>
              </w:rPr>
              <w:t>-</w:t>
            </w:r>
          </w:p>
        </w:tc>
        <w:tc>
          <w:tcPr>
            <w:tcW w:w="69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sz w:val="24"/>
                <w:szCs w:val="24"/>
              </w:rPr>
            </w:pPr>
            <w:r>
              <w:rPr>
                <w:color w:val="000000" w:themeColor="text1"/>
                <w:sz w:val="24"/>
              </w:rPr>
              <w:t>-</w:t>
            </w:r>
          </w:p>
        </w:tc>
        <w:tc>
          <w:tcPr>
            <w:tcW w:w="108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项目评价区域地下水</w:t>
            </w:r>
          </w:p>
        </w:tc>
        <w:tc>
          <w:tcPr>
            <w:tcW w:w="147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水质</w:t>
            </w:r>
          </w:p>
        </w:tc>
        <w:tc>
          <w:tcPr>
            <w:tcW w:w="183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《地下水质量标准》（</w:t>
            </w:r>
            <w:r>
              <w:rPr>
                <w:color w:val="000000" w:themeColor="text1"/>
              </w:rPr>
              <w:t>GB/T14848</w:t>
            </w:r>
            <w:r>
              <w:rPr>
                <w:rFonts w:hint="eastAsia"/>
                <w:color w:val="000000" w:themeColor="text1"/>
              </w:rPr>
              <w:t>－</w:t>
            </w:r>
            <w:r>
              <w:rPr>
                <w:color w:val="000000" w:themeColor="text1"/>
              </w:rPr>
              <w:t>2017</w:t>
            </w:r>
            <w:r>
              <w:rPr>
                <w:rFonts w:hint="eastAsia"/>
                <w:color w:val="000000" w:themeColor="text1"/>
              </w:rPr>
              <w:t>）中Ⅲ类标准值</w:t>
            </w:r>
          </w:p>
        </w:tc>
        <w:tc>
          <w:tcPr>
            <w:tcW w:w="121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w:t>
            </w:r>
          </w:p>
        </w:tc>
        <w:tc>
          <w:tcPr>
            <w:tcW w:w="102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生态环境</w:t>
            </w:r>
          </w:p>
        </w:tc>
        <w:tc>
          <w:tcPr>
            <w:tcW w:w="6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sz w:val="24"/>
                <w:szCs w:val="24"/>
              </w:rPr>
            </w:pPr>
            <w:r>
              <w:rPr>
                <w:color w:val="000000" w:themeColor="text1"/>
                <w:sz w:val="24"/>
              </w:rPr>
              <w:t>-</w:t>
            </w:r>
          </w:p>
        </w:tc>
        <w:tc>
          <w:tcPr>
            <w:tcW w:w="69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sz w:val="24"/>
                <w:szCs w:val="24"/>
              </w:rPr>
            </w:pPr>
            <w:r>
              <w:rPr>
                <w:color w:val="000000" w:themeColor="text1"/>
                <w:sz w:val="24"/>
              </w:rPr>
              <w:t>-</w:t>
            </w:r>
          </w:p>
        </w:tc>
        <w:tc>
          <w:tcPr>
            <w:tcW w:w="108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评价区域野生动植物等</w:t>
            </w:r>
          </w:p>
        </w:tc>
        <w:tc>
          <w:tcPr>
            <w:tcW w:w="147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生态</w:t>
            </w:r>
          </w:p>
        </w:tc>
        <w:tc>
          <w:tcPr>
            <w:tcW w:w="183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w:t>
            </w:r>
          </w:p>
        </w:tc>
        <w:tc>
          <w:tcPr>
            <w:tcW w:w="121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w:t>
            </w:r>
          </w:p>
        </w:tc>
        <w:tc>
          <w:tcPr>
            <w:tcW w:w="102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vMerge w:val="restart"/>
            <w:tcBorders>
              <w:top w:val="single" w:color="auto" w:sz="4" w:space="0"/>
              <w:left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color w:val="000000" w:themeColor="text1"/>
              </w:rPr>
              <w:t>环境风险保护目标</w:t>
            </w:r>
          </w:p>
        </w:tc>
        <w:tc>
          <w:tcPr>
            <w:tcW w:w="1350" w:type="dxa"/>
            <w:gridSpan w:val="2"/>
            <w:tcBorders>
              <w:top w:val="single" w:color="auto" w:sz="4" w:space="0"/>
              <w:left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color w:val="000000" w:themeColor="text1"/>
              </w:rPr>
              <w:t>小龙白</w:t>
            </w:r>
          </w:p>
        </w:tc>
        <w:tc>
          <w:tcPr>
            <w:tcW w:w="108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居民</w:t>
            </w:r>
          </w:p>
        </w:tc>
        <w:tc>
          <w:tcPr>
            <w:tcW w:w="147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62户，</w:t>
            </w:r>
            <w:r>
              <w:rPr>
                <w:color w:val="000000" w:themeColor="text1"/>
              </w:rPr>
              <w:t>2</w:t>
            </w:r>
            <w:r>
              <w:rPr>
                <w:rFonts w:hint="eastAsia"/>
                <w:color w:val="000000" w:themeColor="text1"/>
              </w:rPr>
              <w:t>42人</w:t>
            </w:r>
          </w:p>
        </w:tc>
        <w:tc>
          <w:tcPr>
            <w:tcW w:w="1838"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w:t>
            </w:r>
          </w:p>
        </w:tc>
        <w:tc>
          <w:tcPr>
            <w:tcW w:w="121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东南侧</w:t>
            </w:r>
          </w:p>
        </w:tc>
        <w:tc>
          <w:tcPr>
            <w:tcW w:w="102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500</w:t>
            </w:r>
            <w:r>
              <w:rPr>
                <w:color w:val="000000" w:themeColor="text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vMerge w:val="continue"/>
            <w:tcBorders>
              <w:left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p>
        </w:tc>
        <w:tc>
          <w:tcPr>
            <w:tcW w:w="1350" w:type="dxa"/>
            <w:gridSpan w:val="2"/>
            <w:tcBorders>
              <w:left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color w:val="000000" w:themeColor="text1"/>
              </w:rPr>
              <w:t>上舍克</w:t>
            </w:r>
          </w:p>
        </w:tc>
        <w:tc>
          <w:tcPr>
            <w:tcW w:w="108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居民</w:t>
            </w:r>
          </w:p>
        </w:tc>
        <w:tc>
          <w:tcPr>
            <w:tcW w:w="147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88户，353人</w:t>
            </w:r>
          </w:p>
        </w:tc>
        <w:tc>
          <w:tcPr>
            <w:tcW w:w="1838" w:type="dxa"/>
            <w:vMerge w:val="continue"/>
            <w:tcBorders>
              <w:left w:val="single" w:color="auto" w:sz="4" w:space="0"/>
              <w:right w:val="single" w:color="auto" w:sz="4" w:space="0"/>
            </w:tcBorders>
            <w:vAlign w:val="center"/>
          </w:tcPr>
          <w:p>
            <w:pPr>
              <w:pStyle w:val="55"/>
              <w:rPr>
                <w:color w:val="000000" w:themeColor="text1"/>
              </w:rPr>
            </w:pPr>
          </w:p>
        </w:tc>
        <w:tc>
          <w:tcPr>
            <w:tcW w:w="121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西南侧</w:t>
            </w:r>
          </w:p>
        </w:tc>
        <w:tc>
          <w:tcPr>
            <w:tcW w:w="102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1337</w:t>
            </w:r>
            <w:r>
              <w:rPr>
                <w:color w:val="000000" w:themeColor="text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vMerge w:val="continue"/>
            <w:tcBorders>
              <w:left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p>
        </w:tc>
        <w:tc>
          <w:tcPr>
            <w:tcW w:w="1350" w:type="dxa"/>
            <w:gridSpan w:val="2"/>
            <w:tcBorders>
              <w:left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color w:val="000000" w:themeColor="text1"/>
              </w:rPr>
              <w:t>白龙山</w:t>
            </w:r>
          </w:p>
        </w:tc>
        <w:tc>
          <w:tcPr>
            <w:tcW w:w="108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居民</w:t>
            </w:r>
          </w:p>
        </w:tc>
        <w:tc>
          <w:tcPr>
            <w:tcW w:w="147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265户，1225人</w:t>
            </w:r>
          </w:p>
        </w:tc>
        <w:tc>
          <w:tcPr>
            <w:tcW w:w="1838" w:type="dxa"/>
            <w:vMerge w:val="continue"/>
            <w:tcBorders>
              <w:left w:val="single" w:color="auto" w:sz="4" w:space="0"/>
              <w:right w:val="single" w:color="auto" w:sz="4" w:space="0"/>
            </w:tcBorders>
            <w:vAlign w:val="center"/>
          </w:tcPr>
          <w:p>
            <w:pPr>
              <w:pStyle w:val="55"/>
              <w:rPr>
                <w:color w:val="000000" w:themeColor="text1"/>
              </w:rPr>
            </w:pPr>
          </w:p>
        </w:tc>
        <w:tc>
          <w:tcPr>
            <w:tcW w:w="121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南侧</w:t>
            </w:r>
          </w:p>
        </w:tc>
        <w:tc>
          <w:tcPr>
            <w:tcW w:w="102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2132</w:t>
            </w:r>
            <w:r>
              <w:rPr>
                <w:color w:val="000000" w:themeColor="text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vMerge w:val="continue"/>
            <w:tcBorders>
              <w:left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p>
        </w:tc>
        <w:tc>
          <w:tcPr>
            <w:tcW w:w="1350" w:type="dxa"/>
            <w:gridSpan w:val="2"/>
            <w:tcBorders>
              <w:left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color w:val="000000" w:themeColor="text1"/>
              </w:rPr>
              <w:t>永忠</w:t>
            </w:r>
          </w:p>
        </w:tc>
        <w:tc>
          <w:tcPr>
            <w:tcW w:w="108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居民</w:t>
            </w:r>
          </w:p>
        </w:tc>
        <w:tc>
          <w:tcPr>
            <w:tcW w:w="147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14户，78人</w:t>
            </w:r>
          </w:p>
        </w:tc>
        <w:tc>
          <w:tcPr>
            <w:tcW w:w="1838" w:type="dxa"/>
            <w:vMerge w:val="continue"/>
            <w:tcBorders>
              <w:left w:val="single" w:color="auto" w:sz="4" w:space="0"/>
              <w:right w:val="single" w:color="auto" w:sz="4" w:space="0"/>
            </w:tcBorders>
            <w:vAlign w:val="center"/>
          </w:tcPr>
          <w:p>
            <w:pPr>
              <w:pStyle w:val="55"/>
              <w:rPr>
                <w:color w:val="000000" w:themeColor="text1"/>
              </w:rPr>
            </w:pPr>
          </w:p>
        </w:tc>
        <w:tc>
          <w:tcPr>
            <w:tcW w:w="121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东南侧</w:t>
            </w:r>
          </w:p>
        </w:tc>
        <w:tc>
          <w:tcPr>
            <w:tcW w:w="102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2055</w:t>
            </w:r>
            <w:r>
              <w:rPr>
                <w:color w:val="000000" w:themeColor="text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vMerge w:val="continue"/>
            <w:tcBorders>
              <w:left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p>
        </w:tc>
        <w:tc>
          <w:tcPr>
            <w:tcW w:w="1350" w:type="dxa"/>
            <w:gridSpan w:val="2"/>
            <w:tcBorders>
              <w:left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color w:val="000000" w:themeColor="text1"/>
              </w:rPr>
              <w:t>布标</w:t>
            </w:r>
          </w:p>
        </w:tc>
        <w:tc>
          <w:tcPr>
            <w:tcW w:w="108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居民</w:t>
            </w:r>
          </w:p>
        </w:tc>
        <w:tc>
          <w:tcPr>
            <w:tcW w:w="147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353户，1801人</w:t>
            </w:r>
          </w:p>
        </w:tc>
        <w:tc>
          <w:tcPr>
            <w:tcW w:w="1838" w:type="dxa"/>
            <w:vMerge w:val="continue"/>
            <w:tcBorders>
              <w:left w:val="single" w:color="auto" w:sz="4" w:space="0"/>
              <w:right w:val="single" w:color="auto" w:sz="4" w:space="0"/>
            </w:tcBorders>
            <w:vAlign w:val="center"/>
          </w:tcPr>
          <w:p>
            <w:pPr>
              <w:pStyle w:val="55"/>
              <w:rPr>
                <w:color w:val="000000" w:themeColor="text1"/>
              </w:rPr>
            </w:pPr>
          </w:p>
        </w:tc>
        <w:tc>
          <w:tcPr>
            <w:tcW w:w="121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东南侧</w:t>
            </w:r>
          </w:p>
        </w:tc>
        <w:tc>
          <w:tcPr>
            <w:tcW w:w="102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1653</w:t>
            </w:r>
            <w:r>
              <w:rPr>
                <w:color w:val="000000" w:themeColor="text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vMerge w:val="continue"/>
            <w:tcBorders>
              <w:left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p>
        </w:tc>
        <w:tc>
          <w:tcPr>
            <w:tcW w:w="1350" w:type="dxa"/>
            <w:gridSpan w:val="2"/>
            <w:tcBorders>
              <w:left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color w:val="000000" w:themeColor="text1"/>
              </w:rPr>
              <w:t>小舍克</w:t>
            </w:r>
          </w:p>
        </w:tc>
        <w:tc>
          <w:tcPr>
            <w:tcW w:w="108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居民</w:t>
            </w:r>
          </w:p>
        </w:tc>
        <w:tc>
          <w:tcPr>
            <w:tcW w:w="147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202户，895人</w:t>
            </w:r>
          </w:p>
        </w:tc>
        <w:tc>
          <w:tcPr>
            <w:tcW w:w="1838" w:type="dxa"/>
            <w:vMerge w:val="continue"/>
            <w:tcBorders>
              <w:left w:val="single" w:color="auto" w:sz="4" w:space="0"/>
              <w:right w:val="single" w:color="auto" w:sz="4" w:space="0"/>
            </w:tcBorders>
            <w:vAlign w:val="center"/>
          </w:tcPr>
          <w:p>
            <w:pPr>
              <w:pStyle w:val="55"/>
              <w:rPr>
                <w:color w:val="000000" w:themeColor="text1"/>
              </w:rPr>
            </w:pPr>
          </w:p>
        </w:tc>
        <w:tc>
          <w:tcPr>
            <w:tcW w:w="121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西北侧</w:t>
            </w:r>
          </w:p>
        </w:tc>
        <w:tc>
          <w:tcPr>
            <w:tcW w:w="102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1644</w:t>
            </w:r>
            <w:r>
              <w:rPr>
                <w:color w:val="000000" w:themeColor="text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dxa"/>
            <w:vMerge w:val="continue"/>
            <w:tcBorders>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p>
        </w:tc>
        <w:tc>
          <w:tcPr>
            <w:tcW w:w="1350" w:type="dxa"/>
            <w:gridSpan w:val="2"/>
            <w:tcBorders>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color w:val="000000" w:themeColor="text1"/>
              </w:rPr>
              <w:t>碧云村</w:t>
            </w:r>
          </w:p>
        </w:tc>
        <w:tc>
          <w:tcPr>
            <w:tcW w:w="108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居民</w:t>
            </w:r>
          </w:p>
        </w:tc>
        <w:tc>
          <w:tcPr>
            <w:tcW w:w="147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400户，1895人</w:t>
            </w:r>
          </w:p>
        </w:tc>
        <w:tc>
          <w:tcPr>
            <w:tcW w:w="1838"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121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东北侧</w:t>
            </w:r>
          </w:p>
        </w:tc>
        <w:tc>
          <w:tcPr>
            <w:tcW w:w="102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2600</w:t>
            </w:r>
            <w:r>
              <w:rPr>
                <w:color w:val="000000" w:themeColor="text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9078" w:type="dxa"/>
            <w:gridSpan w:val="8"/>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jc w:val="left"/>
              <w:rPr>
                <w:color w:val="000000" w:themeColor="text1"/>
              </w:rPr>
            </w:pPr>
            <w:r>
              <w:rPr>
                <w:rFonts w:hint="eastAsia"/>
                <w:color w:val="000000" w:themeColor="text1"/>
              </w:rPr>
              <w:t>注：坐标原点（0，0）为项目场区中心</w:t>
            </w:r>
          </w:p>
        </w:tc>
      </w:tr>
    </w:tbl>
    <w:p>
      <w:pPr>
        <w:pStyle w:val="3"/>
        <w:rPr>
          <w:color w:val="000000" w:themeColor="text1"/>
        </w:rPr>
      </w:pPr>
      <w:bookmarkStart w:id="21" w:name="_Toc47375784"/>
      <w:r>
        <w:rPr>
          <w:rFonts w:hint="eastAsia"/>
          <w:color w:val="000000" w:themeColor="text1"/>
        </w:rPr>
        <w:t>1.6环境影响评价程序</w:t>
      </w:r>
      <w:bookmarkEnd w:id="21"/>
    </w:p>
    <w:p>
      <w:pPr>
        <w:ind w:firstLine="480"/>
        <w:rPr>
          <w:rStyle w:val="52"/>
          <w:b w:val="0"/>
          <w:bCs w:val="0"/>
          <w:i w:val="0"/>
          <w:iCs w:val="0"/>
          <w:color w:val="000000" w:themeColor="text1"/>
          <w:szCs w:val="24"/>
        </w:rPr>
      </w:pPr>
      <w:r>
        <w:rPr>
          <w:rStyle w:val="52"/>
          <w:rFonts w:hint="eastAsia"/>
          <w:b w:val="0"/>
          <w:bCs w:val="0"/>
          <w:i w:val="0"/>
          <w:iCs w:val="0"/>
          <w:color w:val="000000" w:themeColor="text1"/>
          <w:szCs w:val="24"/>
        </w:rPr>
        <w:t>本次环境影响评价工作程序见图1.6-1。</w:t>
      </w:r>
    </w:p>
    <w:p>
      <w:pPr>
        <w:ind w:firstLine="0" w:firstLineChars="0"/>
        <w:jc w:val="center"/>
        <w:rPr>
          <w:color w:val="000000" w:themeColor="text1"/>
        </w:rPr>
      </w:pPr>
      <w:r>
        <w:rPr>
          <w:color w:val="000000" w:themeColor="text1"/>
        </w:rPr>
        <w:drawing>
          <wp:inline distT="0" distB="0" distL="0" distR="0">
            <wp:extent cx="5274310" cy="6346825"/>
            <wp:effectExtent l="19050" t="0" r="254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noChangeArrowheads="1"/>
                    </pic:cNvPicPr>
                  </pic:nvPicPr>
                  <pic:blipFill>
                    <a:blip r:embed="rId10"/>
                    <a:srcRect/>
                    <a:stretch>
                      <a:fillRect/>
                    </a:stretch>
                  </pic:blipFill>
                  <pic:spPr>
                    <a:xfrm>
                      <a:off x="0" y="0"/>
                      <a:ext cx="5274310" cy="6346939"/>
                    </a:xfrm>
                    <a:prstGeom prst="rect">
                      <a:avLst/>
                    </a:prstGeom>
                    <a:noFill/>
                    <a:ln w="9525">
                      <a:noFill/>
                      <a:miter lim="800000"/>
                      <a:headEnd/>
                      <a:tailEnd/>
                    </a:ln>
                  </pic:spPr>
                </pic:pic>
              </a:graphicData>
            </a:graphic>
          </wp:inline>
        </w:drawing>
      </w:r>
    </w:p>
    <w:p>
      <w:pPr>
        <w:pStyle w:val="54"/>
        <w:rPr>
          <w:color w:val="000000" w:themeColor="text1"/>
        </w:rPr>
      </w:pPr>
      <w:r>
        <w:rPr>
          <w:color w:val="000000" w:themeColor="text1"/>
        </w:rPr>
        <w:t>图</w:t>
      </w:r>
      <w:r>
        <w:rPr>
          <w:rFonts w:hint="eastAsia"/>
          <w:color w:val="000000" w:themeColor="text1"/>
        </w:rPr>
        <w:t>1.6-1 环境影响评价工作程序图</w:t>
      </w:r>
    </w:p>
    <w:p>
      <w:pPr>
        <w:ind w:firstLine="480"/>
        <w:rPr>
          <w:color w:val="000000" w:themeColor="text1"/>
          <w:sz w:val="32"/>
        </w:rPr>
      </w:pPr>
      <w:r>
        <w:rPr>
          <w:color w:val="000000" w:themeColor="text1"/>
        </w:rPr>
        <w:br w:type="page"/>
      </w:r>
    </w:p>
    <w:p>
      <w:pPr>
        <w:pStyle w:val="2"/>
        <w:spacing w:before="192" w:after="192"/>
        <w:rPr>
          <w:color w:val="000000" w:themeColor="text1"/>
        </w:rPr>
      </w:pPr>
      <w:bookmarkStart w:id="22" w:name="_Toc47375785"/>
      <w:r>
        <w:rPr>
          <w:rFonts w:hint="eastAsia"/>
          <w:color w:val="000000" w:themeColor="text1"/>
        </w:rPr>
        <w:t>2.建设项目工程分析</w:t>
      </w:r>
      <w:bookmarkEnd w:id="22"/>
    </w:p>
    <w:p>
      <w:pPr>
        <w:pStyle w:val="3"/>
        <w:rPr>
          <w:color w:val="000000" w:themeColor="text1"/>
        </w:rPr>
      </w:pPr>
      <w:bookmarkStart w:id="23" w:name="_Toc47375786"/>
      <w:r>
        <w:rPr>
          <w:rFonts w:hint="eastAsia"/>
          <w:color w:val="000000" w:themeColor="text1"/>
        </w:rPr>
        <w:t>2.1现有工程分析</w:t>
      </w:r>
      <w:bookmarkEnd w:id="23"/>
    </w:p>
    <w:p>
      <w:pPr>
        <w:pStyle w:val="38"/>
        <w:ind w:firstLine="281"/>
        <w:rPr>
          <w:color w:val="000000" w:themeColor="text1"/>
        </w:rPr>
      </w:pPr>
      <w:bookmarkStart w:id="24" w:name="_Toc47375787"/>
      <w:r>
        <w:rPr>
          <w:rFonts w:hint="eastAsia"/>
          <w:color w:val="000000" w:themeColor="text1"/>
        </w:rPr>
        <w:t>2.1.1现有项目概述</w:t>
      </w:r>
      <w:bookmarkEnd w:id="24"/>
    </w:p>
    <w:p>
      <w:pPr>
        <w:ind w:firstLine="480"/>
        <w:rPr>
          <w:rStyle w:val="52"/>
          <w:b w:val="0"/>
          <w:bCs w:val="0"/>
          <w:i w:val="0"/>
          <w:iCs w:val="0"/>
          <w:color w:val="000000" w:themeColor="text1"/>
          <w:szCs w:val="24"/>
        </w:rPr>
      </w:pPr>
      <w:r>
        <w:rPr>
          <w:color w:val="000000" w:themeColor="text1"/>
        </w:rPr>
        <w:t>砚山县康乐生猪定点屠宰厂位于砚山县七乡大道</w:t>
      </w:r>
      <w:r>
        <w:rPr>
          <w:rStyle w:val="52"/>
          <w:rFonts w:hint="eastAsia"/>
          <w:b w:val="0"/>
          <w:bCs w:val="0"/>
          <w:i w:val="0"/>
          <w:iCs w:val="0"/>
          <w:color w:val="000000" w:themeColor="text1"/>
          <w:szCs w:val="24"/>
        </w:rPr>
        <w:t>与323国道交界处。现有工程总投资140万元，总占地面积4307m</w:t>
      </w:r>
      <w:r>
        <w:rPr>
          <w:rStyle w:val="52"/>
          <w:rFonts w:hint="eastAsia"/>
          <w:b w:val="0"/>
          <w:bCs w:val="0"/>
          <w:i w:val="0"/>
          <w:iCs w:val="0"/>
          <w:color w:val="000000" w:themeColor="text1"/>
          <w:szCs w:val="24"/>
          <w:vertAlign w:val="superscript"/>
        </w:rPr>
        <w:t>2</w:t>
      </w:r>
      <w:r>
        <w:rPr>
          <w:rStyle w:val="52"/>
          <w:rFonts w:hint="eastAsia"/>
          <w:b w:val="0"/>
          <w:bCs w:val="0"/>
          <w:i w:val="0"/>
          <w:iCs w:val="0"/>
          <w:color w:val="000000" w:themeColor="text1"/>
          <w:szCs w:val="24"/>
        </w:rPr>
        <w:t>，主要工程为屠宰间250m</w:t>
      </w:r>
      <w:r>
        <w:rPr>
          <w:rStyle w:val="52"/>
          <w:rFonts w:hint="eastAsia"/>
          <w:b w:val="0"/>
          <w:bCs w:val="0"/>
          <w:i w:val="0"/>
          <w:iCs w:val="0"/>
          <w:color w:val="000000" w:themeColor="text1"/>
          <w:szCs w:val="24"/>
          <w:vertAlign w:val="superscript"/>
        </w:rPr>
        <w:t>2</w:t>
      </w:r>
      <w:r>
        <w:rPr>
          <w:rStyle w:val="52"/>
          <w:rFonts w:hint="eastAsia"/>
          <w:b w:val="0"/>
          <w:bCs w:val="0"/>
          <w:i w:val="0"/>
          <w:iCs w:val="0"/>
          <w:color w:val="000000" w:themeColor="text1"/>
          <w:szCs w:val="24"/>
        </w:rPr>
        <w:t>，待宰间300m</w:t>
      </w:r>
      <w:r>
        <w:rPr>
          <w:rStyle w:val="52"/>
          <w:rFonts w:hint="eastAsia"/>
          <w:b w:val="0"/>
          <w:bCs w:val="0"/>
          <w:i w:val="0"/>
          <w:iCs w:val="0"/>
          <w:color w:val="000000" w:themeColor="text1"/>
          <w:szCs w:val="24"/>
          <w:vertAlign w:val="superscript"/>
        </w:rPr>
        <w:t>2</w:t>
      </w:r>
      <w:r>
        <w:rPr>
          <w:rStyle w:val="52"/>
          <w:rFonts w:hint="eastAsia"/>
          <w:b w:val="0"/>
          <w:bCs w:val="0"/>
          <w:i w:val="0"/>
          <w:iCs w:val="0"/>
          <w:color w:val="000000" w:themeColor="text1"/>
          <w:szCs w:val="24"/>
        </w:rPr>
        <w:t>，冷库100m</w:t>
      </w:r>
      <w:r>
        <w:rPr>
          <w:rStyle w:val="52"/>
          <w:rFonts w:hint="eastAsia"/>
          <w:b w:val="0"/>
          <w:bCs w:val="0"/>
          <w:i w:val="0"/>
          <w:iCs w:val="0"/>
          <w:color w:val="000000" w:themeColor="text1"/>
          <w:szCs w:val="24"/>
          <w:vertAlign w:val="superscript"/>
        </w:rPr>
        <w:t>2</w:t>
      </w:r>
      <w:r>
        <w:rPr>
          <w:rStyle w:val="52"/>
          <w:rFonts w:hint="eastAsia"/>
          <w:b w:val="0"/>
          <w:bCs w:val="0"/>
          <w:i w:val="0"/>
          <w:iCs w:val="0"/>
          <w:color w:val="000000" w:themeColor="text1"/>
          <w:szCs w:val="24"/>
        </w:rPr>
        <w:t>，两层办公楼400m</w:t>
      </w:r>
      <w:r>
        <w:rPr>
          <w:rStyle w:val="52"/>
          <w:rFonts w:hint="eastAsia"/>
          <w:b w:val="0"/>
          <w:bCs w:val="0"/>
          <w:i w:val="0"/>
          <w:iCs w:val="0"/>
          <w:color w:val="000000" w:themeColor="text1"/>
          <w:szCs w:val="24"/>
          <w:vertAlign w:val="superscript"/>
        </w:rPr>
        <w:t>2</w:t>
      </w:r>
      <w:r>
        <w:rPr>
          <w:rStyle w:val="52"/>
          <w:rFonts w:hint="eastAsia"/>
          <w:b w:val="0"/>
          <w:bCs w:val="0"/>
          <w:i w:val="0"/>
          <w:iCs w:val="0"/>
          <w:color w:val="000000" w:themeColor="text1"/>
          <w:szCs w:val="24"/>
        </w:rPr>
        <w:t>，4栋生活用房800m</w:t>
      </w:r>
      <w:r>
        <w:rPr>
          <w:rStyle w:val="52"/>
          <w:rFonts w:hint="eastAsia"/>
          <w:b w:val="0"/>
          <w:bCs w:val="0"/>
          <w:i w:val="0"/>
          <w:iCs w:val="0"/>
          <w:color w:val="000000" w:themeColor="text1"/>
          <w:szCs w:val="24"/>
          <w:vertAlign w:val="superscript"/>
        </w:rPr>
        <w:t>2</w:t>
      </w:r>
      <w:r>
        <w:rPr>
          <w:rStyle w:val="52"/>
          <w:rFonts w:hint="eastAsia"/>
          <w:b w:val="0"/>
          <w:bCs w:val="0"/>
          <w:i w:val="0"/>
          <w:iCs w:val="0"/>
          <w:color w:val="000000" w:themeColor="text1"/>
          <w:szCs w:val="24"/>
        </w:rPr>
        <w:t>，锅炉房100m</w:t>
      </w:r>
      <w:r>
        <w:rPr>
          <w:rStyle w:val="52"/>
          <w:rFonts w:hint="eastAsia"/>
          <w:b w:val="0"/>
          <w:bCs w:val="0"/>
          <w:i w:val="0"/>
          <w:iCs w:val="0"/>
          <w:color w:val="000000" w:themeColor="text1"/>
          <w:szCs w:val="24"/>
          <w:vertAlign w:val="superscript"/>
        </w:rPr>
        <w:t>2</w:t>
      </w:r>
      <w:r>
        <w:rPr>
          <w:rStyle w:val="52"/>
          <w:rFonts w:hint="eastAsia"/>
          <w:b w:val="0"/>
          <w:bCs w:val="0"/>
          <w:i w:val="0"/>
          <w:iCs w:val="0"/>
          <w:color w:val="000000" w:themeColor="text1"/>
          <w:szCs w:val="24"/>
        </w:rPr>
        <w:t>以及杂物间、公厕、配电房等。现有项目营业范围不饲养活猪，只对养殖户提供屠宰的场所，收取相应加工费，年屠宰生猪2万头。企业目前有定员9人，其中管理人员2人，每天工作6小时，一班制，年工作360天。现有厂区地理位置图见图2.1.1-1；现有厂区平面布置见图2.1.1-2。</w:t>
      </w:r>
    </w:p>
    <w:p>
      <w:pPr>
        <w:pStyle w:val="54"/>
        <w:rPr>
          <w:rStyle w:val="52"/>
          <w:b/>
          <w:bCs w:val="0"/>
          <w:i w:val="0"/>
          <w:iCs w:val="0"/>
          <w:color w:val="000000" w:themeColor="text1"/>
          <w:szCs w:val="24"/>
        </w:rPr>
      </w:pPr>
      <w:r>
        <w:rPr>
          <w:color w:val="000000" w:themeColor="text1"/>
        </w:rPr>
        <w:pict>
          <v:shape id="_x0000_s1355" o:spid="_x0000_s1355" o:spt="202" type="#_x0000_t202" style="position:absolute;left:0pt;margin-left:156.15pt;margin-top:113.45pt;height:20.25pt;width:66pt;z-index:251662336;mso-width-relative:page;mso-height-relative:page;" stroked="f" coordsize="21600,21600">
            <v:path/>
            <v:fill opacity="0f" focussize="0,0"/>
            <v:stroke on="f" joinstyle="miter"/>
            <v:imagedata o:title=""/>
            <o:lock v:ext="edit"/>
            <v:textbox>
              <w:txbxContent>
                <w:p>
                  <w:pPr>
                    <w:pStyle w:val="55"/>
                    <w:rPr>
                      <w:color w:val="FF0000"/>
                    </w:rPr>
                  </w:pPr>
                  <w:r>
                    <w:rPr>
                      <w:rFonts w:hint="eastAsia"/>
                      <w:color w:val="FF0000"/>
                    </w:rPr>
                    <w:t>现有厂区</w:t>
                  </w:r>
                </w:p>
              </w:txbxContent>
            </v:textbox>
          </v:shape>
        </w:pict>
      </w:r>
      <w:r>
        <w:rPr>
          <w:color w:val="000000" w:themeColor="text1"/>
        </w:rPr>
        <w:drawing>
          <wp:inline distT="0" distB="0" distL="0" distR="0">
            <wp:extent cx="5278120" cy="4129405"/>
            <wp:effectExtent l="19050" t="0" r="0" b="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noChangeArrowheads="1"/>
                    </pic:cNvPicPr>
                  </pic:nvPicPr>
                  <pic:blipFill>
                    <a:blip r:embed="rId11"/>
                    <a:srcRect/>
                    <a:stretch>
                      <a:fillRect/>
                    </a:stretch>
                  </pic:blipFill>
                  <pic:spPr>
                    <a:xfrm>
                      <a:off x="0" y="0"/>
                      <a:ext cx="5278120" cy="4129719"/>
                    </a:xfrm>
                    <a:prstGeom prst="rect">
                      <a:avLst/>
                    </a:prstGeom>
                    <a:noFill/>
                    <a:ln w="9525">
                      <a:noFill/>
                      <a:miter lim="800000"/>
                      <a:headEnd/>
                      <a:tailEnd/>
                    </a:ln>
                  </pic:spPr>
                </pic:pic>
              </a:graphicData>
            </a:graphic>
          </wp:inline>
        </w:drawing>
      </w:r>
    </w:p>
    <w:p>
      <w:pPr>
        <w:pStyle w:val="54"/>
        <w:rPr>
          <w:color w:val="000000" w:themeColor="text1"/>
        </w:rPr>
      </w:pPr>
      <w:r>
        <w:rPr>
          <w:rFonts w:hint="eastAsia"/>
          <w:color w:val="000000" w:themeColor="text1"/>
        </w:rPr>
        <w:t xml:space="preserve">图2.1.1-1  </w:t>
      </w:r>
      <w:r>
        <w:rPr>
          <w:rStyle w:val="52"/>
          <w:rFonts w:hint="eastAsia"/>
          <w:b/>
          <w:bCs w:val="0"/>
          <w:i w:val="0"/>
          <w:iCs w:val="0"/>
          <w:color w:val="000000" w:themeColor="text1"/>
          <w:szCs w:val="24"/>
        </w:rPr>
        <w:t>现有厂区地理位置图</w:t>
      </w:r>
    </w:p>
    <w:p>
      <w:pPr>
        <w:pStyle w:val="54"/>
        <w:rPr>
          <w:color w:val="000000" w:themeColor="text1"/>
        </w:rPr>
      </w:pPr>
      <w:r>
        <w:rPr>
          <w:color w:val="000000" w:themeColor="text1"/>
        </w:rPr>
        <w:drawing>
          <wp:inline distT="0" distB="0" distL="0" distR="0">
            <wp:extent cx="5274310" cy="7965440"/>
            <wp:effectExtent l="19050" t="0" r="2540" b="0"/>
            <wp:docPr id="1" name="图片 0" descr="新文档 06-17-2020 12.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新文档 06-17-2020 12.41.46.jpg"/>
                    <pic:cNvPicPr>
                      <a:picLocks noChangeAspect="1"/>
                    </pic:cNvPicPr>
                  </pic:nvPicPr>
                  <pic:blipFill>
                    <a:blip r:embed="rId12" cstate="print"/>
                    <a:stretch>
                      <a:fillRect/>
                    </a:stretch>
                  </pic:blipFill>
                  <pic:spPr>
                    <a:xfrm>
                      <a:off x="0" y="0"/>
                      <a:ext cx="5274310" cy="7965440"/>
                    </a:xfrm>
                    <a:prstGeom prst="rect">
                      <a:avLst/>
                    </a:prstGeom>
                  </pic:spPr>
                </pic:pic>
              </a:graphicData>
            </a:graphic>
          </wp:inline>
        </w:drawing>
      </w:r>
    </w:p>
    <w:p>
      <w:pPr>
        <w:pStyle w:val="54"/>
        <w:rPr>
          <w:rStyle w:val="52"/>
          <w:rFonts w:cs="Times New Roman"/>
          <w:b/>
          <w:bCs w:val="0"/>
          <w:i w:val="0"/>
          <w:iCs w:val="0"/>
          <w:color w:val="000000" w:themeColor="text1"/>
          <w:szCs w:val="24"/>
        </w:rPr>
      </w:pPr>
      <w:r>
        <w:rPr>
          <w:rStyle w:val="52"/>
          <w:rFonts w:cs="Times New Roman"/>
          <w:b/>
          <w:bCs w:val="0"/>
          <w:i w:val="0"/>
          <w:iCs w:val="0"/>
          <w:color w:val="000000" w:themeColor="text1"/>
          <w:szCs w:val="24"/>
        </w:rPr>
        <w:t>图2.1.</w:t>
      </w:r>
      <w:r>
        <w:rPr>
          <w:rStyle w:val="52"/>
          <w:rFonts w:hint="eastAsia" w:cs="Times New Roman"/>
          <w:b/>
          <w:bCs w:val="0"/>
          <w:i w:val="0"/>
          <w:iCs w:val="0"/>
          <w:color w:val="000000" w:themeColor="text1"/>
          <w:szCs w:val="24"/>
        </w:rPr>
        <w:t>1</w:t>
      </w:r>
      <w:r>
        <w:rPr>
          <w:rStyle w:val="52"/>
          <w:rFonts w:cs="Times New Roman"/>
          <w:b/>
          <w:bCs w:val="0"/>
          <w:i w:val="0"/>
          <w:iCs w:val="0"/>
          <w:color w:val="000000" w:themeColor="text1"/>
          <w:szCs w:val="24"/>
        </w:rPr>
        <w:t>-</w:t>
      </w:r>
      <w:r>
        <w:rPr>
          <w:rStyle w:val="52"/>
          <w:rFonts w:hint="eastAsia" w:cs="Times New Roman"/>
          <w:b/>
          <w:bCs w:val="0"/>
          <w:i w:val="0"/>
          <w:iCs w:val="0"/>
          <w:color w:val="000000" w:themeColor="text1"/>
          <w:szCs w:val="24"/>
        </w:rPr>
        <w:t>2</w:t>
      </w:r>
      <w:r>
        <w:rPr>
          <w:rStyle w:val="52"/>
          <w:rFonts w:cs="Times New Roman"/>
          <w:b/>
          <w:bCs w:val="0"/>
          <w:i w:val="0"/>
          <w:iCs w:val="0"/>
          <w:color w:val="000000" w:themeColor="text1"/>
          <w:szCs w:val="24"/>
        </w:rPr>
        <w:t xml:space="preserve">  现有厂区平面布置图</w:t>
      </w:r>
    </w:p>
    <w:p>
      <w:pPr>
        <w:pStyle w:val="38"/>
        <w:ind w:firstLine="281"/>
        <w:rPr>
          <w:color w:val="000000" w:themeColor="text1"/>
        </w:rPr>
      </w:pPr>
      <w:bookmarkStart w:id="25" w:name="_Toc47375788"/>
      <w:r>
        <w:rPr>
          <w:rFonts w:hint="eastAsia"/>
          <w:color w:val="000000" w:themeColor="text1"/>
        </w:rPr>
        <w:t>2.1.2现有工程“三同时”执行情况</w:t>
      </w:r>
      <w:bookmarkEnd w:id="25"/>
    </w:p>
    <w:p>
      <w:pPr>
        <w:ind w:firstLine="480"/>
        <w:rPr>
          <w:color w:val="000000" w:themeColor="text1"/>
        </w:rPr>
      </w:pPr>
      <w:r>
        <w:rPr>
          <w:rFonts w:hint="eastAsia"/>
          <w:color w:val="000000" w:themeColor="text1"/>
        </w:rPr>
        <w:t>2012年5月，砚山县康乐生猪定点屠宰厂委托文山州环境科学研究所完成了《砚山县康乐生猪定点屠宰厂建设项目环境影响报告表》的编写；2012年8月20日，取得了砚山县环境保护局对该项目环评报告表的批复（砚环审[2012]47号）。</w:t>
      </w:r>
    </w:p>
    <w:p>
      <w:pPr>
        <w:ind w:firstLine="480"/>
        <w:rPr>
          <w:color w:val="000000" w:themeColor="text1"/>
        </w:rPr>
      </w:pPr>
      <w:r>
        <w:rPr>
          <w:rFonts w:hint="eastAsia"/>
          <w:color w:val="000000" w:themeColor="text1"/>
        </w:rPr>
        <w:t>2016年6月30日，砚山县环保局组织对砚山县康乐生猪定点屠宰厂建设项目开展竣工环境保护验收工作，验收组听取项目汇报后经咨询、讨论同意项目通过竣工环保验收，该项目于2016年7月15日取得了砚山县环境保护局对该项目竣工环保验收报告表的批复（砚环审[2016]98号），详见附件。</w:t>
      </w:r>
    </w:p>
    <w:p>
      <w:pPr>
        <w:ind w:firstLine="480"/>
        <w:rPr>
          <w:color w:val="000000" w:themeColor="text1"/>
        </w:rPr>
      </w:pPr>
      <w:r>
        <w:rPr>
          <w:rFonts w:hint="eastAsia"/>
          <w:color w:val="000000" w:themeColor="text1"/>
        </w:rPr>
        <w:t>现有工程三同时”执行情况见表 2.1.2-1。</w:t>
      </w:r>
    </w:p>
    <w:p>
      <w:pPr>
        <w:pStyle w:val="54"/>
        <w:rPr>
          <w:color w:val="000000" w:themeColor="text1"/>
        </w:rPr>
      </w:pPr>
      <w:r>
        <w:rPr>
          <w:rFonts w:hint="eastAsia"/>
          <w:color w:val="000000" w:themeColor="text1"/>
        </w:rPr>
        <w:t>表2.1.2-1  现有工程“三同时”执行情况表</w:t>
      </w:r>
    </w:p>
    <w:tbl>
      <w:tblPr>
        <w:tblStyle w:val="43"/>
        <w:tblW w:w="8522" w:type="dxa"/>
        <w:tblInd w:w="0" w:type="dxa"/>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75"/>
        <w:gridCol w:w="2977"/>
        <w:gridCol w:w="3686"/>
        <w:gridCol w:w="1184"/>
      </w:tblGrid>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pStyle w:val="55"/>
              <w:rPr>
                <w:color w:val="000000" w:themeColor="text1"/>
              </w:rPr>
            </w:pPr>
            <w:r>
              <w:rPr>
                <w:color w:val="000000" w:themeColor="text1"/>
              </w:rPr>
              <w:t>项目</w:t>
            </w:r>
          </w:p>
        </w:tc>
        <w:tc>
          <w:tcPr>
            <w:tcW w:w="2977" w:type="dxa"/>
            <w:vAlign w:val="center"/>
          </w:tcPr>
          <w:p>
            <w:pPr>
              <w:pStyle w:val="55"/>
              <w:rPr>
                <w:color w:val="000000" w:themeColor="text1"/>
              </w:rPr>
            </w:pPr>
            <w:r>
              <w:rPr>
                <w:color w:val="000000" w:themeColor="text1"/>
              </w:rPr>
              <w:t>环评及批复要求</w:t>
            </w:r>
          </w:p>
        </w:tc>
        <w:tc>
          <w:tcPr>
            <w:tcW w:w="3686" w:type="dxa"/>
            <w:vAlign w:val="center"/>
          </w:tcPr>
          <w:p>
            <w:pPr>
              <w:pStyle w:val="55"/>
              <w:rPr>
                <w:color w:val="000000" w:themeColor="text1"/>
              </w:rPr>
            </w:pPr>
            <w:r>
              <w:rPr>
                <w:color w:val="000000" w:themeColor="text1"/>
              </w:rPr>
              <w:t>实际落实情况</w:t>
            </w:r>
          </w:p>
        </w:tc>
        <w:tc>
          <w:tcPr>
            <w:tcW w:w="1184" w:type="dxa"/>
            <w:vAlign w:val="center"/>
          </w:tcPr>
          <w:p>
            <w:pPr>
              <w:pStyle w:val="55"/>
              <w:rPr>
                <w:color w:val="000000" w:themeColor="text1"/>
              </w:rPr>
            </w:pPr>
            <w:r>
              <w:rPr>
                <w:color w:val="000000" w:themeColor="text1"/>
              </w:rPr>
              <w:t>“</w:t>
            </w:r>
            <w:r>
              <w:rPr>
                <w:rFonts w:hint="eastAsia"/>
                <w:color w:val="000000" w:themeColor="text1"/>
              </w:rPr>
              <w:t>三同时</w:t>
            </w:r>
            <w:r>
              <w:rPr>
                <w:color w:val="000000" w:themeColor="text1"/>
              </w:rPr>
              <w:t>”</w:t>
            </w:r>
            <w:r>
              <w:rPr>
                <w:rFonts w:hint="eastAsia"/>
                <w:color w:val="000000" w:themeColor="text1"/>
              </w:rPr>
              <w:t>执行情况</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pStyle w:val="55"/>
              <w:rPr>
                <w:color w:val="000000" w:themeColor="text1"/>
              </w:rPr>
            </w:pPr>
            <w:r>
              <w:rPr>
                <w:color w:val="000000" w:themeColor="text1"/>
              </w:rPr>
              <w:t>废水</w:t>
            </w:r>
          </w:p>
        </w:tc>
        <w:tc>
          <w:tcPr>
            <w:tcW w:w="2977" w:type="dxa"/>
            <w:vAlign w:val="center"/>
          </w:tcPr>
          <w:p>
            <w:pPr>
              <w:pStyle w:val="55"/>
              <w:rPr>
                <w:color w:val="000000" w:themeColor="text1"/>
              </w:rPr>
            </w:pPr>
            <w:r>
              <w:rPr>
                <w:color w:val="000000" w:themeColor="text1"/>
              </w:rPr>
              <w:t>项目区应采取“</w:t>
            </w:r>
            <w:r>
              <w:rPr>
                <w:rFonts w:hint="eastAsia"/>
                <w:color w:val="000000" w:themeColor="text1"/>
              </w:rPr>
              <w:t>雨污分流</w:t>
            </w:r>
            <w:r>
              <w:rPr>
                <w:color w:val="000000" w:themeColor="text1"/>
              </w:rPr>
              <w:t>”</w:t>
            </w:r>
            <w:r>
              <w:rPr>
                <w:rFonts w:hint="eastAsia"/>
                <w:color w:val="000000" w:themeColor="text1"/>
              </w:rPr>
              <w:t>措施，雨水通过雨水沟排入砚山县城市雨水管网；屠宰废水及粪便污水经过化粪池处理后排入砚山县城市污水管网；较清洁的生活污水用作厂区绿化用水。</w:t>
            </w:r>
          </w:p>
        </w:tc>
        <w:tc>
          <w:tcPr>
            <w:tcW w:w="3686" w:type="dxa"/>
            <w:vAlign w:val="center"/>
          </w:tcPr>
          <w:p>
            <w:pPr>
              <w:pStyle w:val="55"/>
              <w:rPr>
                <w:color w:val="000000" w:themeColor="text1"/>
              </w:rPr>
            </w:pPr>
            <w:r>
              <w:rPr>
                <w:rFonts w:hint="eastAsia"/>
                <w:color w:val="000000" w:themeColor="text1"/>
              </w:rPr>
              <w:t>该企业目前已实行雨污分流</w:t>
            </w:r>
          </w:p>
          <w:p>
            <w:pPr>
              <w:pStyle w:val="55"/>
              <w:rPr>
                <w:color w:val="000000" w:themeColor="text1"/>
              </w:rPr>
            </w:pPr>
            <w:r>
              <w:rPr>
                <w:rFonts w:hint="eastAsia"/>
                <w:color w:val="000000" w:themeColor="text1"/>
              </w:rPr>
              <w:t>措施，项目雨水排入砚山县城市雨水管网，污水排入砚山县城镇污水管网，进入砚山县污水处理厂进一步处理。</w:t>
            </w:r>
          </w:p>
        </w:tc>
        <w:tc>
          <w:tcPr>
            <w:tcW w:w="1184" w:type="dxa"/>
            <w:vAlign w:val="center"/>
          </w:tcPr>
          <w:p>
            <w:pPr>
              <w:pStyle w:val="55"/>
              <w:rPr>
                <w:color w:val="000000" w:themeColor="text1"/>
              </w:rPr>
            </w:pPr>
            <w:r>
              <w:rPr>
                <w:color w:val="000000" w:themeColor="text1"/>
              </w:rPr>
              <w:t>已落实</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pStyle w:val="55"/>
              <w:rPr>
                <w:color w:val="000000" w:themeColor="text1"/>
              </w:rPr>
            </w:pPr>
            <w:r>
              <w:rPr>
                <w:color w:val="000000" w:themeColor="text1"/>
              </w:rPr>
              <w:t>废气</w:t>
            </w:r>
          </w:p>
        </w:tc>
        <w:tc>
          <w:tcPr>
            <w:tcW w:w="2977" w:type="dxa"/>
            <w:vAlign w:val="center"/>
          </w:tcPr>
          <w:p>
            <w:pPr>
              <w:pStyle w:val="55"/>
              <w:rPr>
                <w:color w:val="000000" w:themeColor="text1"/>
              </w:rPr>
            </w:pPr>
            <w:r>
              <w:rPr>
                <w:rFonts w:hint="eastAsia"/>
                <w:color w:val="000000" w:themeColor="text1"/>
              </w:rPr>
              <w:t>①项目锅炉废气应采用水膜除尘器处理后通过20m的烟囱排放。</w:t>
            </w:r>
          </w:p>
          <w:p>
            <w:pPr>
              <w:pStyle w:val="55"/>
              <w:rPr>
                <w:color w:val="000000" w:themeColor="text1"/>
              </w:rPr>
            </w:pPr>
            <w:r>
              <w:rPr>
                <w:rFonts w:hint="eastAsia"/>
                <w:color w:val="000000" w:themeColor="text1"/>
              </w:rPr>
              <w:t>②厂区内猪粪应及时清理，厂区每日清洗消毒，喷洒除臭剂。</w:t>
            </w:r>
          </w:p>
        </w:tc>
        <w:tc>
          <w:tcPr>
            <w:tcW w:w="3686" w:type="dxa"/>
            <w:vAlign w:val="center"/>
          </w:tcPr>
          <w:p>
            <w:pPr>
              <w:pStyle w:val="55"/>
              <w:rPr>
                <w:color w:val="000000" w:themeColor="text1"/>
              </w:rPr>
            </w:pPr>
            <w:r>
              <w:rPr>
                <w:color w:val="000000" w:themeColor="text1"/>
              </w:rPr>
              <w:t>本项目已安装一台水膜除尘器处理锅炉废气后排放。且项目厂区每日进行清洗消毒，喷洒除臭剂，减少臭气排放。</w:t>
            </w:r>
          </w:p>
        </w:tc>
        <w:tc>
          <w:tcPr>
            <w:tcW w:w="1184" w:type="dxa"/>
            <w:vAlign w:val="center"/>
          </w:tcPr>
          <w:p>
            <w:pPr>
              <w:pStyle w:val="55"/>
              <w:rPr>
                <w:color w:val="000000" w:themeColor="text1"/>
              </w:rPr>
            </w:pPr>
            <w:r>
              <w:rPr>
                <w:color w:val="000000" w:themeColor="text1"/>
              </w:rPr>
              <w:t>已落实</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pStyle w:val="55"/>
              <w:rPr>
                <w:color w:val="000000" w:themeColor="text1"/>
              </w:rPr>
            </w:pPr>
            <w:r>
              <w:rPr>
                <w:color w:val="000000" w:themeColor="text1"/>
              </w:rPr>
              <w:t>固废</w:t>
            </w:r>
          </w:p>
        </w:tc>
        <w:tc>
          <w:tcPr>
            <w:tcW w:w="2977" w:type="dxa"/>
            <w:vAlign w:val="center"/>
          </w:tcPr>
          <w:p>
            <w:pPr>
              <w:pStyle w:val="55"/>
              <w:rPr>
                <w:color w:val="000000" w:themeColor="text1"/>
              </w:rPr>
            </w:pPr>
            <w:r>
              <w:rPr>
                <w:color w:val="000000" w:themeColor="text1"/>
              </w:rPr>
              <w:t>项目产生的猪粪便、猪皮毛、猪胃肠容物、生活垃圾等固废，应分类收集后进行处理，不可随意外排。</w:t>
            </w:r>
          </w:p>
        </w:tc>
        <w:tc>
          <w:tcPr>
            <w:tcW w:w="3686" w:type="dxa"/>
            <w:vAlign w:val="center"/>
          </w:tcPr>
          <w:p>
            <w:pPr>
              <w:pStyle w:val="55"/>
              <w:rPr>
                <w:color w:val="000000" w:themeColor="text1"/>
              </w:rPr>
            </w:pPr>
            <w:r>
              <w:rPr>
                <w:color w:val="000000" w:themeColor="text1"/>
              </w:rPr>
              <w:t>项目猪粪便及胃肠容物经收集后外售给果园用作肥料，猪毛等收集后外售，</w:t>
            </w:r>
            <w:r>
              <w:rPr>
                <w:rFonts w:hint="eastAsia"/>
                <w:color w:val="000000" w:themeColor="text1"/>
              </w:rPr>
              <w:t>生活垃圾收集后统一由环卫部门清运处理。项目固体废弃物处置率为100%。</w:t>
            </w:r>
          </w:p>
        </w:tc>
        <w:tc>
          <w:tcPr>
            <w:tcW w:w="1184" w:type="dxa"/>
            <w:vAlign w:val="center"/>
          </w:tcPr>
          <w:p>
            <w:pPr>
              <w:pStyle w:val="55"/>
              <w:rPr>
                <w:color w:val="000000" w:themeColor="text1"/>
              </w:rPr>
            </w:pPr>
            <w:r>
              <w:rPr>
                <w:color w:val="000000" w:themeColor="text1"/>
              </w:rPr>
              <w:t>已落实</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pStyle w:val="55"/>
              <w:rPr>
                <w:color w:val="000000" w:themeColor="text1"/>
              </w:rPr>
            </w:pPr>
            <w:r>
              <w:rPr>
                <w:color w:val="000000" w:themeColor="text1"/>
              </w:rPr>
              <w:t>噪声</w:t>
            </w:r>
          </w:p>
        </w:tc>
        <w:tc>
          <w:tcPr>
            <w:tcW w:w="2977" w:type="dxa"/>
            <w:vAlign w:val="center"/>
          </w:tcPr>
          <w:p>
            <w:pPr>
              <w:pStyle w:val="55"/>
              <w:rPr>
                <w:color w:val="000000" w:themeColor="text1"/>
              </w:rPr>
            </w:pPr>
            <w:r>
              <w:rPr>
                <w:color w:val="000000" w:themeColor="text1"/>
              </w:rPr>
              <w:t>项目应采用电击将猪击晕后进行屠宰，减少对猪的惊吓；生产设备应定期维护，减少硬设备磨损、老化产生的噪声；项目区内增加绿化对噪声进行吸收。</w:t>
            </w:r>
          </w:p>
        </w:tc>
        <w:tc>
          <w:tcPr>
            <w:tcW w:w="3686" w:type="dxa"/>
            <w:vAlign w:val="center"/>
          </w:tcPr>
          <w:p>
            <w:pPr>
              <w:pStyle w:val="55"/>
              <w:rPr>
                <w:color w:val="000000" w:themeColor="text1"/>
              </w:rPr>
            </w:pPr>
            <w:r>
              <w:rPr>
                <w:color w:val="000000" w:themeColor="text1"/>
              </w:rPr>
              <w:t>项目屠宰前会将猪用电击晕，生产设备会定期进行维护，项目区内已设置较多绿化进行降噪。</w:t>
            </w:r>
          </w:p>
        </w:tc>
        <w:tc>
          <w:tcPr>
            <w:tcW w:w="1184" w:type="dxa"/>
            <w:vAlign w:val="center"/>
          </w:tcPr>
          <w:p>
            <w:pPr>
              <w:pStyle w:val="55"/>
              <w:rPr>
                <w:color w:val="000000" w:themeColor="text1"/>
              </w:rPr>
            </w:pPr>
            <w:r>
              <w:rPr>
                <w:color w:val="000000" w:themeColor="text1"/>
              </w:rPr>
              <w:t>已落实</w:t>
            </w:r>
          </w:p>
        </w:tc>
      </w:tr>
    </w:tbl>
    <w:p>
      <w:pPr>
        <w:pStyle w:val="38"/>
        <w:ind w:firstLine="281"/>
        <w:rPr>
          <w:color w:val="000000" w:themeColor="text1"/>
        </w:rPr>
      </w:pPr>
      <w:bookmarkStart w:id="26" w:name="_Toc47375789"/>
      <w:r>
        <w:rPr>
          <w:rFonts w:hint="eastAsia"/>
          <w:color w:val="000000" w:themeColor="text1"/>
        </w:rPr>
        <w:t>2.1.3主要建设内容</w:t>
      </w:r>
      <w:bookmarkEnd w:id="26"/>
    </w:p>
    <w:p>
      <w:pPr>
        <w:ind w:firstLine="480"/>
        <w:rPr>
          <w:color w:val="000000" w:themeColor="text1"/>
        </w:rPr>
      </w:pPr>
      <w:r>
        <w:rPr>
          <w:rFonts w:hint="eastAsia"/>
          <w:color w:val="000000" w:themeColor="text1"/>
        </w:rPr>
        <w:t>现有工程组成见表2.1.3-1。</w:t>
      </w:r>
    </w:p>
    <w:p>
      <w:pPr>
        <w:pStyle w:val="54"/>
        <w:rPr>
          <w:color w:val="000000" w:themeColor="text1"/>
        </w:rPr>
      </w:pPr>
    </w:p>
    <w:p>
      <w:pPr>
        <w:pStyle w:val="54"/>
        <w:rPr>
          <w:color w:val="000000" w:themeColor="text1"/>
        </w:rPr>
      </w:pPr>
      <w:r>
        <w:rPr>
          <w:rFonts w:hint="eastAsia"/>
          <w:color w:val="000000" w:themeColor="text1"/>
        </w:rPr>
        <w:t>表2.1.3-1  现有工程组成一览表</w:t>
      </w:r>
    </w:p>
    <w:tbl>
      <w:tblPr>
        <w:tblStyle w:val="42"/>
        <w:tblW w:w="85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720"/>
        <w:gridCol w:w="6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blHeader/>
          <w:jc w:val="center"/>
        </w:trPr>
        <w:tc>
          <w:tcPr>
            <w:tcW w:w="747"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项目组成</w:t>
            </w:r>
          </w:p>
        </w:tc>
        <w:tc>
          <w:tcPr>
            <w:tcW w:w="1720"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项目名称</w:t>
            </w:r>
          </w:p>
        </w:tc>
        <w:tc>
          <w:tcPr>
            <w:tcW w:w="6058"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blHeader/>
          <w:jc w:val="center"/>
        </w:trPr>
        <w:tc>
          <w:tcPr>
            <w:tcW w:w="747" w:type="dxa"/>
            <w:vMerge w:val="restart"/>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主体工程</w:t>
            </w:r>
          </w:p>
        </w:tc>
        <w:tc>
          <w:tcPr>
            <w:tcW w:w="1720"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屠宰间</w:t>
            </w:r>
          </w:p>
        </w:tc>
        <w:tc>
          <w:tcPr>
            <w:tcW w:w="6058" w:type="dxa"/>
            <w:tcBorders>
              <w:top w:val="single" w:color="auto" w:sz="4" w:space="0"/>
              <w:left w:val="single" w:color="auto" w:sz="4" w:space="0"/>
              <w:bottom w:val="single" w:color="auto" w:sz="4" w:space="0"/>
              <w:right w:val="single" w:color="auto" w:sz="4" w:space="0"/>
            </w:tcBorders>
            <w:vAlign w:val="center"/>
          </w:tcPr>
          <w:p>
            <w:pPr>
              <w:pStyle w:val="55"/>
              <w:rPr>
                <w:bCs/>
                <w:snapToGrid w:val="0"/>
                <w:color w:val="000000" w:themeColor="text1"/>
                <w:kern w:val="0"/>
              </w:rPr>
            </w:pPr>
            <w:r>
              <w:rPr>
                <w:rFonts w:hint="eastAsia"/>
                <w:bCs/>
                <w:snapToGrid w:val="0"/>
                <w:color w:val="000000" w:themeColor="text1"/>
                <w:kern w:val="0"/>
              </w:rPr>
              <w:t>位于场区西侧中部，</w:t>
            </w:r>
            <w:r>
              <w:rPr>
                <w:bCs/>
                <w:snapToGrid w:val="0"/>
                <w:color w:val="000000" w:themeColor="text1"/>
                <w:kern w:val="0"/>
              </w:rPr>
              <w:t>1</w:t>
            </w:r>
            <w:r>
              <w:rPr>
                <w:rFonts w:hint="eastAsia"/>
                <w:bCs/>
                <w:snapToGrid w:val="0"/>
                <w:color w:val="000000" w:themeColor="text1"/>
                <w:kern w:val="0"/>
              </w:rPr>
              <w:t>层，彩钢瓦结构，占地面积</w:t>
            </w:r>
            <w:r>
              <w:rPr>
                <w:bCs/>
                <w:snapToGrid w:val="0"/>
                <w:color w:val="000000" w:themeColor="text1"/>
                <w:kern w:val="0"/>
              </w:rPr>
              <w:t>2</w:t>
            </w:r>
            <w:r>
              <w:rPr>
                <w:rFonts w:hint="eastAsia"/>
                <w:bCs/>
                <w:snapToGrid w:val="0"/>
                <w:color w:val="000000" w:themeColor="text1"/>
                <w:kern w:val="0"/>
              </w:rPr>
              <w:t>5</w:t>
            </w:r>
            <w:r>
              <w:rPr>
                <w:bCs/>
                <w:snapToGrid w:val="0"/>
                <w:color w:val="000000" w:themeColor="text1"/>
                <w:kern w:val="0"/>
              </w:rPr>
              <w:t>0m</w:t>
            </w:r>
            <w:r>
              <w:rPr>
                <w:bCs/>
                <w:snapToGrid w:val="0"/>
                <w:color w:val="000000" w:themeColor="text1"/>
                <w:kern w:val="0"/>
                <w:vertAlign w:val="superscript"/>
              </w:rPr>
              <w:t>2</w:t>
            </w:r>
            <w:r>
              <w:rPr>
                <w:rFonts w:hint="eastAsia"/>
                <w:bCs/>
                <w:snapToGrid w:val="0"/>
                <w:color w:val="000000" w:themeColor="text1"/>
                <w:kern w:val="0"/>
              </w:rPr>
              <w:t>。包括</w:t>
            </w:r>
            <w:r>
              <w:rPr>
                <w:rStyle w:val="52"/>
                <w:rFonts w:hint="eastAsia"/>
                <w:b w:val="0"/>
                <w:bCs w:val="0"/>
                <w:i w:val="0"/>
                <w:iCs w:val="0"/>
                <w:color w:val="000000" w:themeColor="text1"/>
                <w:szCs w:val="24"/>
              </w:rPr>
              <w:t>生猪放血线、烫池、清水池、内脏处理室、晾肉台等</w:t>
            </w:r>
            <w:r>
              <w:rPr>
                <w:rFonts w:hint="eastAsia"/>
                <w:bCs/>
                <w:snapToGrid w:val="0"/>
                <w:color w:val="000000" w:themeColor="text1"/>
                <w:kern w:val="0"/>
              </w:rPr>
              <w:t>，用于生猪的屠宰、切割等。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blHeader/>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p>
        </w:tc>
        <w:tc>
          <w:tcPr>
            <w:tcW w:w="172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待宰间</w:t>
            </w:r>
          </w:p>
        </w:tc>
        <w:tc>
          <w:tcPr>
            <w:tcW w:w="605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紧邻屠宰车间、位于屠宰车间的东北侧，</w:t>
            </w:r>
            <w:r>
              <w:rPr>
                <w:bCs/>
                <w:color w:val="000000" w:themeColor="text1"/>
              </w:rPr>
              <w:t>1</w:t>
            </w:r>
            <w:r>
              <w:rPr>
                <w:rFonts w:hint="eastAsia"/>
                <w:bCs/>
                <w:color w:val="000000" w:themeColor="text1"/>
              </w:rPr>
              <w:t>层，为单层砖混及石棉瓦顶结构，占地面积300</w:t>
            </w:r>
            <w:r>
              <w:rPr>
                <w:bCs/>
                <w:color w:val="000000" w:themeColor="text1"/>
              </w:rPr>
              <w:t>m</w:t>
            </w:r>
            <w:r>
              <w:rPr>
                <w:bCs/>
                <w:color w:val="000000" w:themeColor="text1"/>
                <w:vertAlign w:val="superscript"/>
              </w:rPr>
              <w:t>2</w:t>
            </w:r>
            <w:r>
              <w:rPr>
                <w:rFonts w:hint="eastAsia"/>
                <w:bCs/>
                <w:color w:val="000000" w:themeColor="text1"/>
              </w:rPr>
              <w:t>，</w:t>
            </w:r>
            <w:r>
              <w:rPr>
                <w:rFonts w:hint="eastAsia"/>
                <w:color w:val="000000" w:themeColor="text1"/>
              </w:rPr>
              <w:t>主要用于对生猪</w:t>
            </w:r>
            <w:r>
              <w:rPr>
                <w:rFonts w:hint="eastAsia"/>
                <w:bCs/>
                <w:color w:val="000000" w:themeColor="text1"/>
              </w:rPr>
              <w:t>的临时暂存。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blHeader/>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p>
        </w:tc>
        <w:tc>
          <w:tcPr>
            <w:tcW w:w="172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锅炉房</w:t>
            </w:r>
          </w:p>
        </w:tc>
        <w:tc>
          <w:tcPr>
            <w:tcW w:w="605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紧邻屠宰车间、位于屠宰车间的南侧，</w:t>
            </w:r>
            <w:r>
              <w:rPr>
                <w:bCs/>
                <w:color w:val="000000" w:themeColor="text1"/>
              </w:rPr>
              <w:t>1</w:t>
            </w:r>
            <w:r>
              <w:rPr>
                <w:rFonts w:hint="eastAsia"/>
                <w:bCs/>
                <w:color w:val="000000" w:themeColor="text1"/>
              </w:rPr>
              <w:t>层，为单层砖混及石棉瓦顶结构，占地面积100</w:t>
            </w:r>
            <w:r>
              <w:rPr>
                <w:bCs/>
                <w:color w:val="000000" w:themeColor="text1"/>
              </w:rPr>
              <w:t>m</w:t>
            </w:r>
            <w:r>
              <w:rPr>
                <w:bCs/>
                <w:color w:val="000000" w:themeColor="text1"/>
                <w:vertAlign w:val="superscript"/>
              </w:rPr>
              <w:t>2</w:t>
            </w:r>
            <w:r>
              <w:rPr>
                <w:rFonts w:hint="eastAsia"/>
                <w:bCs/>
                <w:color w:val="000000" w:themeColor="text1"/>
              </w:rPr>
              <w:t>，</w:t>
            </w:r>
            <w:r>
              <w:rPr>
                <w:rFonts w:hint="eastAsia"/>
                <w:color w:val="000000" w:themeColor="text1"/>
              </w:rPr>
              <w:t>设置一台0.25t/h的燃煤蒸汽锅炉。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blHeader/>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p>
        </w:tc>
        <w:tc>
          <w:tcPr>
            <w:tcW w:w="172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冷库</w:t>
            </w:r>
          </w:p>
        </w:tc>
        <w:tc>
          <w:tcPr>
            <w:tcW w:w="605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位于锅炉房的南侧，为一层砖混建筑，占地面积100</w:t>
            </w:r>
            <w:r>
              <w:rPr>
                <w:bCs/>
                <w:snapToGrid w:val="0"/>
                <w:color w:val="000000" w:themeColor="text1"/>
                <w:kern w:val="0"/>
              </w:rPr>
              <w:t>m</w:t>
            </w:r>
            <w:r>
              <w:rPr>
                <w:bCs/>
                <w:snapToGrid w:val="0"/>
                <w:color w:val="000000" w:themeColor="text1"/>
                <w:kern w:val="0"/>
                <w:vertAlign w:val="superscript"/>
              </w:rPr>
              <w:t>2</w:t>
            </w:r>
            <w:r>
              <w:rPr>
                <w:rFonts w:hint="eastAsia"/>
                <w:bCs/>
                <w:snapToGrid w:val="0"/>
                <w:color w:val="000000" w:themeColor="text1"/>
                <w:kern w:val="0"/>
              </w:rPr>
              <w:t>，</w:t>
            </w:r>
            <w:r>
              <w:rPr>
                <w:bCs/>
                <w:snapToGrid w:val="0"/>
                <w:color w:val="000000" w:themeColor="text1"/>
                <w:kern w:val="0"/>
              </w:rPr>
              <w:t>主要用于冰冻屠宰后的猪肉</w:t>
            </w:r>
            <w:r>
              <w:rPr>
                <w:rFonts w:hint="eastAsia"/>
                <w:bCs/>
                <w:snapToGrid w:val="0"/>
                <w:color w:val="000000" w:themeColor="text1"/>
                <w:kern w:val="0"/>
              </w:rPr>
              <w:t>，仅在</w:t>
            </w:r>
            <w:r>
              <w:rPr>
                <w:bCs/>
                <w:snapToGrid w:val="0"/>
                <w:color w:val="000000" w:themeColor="text1"/>
                <w:kern w:val="0"/>
              </w:rPr>
              <w:t>屠宰量大且需要且需要储存时使用</w:t>
            </w:r>
            <w:r>
              <w:rPr>
                <w:rFonts w:hint="eastAsia"/>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blHeader/>
          <w:jc w:val="center"/>
        </w:trPr>
        <w:tc>
          <w:tcPr>
            <w:tcW w:w="747" w:type="dxa"/>
            <w:vMerge w:val="restart"/>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辅助工程</w:t>
            </w:r>
          </w:p>
        </w:tc>
        <w:tc>
          <w:tcPr>
            <w:tcW w:w="1720" w:type="dxa"/>
            <w:tcBorders>
              <w:top w:val="single" w:color="auto" w:sz="4" w:space="0"/>
              <w:left w:val="single" w:color="auto" w:sz="4" w:space="0"/>
              <w:bottom w:val="single" w:color="auto" w:sz="4" w:space="0"/>
              <w:right w:val="single" w:color="auto" w:sz="4" w:space="0"/>
            </w:tcBorders>
            <w:vAlign w:val="center"/>
          </w:tcPr>
          <w:p>
            <w:pPr>
              <w:pStyle w:val="55"/>
              <w:rPr>
                <w:bCs/>
                <w:snapToGrid w:val="0"/>
                <w:color w:val="000000" w:themeColor="text1"/>
                <w:kern w:val="0"/>
              </w:rPr>
            </w:pPr>
            <w:r>
              <w:rPr>
                <w:rFonts w:hint="eastAsia"/>
                <w:bCs/>
                <w:snapToGrid w:val="0"/>
                <w:color w:val="000000" w:themeColor="text1"/>
                <w:kern w:val="0"/>
              </w:rPr>
              <w:t>办公楼</w:t>
            </w:r>
          </w:p>
        </w:tc>
        <w:tc>
          <w:tcPr>
            <w:tcW w:w="605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位于整个厂区南面，为一栋2层砖混建筑，占地面积为4</w:t>
            </w:r>
            <w:r>
              <w:rPr>
                <w:color w:val="000000" w:themeColor="text1"/>
              </w:rPr>
              <w:t>00m</w:t>
            </w:r>
            <w:r>
              <w:rPr>
                <w:color w:val="000000" w:themeColor="text1"/>
                <w:vertAlign w:val="superscript"/>
              </w:rPr>
              <w:t>2</w:t>
            </w:r>
            <w:r>
              <w:rPr>
                <w:rFonts w:hint="eastAsia"/>
                <w:color w:val="000000" w:themeColor="text1"/>
              </w:rPr>
              <w:t>，为工作人员办公场所。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blHeader/>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p>
        </w:tc>
        <w:tc>
          <w:tcPr>
            <w:tcW w:w="172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生活用房</w:t>
            </w:r>
          </w:p>
        </w:tc>
        <w:tc>
          <w:tcPr>
            <w:tcW w:w="605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位于厂区东侧，有4栋，</w:t>
            </w:r>
            <w:r>
              <w:rPr>
                <w:rFonts w:hint="eastAsia"/>
                <w:bCs/>
                <w:color w:val="000000" w:themeColor="text1"/>
              </w:rPr>
              <w:t>为单层砖混及石棉瓦顶结构</w:t>
            </w:r>
            <w:r>
              <w:rPr>
                <w:rFonts w:hint="eastAsia"/>
                <w:color w:val="000000" w:themeColor="text1"/>
              </w:rPr>
              <w:t>，占地面积800</w:t>
            </w:r>
            <w:r>
              <w:rPr>
                <w:bCs/>
                <w:snapToGrid w:val="0"/>
                <w:color w:val="000000" w:themeColor="text1"/>
                <w:kern w:val="0"/>
              </w:rPr>
              <w:t>m</w:t>
            </w:r>
            <w:r>
              <w:rPr>
                <w:bCs/>
                <w:snapToGrid w:val="0"/>
                <w:color w:val="000000" w:themeColor="text1"/>
                <w:kern w:val="0"/>
                <w:vertAlign w:val="superscript"/>
              </w:rPr>
              <w:t>2</w:t>
            </w:r>
            <w:r>
              <w:rPr>
                <w:rFonts w:hint="eastAsia"/>
                <w:bCs/>
                <w:snapToGrid w:val="0"/>
                <w:color w:val="000000" w:themeColor="text1"/>
                <w:kern w:val="0"/>
              </w:rPr>
              <w:t>，主要</w:t>
            </w:r>
            <w:r>
              <w:rPr>
                <w:rFonts w:hint="eastAsia"/>
                <w:color w:val="000000" w:themeColor="text1"/>
              </w:rPr>
              <w:t>为工作人员办公及休息的场所</w:t>
            </w:r>
            <w:r>
              <w:rPr>
                <w:rFonts w:hint="eastAsia"/>
                <w:bCs/>
                <w:snapToGrid w:val="0"/>
                <w:color w:val="000000" w:themeColor="text1"/>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blHeader/>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p>
        </w:tc>
        <w:tc>
          <w:tcPr>
            <w:tcW w:w="172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杂物间</w:t>
            </w:r>
          </w:p>
        </w:tc>
        <w:tc>
          <w:tcPr>
            <w:tcW w:w="605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位于生活用房北侧，占地面积</w:t>
            </w:r>
            <w:r>
              <w:rPr>
                <w:color w:val="000000" w:themeColor="text1"/>
              </w:rPr>
              <w:t>20</w:t>
            </w:r>
            <w:r>
              <w:rPr>
                <w:bCs/>
                <w:snapToGrid w:val="0"/>
                <w:color w:val="000000" w:themeColor="text1"/>
                <w:kern w:val="0"/>
              </w:rPr>
              <w:t>m</w:t>
            </w:r>
            <w:r>
              <w:rPr>
                <w:bCs/>
                <w:snapToGrid w:val="0"/>
                <w:color w:val="000000" w:themeColor="text1"/>
                <w:kern w:val="0"/>
                <w:vertAlign w:val="superscript"/>
              </w:rPr>
              <w:t>2</w:t>
            </w:r>
            <w:r>
              <w:rPr>
                <w:rFonts w:hint="eastAsia"/>
                <w:bCs/>
                <w:snapToGrid w:val="0"/>
                <w:color w:val="000000" w:themeColor="text1"/>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blHeader/>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p>
        </w:tc>
        <w:tc>
          <w:tcPr>
            <w:tcW w:w="172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公厕</w:t>
            </w:r>
          </w:p>
        </w:tc>
        <w:tc>
          <w:tcPr>
            <w:tcW w:w="605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位于杂物间北侧，占地面积30</w:t>
            </w:r>
            <w:r>
              <w:rPr>
                <w:bCs/>
                <w:snapToGrid w:val="0"/>
                <w:color w:val="000000" w:themeColor="text1"/>
                <w:kern w:val="0"/>
              </w:rPr>
              <w:t>m</w:t>
            </w:r>
            <w:r>
              <w:rPr>
                <w:bCs/>
                <w:snapToGrid w:val="0"/>
                <w:color w:val="000000" w:themeColor="text1"/>
                <w:kern w:val="0"/>
                <w:vertAlign w:val="superscript"/>
              </w:rPr>
              <w:t>2</w:t>
            </w:r>
            <w:r>
              <w:rPr>
                <w:rFonts w:hint="eastAsia"/>
                <w:bCs/>
                <w:snapToGrid w:val="0"/>
                <w:color w:val="000000" w:themeColor="text1"/>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blHeader/>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p>
        </w:tc>
        <w:tc>
          <w:tcPr>
            <w:tcW w:w="172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厂区空地及道路</w:t>
            </w:r>
          </w:p>
        </w:tc>
        <w:tc>
          <w:tcPr>
            <w:tcW w:w="605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snapToGrid w:val="0"/>
                <w:color w:val="000000" w:themeColor="text1"/>
                <w:kern w:val="0"/>
              </w:rPr>
              <w:t>除绿化外，整个厂区道路进行硬化，占地面积为1500</w:t>
            </w:r>
            <w:r>
              <w:rPr>
                <w:snapToGrid w:val="0"/>
                <w:color w:val="000000" w:themeColor="text1"/>
                <w:kern w:val="0"/>
              </w:rPr>
              <w:t>m</w:t>
            </w:r>
            <w:r>
              <w:rPr>
                <w:snapToGrid w:val="0"/>
                <w:color w:val="000000" w:themeColor="text1"/>
                <w:kern w:val="0"/>
                <w:vertAlign w:val="superscript"/>
              </w:rPr>
              <w:t>2</w:t>
            </w:r>
            <w:r>
              <w:rPr>
                <w:rFonts w:hint="eastAsia"/>
                <w:snapToGrid w:val="0"/>
                <w:color w:val="000000" w:themeColor="text1"/>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747" w:type="dxa"/>
            <w:vMerge w:val="restart"/>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公用工程</w:t>
            </w:r>
          </w:p>
        </w:tc>
        <w:tc>
          <w:tcPr>
            <w:tcW w:w="1720" w:type="dxa"/>
            <w:tcBorders>
              <w:top w:val="single" w:color="auto" w:sz="4" w:space="0"/>
              <w:left w:val="single" w:color="auto" w:sz="4" w:space="0"/>
              <w:bottom w:val="single" w:color="auto" w:sz="4" w:space="0"/>
              <w:right w:val="single" w:color="auto" w:sz="4" w:space="0"/>
            </w:tcBorders>
            <w:vAlign w:val="center"/>
          </w:tcPr>
          <w:p>
            <w:pPr>
              <w:pStyle w:val="55"/>
              <w:rPr>
                <w:bCs/>
                <w:snapToGrid w:val="0"/>
                <w:color w:val="000000" w:themeColor="text1"/>
                <w:kern w:val="0"/>
              </w:rPr>
            </w:pPr>
            <w:r>
              <w:rPr>
                <w:rFonts w:hint="eastAsia"/>
                <w:bCs/>
                <w:snapToGrid w:val="0"/>
                <w:color w:val="000000" w:themeColor="text1"/>
                <w:kern w:val="0"/>
              </w:rPr>
              <w:t>给水</w:t>
            </w:r>
          </w:p>
        </w:tc>
        <w:tc>
          <w:tcPr>
            <w:tcW w:w="605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kern w:val="21"/>
              </w:rPr>
              <w:t>项目用水采用自来水，停水时使用锅炉房内开挖的井水</w:t>
            </w:r>
            <w:r>
              <w:rPr>
                <w:rFonts w:hint="eastAsia"/>
                <w:snapToGrid w:val="0"/>
                <w:color w:val="000000" w:themeColor="text1"/>
                <w:kern w:val="0"/>
              </w:rPr>
              <w:t>，</w:t>
            </w:r>
            <w:r>
              <w:rPr>
                <w:rFonts w:hint="eastAsia"/>
                <w:bCs/>
                <w:color w:val="000000" w:themeColor="text1"/>
              </w:rPr>
              <w:t>能满足生产生活用水需求。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blHeader/>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p>
        </w:tc>
        <w:tc>
          <w:tcPr>
            <w:tcW w:w="172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排水</w:t>
            </w:r>
          </w:p>
        </w:tc>
        <w:tc>
          <w:tcPr>
            <w:tcW w:w="6058"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bCs/>
                <w:color w:val="000000" w:themeColor="text1"/>
              </w:rPr>
              <w:t>项目采取雨污分流制，</w:t>
            </w:r>
            <w:r>
              <w:rPr>
                <w:rFonts w:hint="eastAsia"/>
                <w:color w:val="000000" w:themeColor="text1"/>
              </w:rPr>
              <w:t>雨水通过雨水沟排入砚山县城市雨水管网；屠宰废水及粪便污水经过化粪池处理后排入砚山县城市污水管网</w:t>
            </w:r>
            <w:r>
              <w:rPr>
                <w:rFonts w:hint="eastAsia"/>
                <w:snapToGrid w:val="0"/>
                <w:color w:val="000000" w:themeColor="text1"/>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blHeader/>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p>
        </w:tc>
        <w:tc>
          <w:tcPr>
            <w:tcW w:w="172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供热</w:t>
            </w:r>
          </w:p>
        </w:tc>
        <w:tc>
          <w:tcPr>
            <w:tcW w:w="605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snapToGrid w:val="0"/>
                <w:color w:val="000000" w:themeColor="text1"/>
                <w:kern w:val="0"/>
              </w:rPr>
              <w:t>项目生产车间供热采用燃煤蒸汽锅炉加热方式。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blHeader/>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p>
        </w:tc>
        <w:tc>
          <w:tcPr>
            <w:tcW w:w="172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供电</w:t>
            </w:r>
          </w:p>
        </w:tc>
        <w:tc>
          <w:tcPr>
            <w:tcW w:w="605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snapToGrid w:val="0"/>
                <w:color w:val="000000" w:themeColor="text1"/>
                <w:kern w:val="0"/>
              </w:rPr>
              <w:t>项目所在地已有电网分布，接入即可满足本项目建设与生产的需要</w:t>
            </w:r>
            <w:r>
              <w:rPr>
                <w:rFonts w:hint="eastAsia"/>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blHeader/>
          <w:jc w:val="center"/>
        </w:trPr>
        <w:tc>
          <w:tcPr>
            <w:tcW w:w="747" w:type="dxa"/>
            <w:vMerge w:val="restart"/>
            <w:tcBorders>
              <w:top w:val="single" w:color="auto" w:sz="4" w:space="0"/>
              <w:left w:val="single" w:color="auto" w:sz="4" w:space="0"/>
              <w:bottom w:val="single" w:color="auto" w:sz="4" w:space="0"/>
              <w:right w:val="single" w:color="auto" w:sz="4" w:space="0"/>
            </w:tcBorders>
            <w:vAlign w:val="center"/>
          </w:tcPr>
          <w:p>
            <w:pPr>
              <w:pStyle w:val="55"/>
              <w:rPr>
                <w:bCs/>
                <w:snapToGrid w:val="0"/>
                <w:color w:val="000000" w:themeColor="text1"/>
                <w:kern w:val="0"/>
              </w:rPr>
            </w:pPr>
            <w:r>
              <w:rPr>
                <w:rFonts w:hint="eastAsia"/>
                <w:bCs/>
                <w:snapToGrid w:val="0"/>
                <w:color w:val="000000" w:themeColor="text1"/>
                <w:kern w:val="0"/>
              </w:rPr>
              <w:t>环保工程</w:t>
            </w:r>
          </w:p>
        </w:tc>
        <w:tc>
          <w:tcPr>
            <w:tcW w:w="172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废气治理设施</w:t>
            </w:r>
          </w:p>
        </w:tc>
        <w:tc>
          <w:tcPr>
            <w:tcW w:w="6058" w:type="dxa"/>
            <w:tcBorders>
              <w:top w:val="single" w:color="auto" w:sz="4" w:space="0"/>
              <w:left w:val="single" w:color="auto" w:sz="4" w:space="0"/>
              <w:bottom w:val="single" w:color="auto" w:sz="4" w:space="0"/>
              <w:right w:val="single" w:color="auto" w:sz="4" w:space="0"/>
            </w:tcBorders>
            <w:vAlign w:val="center"/>
          </w:tcPr>
          <w:p>
            <w:pPr>
              <w:pStyle w:val="55"/>
              <w:jc w:val="both"/>
              <w:rPr>
                <w:snapToGrid w:val="0"/>
                <w:color w:val="000000" w:themeColor="text1"/>
                <w:kern w:val="0"/>
              </w:rPr>
            </w:pPr>
            <w:r>
              <w:rPr>
                <w:rFonts w:hint="eastAsia"/>
                <w:snapToGrid w:val="0"/>
                <w:color w:val="000000" w:themeColor="text1"/>
                <w:kern w:val="0"/>
              </w:rPr>
              <w:t>①</w:t>
            </w:r>
            <w:r>
              <w:rPr>
                <w:rFonts w:hint="eastAsia"/>
                <w:color w:val="000000" w:themeColor="text1"/>
              </w:rPr>
              <w:t>锅炉废气采用一套水膜除尘器处理后排放。</w:t>
            </w:r>
          </w:p>
          <w:p>
            <w:pPr>
              <w:pStyle w:val="55"/>
              <w:jc w:val="left"/>
              <w:rPr>
                <w:snapToGrid w:val="0"/>
                <w:color w:val="000000" w:themeColor="text1"/>
                <w:kern w:val="0"/>
              </w:rPr>
            </w:pPr>
            <w:r>
              <w:rPr>
                <w:rFonts w:hint="eastAsia"/>
                <w:snapToGrid w:val="0"/>
                <w:color w:val="000000" w:themeColor="text1"/>
                <w:kern w:val="0"/>
              </w:rPr>
              <w:t>②焚烧炉废气采用水膜除尘处理后排放。</w:t>
            </w:r>
          </w:p>
          <w:p>
            <w:pPr>
              <w:pStyle w:val="55"/>
              <w:rPr>
                <w:snapToGrid w:val="0"/>
                <w:color w:val="000000" w:themeColor="text1"/>
                <w:kern w:val="0"/>
              </w:rPr>
            </w:pPr>
            <w:r>
              <w:rPr>
                <w:rFonts w:hint="eastAsia"/>
                <w:snapToGrid w:val="0"/>
                <w:color w:val="000000" w:themeColor="text1"/>
                <w:kern w:val="0"/>
              </w:rPr>
              <w:t>③待宰圈、屠宰车间的无组织恶臭气体，通过厂房喷洒除臭剂和消毒剂，及时清理冲洗地面，加强厂区绿化治理，来改善空气质量。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blHeader/>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pPr>
              <w:pStyle w:val="55"/>
              <w:rPr>
                <w:bCs/>
                <w:snapToGrid w:val="0"/>
                <w:color w:val="000000" w:themeColor="text1"/>
                <w:kern w:val="0"/>
              </w:rPr>
            </w:pPr>
          </w:p>
        </w:tc>
        <w:tc>
          <w:tcPr>
            <w:tcW w:w="172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废水治理设施</w:t>
            </w:r>
          </w:p>
        </w:tc>
        <w:tc>
          <w:tcPr>
            <w:tcW w:w="6058"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color w:val="000000" w:themeColor="text1"/>
              </w:rPr>
              <w:t>项目已实行雨污分流措施，项目雨水排入砚山县城市雨水管网，污水排入砚山县城镇污水管网，进入砚山县污水处理厂进一步处理。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blHeader/>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pPr>
              <w:pStyle w:val="55"/>
              <w:rPr>
                <w:bCs/>
                <w:snapToGrid w:val="0"/>
                <w:color w:val="000000" w:themeColor="text1"/>
                <w:kern w:val="0"/>
              </w:rPr>
            </w:pPr>
          </w:p>
        </w:tc>
        <w:tc>
          <w:tcPr>
            <w:tcW w:w="172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噪声治理</w:t>
            </w:r>
          </w:p>
        </w:tc>
        <w:tc>
          <w:tcPr>
            <w:tcW w:w="6058"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厂房隔声、设备维护、绿化吸收等。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blHeader/>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pPr>
              <w:pStyle w:val="55"/>
              <w:rPr>
                <w:bCs/>
                <w:snapToGrid w:val="0"/>
                <w:color w:val="000000" w:themeColor="text1"/>
                <w:kern w:val="0"/>
              </w:rPr>
            </w:pPr>
          </w:p>
        </w:tc>
        <w:tc>
          <w:tcPr>
            <w:tcW w:w="172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固废治理</w:t>
            </w:r>
          </w:p>
        </w:tc>
        <w:tc>
          <w:tcPr>
            <w:tcW w:w="6058"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在项目厂区设置若干个垃圾桶收集项目产生的固废。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blHeader/>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pPr>
              <w:pStyle w:val="55"/>
              <w:rPr>
                <w:bCs/>
                <w:snapToGrid w:val="0"/>
                <w:color w:val="000000" w:themeColor="text1"/>
                <w:kern w:val="0"/>
              </w:rPr>
            </w:pPr>
          </w:p>
        </w:tc>
        <w:tc>
          <w:tcPr>
            <w:tcW w:w="172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绿化</w:t>
            </w:r>
          </w:p>
        </w:tc>
        <w:tc>
          <w:tcPr>
            <w:tcW w:w="6058"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在项目厂区中心空地处设置了15</w:t>
            </w:r>
            <w:r>
              <w:rPr>
                <w:rFonts w:cs="Times New Roman"/>
                <w:snapToGrid w:val="0"/>
                <w:color w:val="000000" w:themeColor="text1"/>
                <w:kern w:val="0"/>
              </w:rPr>
              <w:t>0㎡绿</w:t>
            </w:r>
            <w:r>
              <w:rPr>
                <w:rFonts w:hint="eastAsia"/>
                <w:snapToGrid w:val="0"/>
                <w:color w:val="000000" w:themeColor="text1"/>
                <w:kern w:val="0"/>
              </w:rPr>
              <w:t>化景观，改善项目区环境。</w:t>
            </w:r>
          </w:p>
        </w:tc>
      </w:tr>
    </w:tbl>
    <w:p>
      <w:pPr>
        <w:pStyle w:val="38"/>
        <w:ind w:firstLine="281"/>
        <w:rPr>
          <w:color w:val="000000" w:themeColor="text1"/>
        </w:rPr>
      </w:pPr>
      <w:bookmarkStart w:id="27" w:name="_Toc47375790"/>
      <w:r>
        <w:rPr>
          <w:rFonts w:hint="eastAsia"/>
          <w:color w:val="000000" w:themeColor="text1"/>
        </w:rPr>
        <w:t>2.1.4生产工艺及产污环节</w:t>
      </w:r>
      <w:bookmarkEnd w:id="27"/>
    </w:p>
    <w:p>
      <w:pPr>
        <w:ind w:firstLine="480"/>
        <w:rPr>
          <w:color w:val="000000" w:themeColor="text1"/>
        </w:rPr>
      </w:pPr>
      <w:r>
        <w:rPr>
          <w:rFonts w:hint="eastAsia"/>
          <w:color w:val="000000" w:themeColor="text1"/>
        </w:rPr>
        <w:t>现有项目工艺流程及产污节点见图2.1.4-1。</w:t>
      </w:r>
    </w:p>
    <w:p>
      <w:pPr>
        <w:pStyle w:val="54"/>
        <w:rPr>
          <w:color w:val="000000" w:themeColor="text1"/>
        </w:rPr>
      </w:pPr>
      <w:r>
        <w:rPr>
          <w:color w:val="000000" w:themeColor="text1"/>
        </w:rPr>
        <w:drawing>
          <wp:inline distT="0" distB="0" distL="0" distR="0">
            <wp:extent cx="5274310" cy="4235450"/>
            <wp:effectExtent l="19050" t="0" r="2540" b="0"/>
            <wp:docPr id="2" name="图片 1" descr="新文档 06-17-2020 16.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新文档 06-17-2020 16.15.35.jpg"/>
                    <pic:cNvPicPr>
                      <a:picLocks noChangeAspect="1"/>
                    </pic:cNvPicPr>
                  </pic:nvPicPr>
                  <pic:blipFill>
                    <a:blip r:embed="rId13" cstate="print"/>
                    <a:stretch>
                      <a:fillRect/>
                    </a:stretch>
                  </pic:blipFill>
                  <pic:spPr>
                    <a:xfrm>
                      <a:off x="0" y="0"/>
                      <a:ext cx="5274310" cy="4235450"/>
                    </a:xfrm>
                    <a:prstGeom prst="rect">
                      <a:avLst/>
                    </a:prstGeom>
                  </pic:spPr>
                </pic:pic>
              </a:graphicData>
            </a:graphic>
          </wp:inline>
        </w:drawing>
      </w:r>
    </w:p>
    <w:p>
      <w:pPr>
        <w:pStyle w:val="54"/>
        <w:rPr>
          <w:color w:val="000000" w:themeColor="text1"/>
        </w:rPr>
      </w:pPr>
      <w:r>
        <w:rPr>
          <w:rFonts w:hint="eastAsia"/>
          <w:color w:val="000000" w:themeColor="text1"/>
        </w:rPr>
        <w:t>图2.1.4-1  现有项目工艺流程及产污节点图</w:t>
      </w:r>
    </w:p>
    <w:p>
      <w:pPr>
        <w:pStyle w:val="38"/>
        <w:ind w:firstLine="281"/>
        <w:rPr>
          <w:color w:val="000000" w:themeColor="text1"/>
        </w:rPr>
      </w:pPr>
      <w:bookmarkStart w:id="28" w:name="_Toc47375791"/>
      <w:r>
        <w:rPr>
          <w:rFonts w:hint="eastAsia"/>
          <w:color w:val="000000" w:themeColor="text1"/>
        </w:rPr>
        <w:t>2.1.5现有项目污染物治理措施及排放情况</w:t>
      </w:r>
      <w:bookmarkEnd w:id="28"/>
    </w:p>
    <w:p>
      <w:pPr>
        <w:ind w:firstLine="482"/>
        <w:rPr>
          <w:b/>
          <w:color w:val="000000" w:themeColor="text1"/>
        </w:rPr>
      </w:pPr>
      <w:r>
        <w:rPr>
          <w:rFonts w:hint="eastAsia"/>
          <w:b/>
          <w:color w:val="000000" w:themeColor="text1"/>
        </w:rPr>
        <w:t>1、废气</w:t>
      </w:r>
    </w:p>
    <w:p>
      <w:pPr>
        <w:ind w:firstLine="480"/>
        <w:rPr>
          <w:color w:val="000000" w:themeColor="text1"/>
        </w:rPr>
      </w:pPr>
      <w:r>
        <w:rPr>
          <w:rFonts w:hint="eastAsia"/>
          <w:color w:val="000000" w:themeColor="text1"/>
        </w:rPr>
        <w:t>现有工程主要废气污染物为恶臭及燃煤锅炉废气。恶臭主要来源于待宰车间圈舍粪尿臭味、屠宰加工中产生的腥臭、胃肠内容物产生的恶臭；燃煤锅炉运行主要产生颗粒物、SO</w:t>
      </w:r>
      <w:r>
        <w:rPr>
          <w:rFonts w:hint="eastAsia"/>
          <w:color w:val="000000" w:themeColor="text1"/>
          <w:vertAlign w:val="subscript"/>
        </w:rPr>
        <w:t>2</w:t>
      </w:r>
      <w:r>
        <w:rPr>
          <w:rFonts w:hint="eastAsia"/>
          <w:color w:val="000000" w:themeColor="text1"/>
        </w:rPr>
        <w:t>、NOx等污染物。</w:t>
      </w:r>
    </w:p>
    <w:p>
      <w:pPr>
        <w:ind w:firstLine="480"/>
        <w:rPr>
          <w:color w:val="000000" w:themeColor="text1"/>
        </w:rPr>
      </w:pPr>
      <w:r>
        <w:rPr>
          <w:rFonts w:hint="eastAsia"/>
          <w:color w:val="000000" w:themeColor="text1"/>
        </w:rPr>
        <w:t>（1）恶臭</w:t>
      </w:r>
    </w:p>
    <w:p>
      <w:pPr>
        <w:ind w:firstLine="480"/>
        <w:rPr>
          <w:color w:val="000000" w:themeColor="text1"/>
        </w:rPr>
      </w:pPr>
      <w:r>
        <w:rPr>
          <w:rFonts w:hint="eastAsia"/>
          <w:color w:val="000000" w:themeColor="text1"/>
        </w:rPr>
        <w:t>根据调查，待宰圈舍的恶臭主要来自猪粪尿发酵产生的硫化氢、氨，其产生量随粪尿停留时间增加而增加。同时，粪尿未及时清除会孽生大量蚊蝇，影响环境卫生。屠宰车间腥臭主要为猪内脏气味挥发及高湿条件下副产物、废弃物腐败产生腥臭味。由此可见，项目恶臭产生源点及源强不固定，且易受自然通风条件和管理措施及要求影响。企业目前对废气主要采取自然通风和喷洒除臭剂相结合的形式进行处置。</w:t>
      </w:r>
    </w:p>
    <w:p>
      <w:pPr>
        <w:ind w:firstLine="480"/>
        <w:rPr>
          <w:color w:val="000000" w:themeColor="text1"/>
        </w:rPr>
      </w:pPr>
      <w:r>
        <w:rPr>
          <w:rFonts w:hint="eastAsia"/>
          <w:color w:val="000000" w:themeColor="text1"/>
        </w:rPr>
        <w:t>（2）燃煤锅炉废气</w:t>
      </w:r>
    </w:p>
    <w:p>
      <w:pPr>
        <w:ind w:firstLine="480"/>
        <w:rPr>
          <w:color w:val="000000" w:themeColor="text1"/>
        </w:rPr>
      </w:pPr>
      <w:r>
        <w:rPr>
          <w:rFonts w:hint="eastAsia"/>
          <w:color w:val="000000" w:themeColor="text1"/>
        </w:rPr>
        <w:t>项目使用一台0.25t/h的燃煤蒸汽锅炉进行生产区的供热，并设置了一套水膜除尘器处理燃煤锅炉废气，后通过20m高的烟囱进行排放。根据现有项目环评报告计算结果，锅炉废气的产生量及产生浓度、排放量及排放浓度详见表2.1.5-1。</w:t>
      </w:r>
    </w:p>
    <w:p>
      <w:pPr>
        <w:pStyle w:val="54"/>
        <w:rPr>
          <w:color w:val="000000" w:themeColor="text1"/>
        </w:rPr>
      </w:pPr>
      <w:r>
        <w:rPr>
          <w:rFonts w:hint="eastAsia"/>
          <w:color w:val="000000" w:themeColor="text1"/>
        </w:rPr>
        <w:t>表2.1.5-1 现有项目锅炉废气产排情况一览表</w:t>
      </w:r>
    </w:p>
    <w:tbl>
      <w:tblPr>
        <w:tblStyle w:val="43"/>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42"/>
        <w:gridCol w:w="1701"/>
        <w:gridCol w:w="1985"/>
        <w:gridCol w:w="1701"/>
        <w:gridCol w:w="189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8" w:hRule="atLeast"/>
        </w:trPr>
        <w:tc>
          <w:tcPr>
            <w:tcW w:w="1242" w:type="dxa"/>
            <w:vMerge w:val="restart"/>
            <w:vAlign w:val="center"/>
          </w:tcPr>
          <w:p>
            <w:pPr>
              <w:pStyle w:val="55"/>
              <w:rPr>
                <w:color w:val="000000" w:themeColor="text1"/>
              </w:rPr>
            </w:pPr>
            <w:r>
              <w:rPr>
                <w:rFonts w:hint="eastAsia"/>
                <w:color w:val="000000" w:themeColor="text1"/>
              </w:rPr>
              <w:t>污染物</w:t>
            </w:r>
          </w:p>
        </w:tc>
        <w:tc>
          <w:tcPr>
            <w:tcW w:w="3686" w:type="dxa"/>
            <w:gridSpan w:val="2"/>
            <w:vAlign w:val="center"/>
          </w:tcPr>
          <w:p>
            <w:pPr>
              <w:pStyle w:val="55"/>
              <w:rPr>
                <w:color w:val="000000" w:themeColor="text1"/>
              </w:rPr>
            </w:pPr>
            <w:r>
              <w:rPr>
                <w:rFonts w:hint="eastAsia"/>
                <w:color w:val="000000" w:themeColor="text1"/>
              </w:rPr>
              <w:t>污染物产生量</w:t>
            </w:r>
          </w:p>
        </w:tc>
        <w:tc>
          <w:tcPr>
            <w:tcW w:w="3594" w:type="dxa"/>
            <w:gridSpan w:val="2"/>
            <w:vAlign w:val="center"/>
          </w:tcPr>
          <w:p>
            <w:pPr>
              <w:pStyle w:val="55"/>
              <w:rPr>
                <w:color w:val="000000" w:themeColor="text1"/>
              </w:rPr>
            </w:pPr>
            <w:r>
              <w:rPr>
                <w:rFonts w:hint="eastAsia"/>
                <w:color w:val="000000" w:themeColor="text1"/>
              </w:rPr>
              <w:t>污染物处理后排放量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7" w:hRule="atLeast"/>
        </w:trPr>
        <w:tc>
          <w:tcPr>
            <w:tcW w:w="1242" w:type="dxa"/>
            <w:vMerge w:val="continue"/>
            <w:vAlign w:val="center"/>
          </w:tcPr>
          <w:p>
            <w:pPr>
              <w:pStyle w:val="55"/>
              <w:rPr>
                <w:color w:val="000000" w:themeColor="text1"/>
              </w:rPr>
            </w:pPr>
          </w:p>
        </w:tc>
        <w:tc>
          <w:tcPr>
            <w:tcW w:w="1701" w:type="dxa"/>
            <w:vAlign w:val="center"/>
          </w:tcPr>
          <w:p>
            <w:pPr>
              <w:pStyle w:val="55"/>
              <w:rPr>
                <w:color w:val="000000" w:themeColor="text1"/>
              </w:rPr>
            </w:pPr>
            <w:r>
              <w:rPr>
                <w:rFonts w:hint="eastAsia"/>
                <w:color w:val="000000" w:themeColor="text1"/>
              </w:rPr>
              <w:t>产生量（t/a）</w:t>
            </w:r>
          </w:p>
        </w:tc>
        <w:tc>
          <w:tcPr>
            <w:tcW w:w="1985" w:type="dxa"/>
            <w:vAlign w:val="center"/>
          </w:tcPr>
          <w:p>
            <w:pPr>
              <w:pStyle w:val="55"/>
              <w:rPr>
                <w:color w:val="000000" w:themeColor="text1"/>
              </w:rPr>
            </w:pPr>
            <w:r>
              <w:rPr>
                <w:rFonts w:hint="eastAsia"/>
                <w:color w:val="000000" w:themeColor="text1"/>
              </w:rPr>
              <w:t>产生浓度（mg/m</w:t>
            </w:r>
            <w:r>
              <w:rPr>
                <w:rFonts w:hint="eastAsia"/>
                <w:color w:val="000000" w:themeColor="text1"/>
                <w:vertAlign w:val="superscript"/>
              </w:rPr>
              <w:t>3</w:t>
            </w:r>
            <w:r>
              <w:rPr>
                <w:rFonts w:hint="eastAsia"/>
                <w:color w:val="000000" w:themeColor="text1"/>
              </w:rPr>
              <w:t>）</w:t>
            </w:r>
          </w:p>
        </w:tc>
        <w:tc>
          <w:tcPr>
            <w:tcW w:w="1701" w:type="dxa"/>
            <w:vAlign w:val="center"/>
          </w:tcPr>
          <w:p>
            <w:pPr>
              <w:pStyle w:val="55"/>
              <w:rPr>
                <w:color w:val="000000" w:themeColor="text1"/>
              </w:rPr>
            </w:pPr>
            <w:r>
              <w:rPr>
                <w:rFonts w:hint="eastAsia"/>
                <w:color w:val="000000" w:themeColor="text1"/>
              </w:rPr>
              <w:t>产生量（t/a）</w:t>
            </w:r>
          </w:p>
        </w:tc>
        <w:tc>
          <w:tcPr>
            <w:tcW w:w="1893" w:type="dxa"/>
            <w:vAlign w:val="center"/>
          </w:tcPr>
          <w:p>
            <w:pPr>
              <w:pStyle w:val="55"/>
              <w:rPr>
                <w:color w:val="000000" w:themeColor="text1"/>
              </w:rPr>
            </w:pPr>
            <w:r>
              <w:rPr>
                <w:rFonts w:hint="eastAsia"/>
                <w:color w:val="000000" w:themeColor="text1"/>
              </w:rPr>
              <w:t>产生浓度（mg/m</w:t>
            </w:r>
            <w:r>
              <w:rPr>
                <w:rFonts w:hint="eastAsia"/>
                <w:color w:val="000000" w:themeColor="text1"/>
                <w:vertAlign w:val="superscript"/>
              </w:rPr>
              <w:t>3</w:t>
            </w:r>
            <w:r>
              <w:rPr>
                <w:rFonts w:hint="eastAsia"/>
                <w:color w:val="000000" w:themeColor="text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42" w:type="dxa"/>
            <w:vAlign w:val="center"/>
          </w:tcPr>
          <w:p>
            <w:pPr>
              <w:pStyle w:val="55"/>
              <w:rPr>
                <w:color w:val="000000" w:themeColor="text1"/>
              </w:rPr>
            </w:pPr>
            <w:r>
              <w:rPr>
                <w:rFonts w:hint="eastAsia"/>
                <w:color w:val="000000" w:themeColor="text1"/>
              </w:rPr>
              <w:t>废气总量</w:t>
            </w:r>
          </w:p>
        </w:tc>
        <w:tc>
          <w:tcPr>
            <w:tcW w:w="3686" w:type="dxa"/>
            <w:gridSpan w:val="2"/>
            <w:vAlign w:val="center"/>
          </w:tcPr>
          <w:p>
            <w:pPr>
              <w:pStyle w:val="55"/>
              <w:rPr>
                <w:color w:val="000000" w:themeColor="text1"/>
              </w:rPr>
            </w:pPr>
            <w:r>
              <w:rPr>
                <w:rFonts w:hint="eastAsia"/>
                <w:color w:val="000000" w:themeColor="text1"/>
              </w:rPr>
              <w:t>211.2万m</w:t>
            </w:r>
            <w:r>
              <w:rPr>
                <w:rFonts w:hint="eastAsia"/>
                <w:color w:val="000000" w:themeColor="text1"/>
                <w:vertAlign w:val="superscript"/>
              </w:rPr>
              <w:t>3</w:t>
            </w:r>
            <w:r>
              <w:rPr>
                <w:rFonts w:hint="eastAsia"/>
                <w:color w:val="000000" w:themeColor="text1"/>
              </w:rPr>
              <w:t>/a</w:t>
            </w:r>
          </w:p>
        </w:tc>
        <w:tc>
          <w:tcPr>
            <w:tcW w:w="3594" w:type="dxa"/>
            <w:gridSpan w:val="2"/>
            <w:vAlign w:val="center"/>
          </w:tcPr>
          <w:p>
            <w:pPr>
              <w:pStyle w:val="55"/>
              <w:rPr>
                <w:color w:val="000000" w:themeColor="text1"/>
              </w:rPr>
            </w:pPr>
            <w:r>
              <w:rPr>
                <w:rFonts w:hint="eastAsia"/>
                <w:color w:val="000000" w:themeColor="text1"/>
              </w:rPr>
              <w:t>211.2万m</w:t>
            </w:r>
            <w:r>
              <w:rPr>
                <w:rFonts w:hint="eastAsia"/>
                <w:color w:val="000000" w:themeColor="text1"/>
                <w:vertAlign w:val="superscript"/>
              </w:rPr>
              <w:t>3</w:t>
            </w:r>
            <w:r>
              <w:rPr>
                <w:rFonts w:hint="eastAsia"/>
                <w:color w:val="000000" w:themeColor="text1"/>
              </w:rPr>
              <w: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42" w:type="dxa"/>
            <w:vAlign w:val="center"/>
          </w:tcPr>
          <w:p>
            <w:pPr>
              <w:pStyle w:val="55"/>
              <w:rPr>
                <w:color w:val="000000" w:themeColor="text1"/>
              </w:rPr>
            </w:pPr>
            <w:r>
              <w:rPr>
                <w:rFonts w:hint="eastAsia"/>
                <w:color w:val="000000" w:themeColor="text1"/>
              </w:rPr>
              <w:t>颗粒物</w:t>
            </w:r>
          </w:p>
        </w:tc>
        <w:tc>
          <w:tcPr>
            <w:tcW w:w="1701" w:type="dxa"/>
            <w:vAlign w:val="center"/>
          </w:tcPr>
          <w:p>
            <w:pPr>
              <w:pStyle w:val="55"/>
              <w:rPr>
                <w:color w:val="000000" w:themeColor="text1"/>
              </w:rPr>
            </w:pPr>
            <w:r>
              <w:rPr>
                <w:rFonts w:hint="eastAsia"/>
                <w:color w:val="000000" w:themeColor="text1"/>
              </w:rPr>
              <w:t>0.7128</w:t>
            </w:r>
          </w:p>
        </w:tc>
        <w:tc>
          <w:tcPr>
            <w:tcW w:w="1985" w:type="dxa"/>
            <w:vAlign w:val="center"/>
          </w:tcPr>
          <w:p>
            <w:pPr>
              <w:pStyle w:val="55"/>
              <w:rPr>
                <w:color w:val="000000" w:themeColor="text1"/>
              </w:rPr>
            </w:pPr>
            <w:r>
              <w:rPr>
                <w:rFonts w:hint="eastAsia"/>
                <w:color w:val="000000" w:themeColor="text1"/>
              </w:rPr>
              <w:t>337.5</w:t>
            </w:r>
          </w:p>
        </w:tc>
        <w:tc>
          <w:tcPr>
            <w:tcW w:w="1701" w:type="dxa"/>
            <w:vAlign w:val="center"/>
          </w:tcPr>
          <w:p>
            <w:pPr>
              <w:pStyle w:val="55"/>
              <w:rPr>
                <w:color w:val="000000" w:themeColor="text1"/>
              </w:rPr>
            </w:pPr>
            <w:r>
              <w:rPr>
                <w:rFonts w:hint="eastAsia"/>
                <w:color w:val="000000" w:themeColor="text1"/>
              </w:rPr>
              <w:t>0.1426</w:t>
            </w:r>
          </w:p>
        </w:tc>
        <w:tc>
          <w:tcPr>
            <w:tcW w:w="1893" w:type="dxa"/>
            <w:vAlign w:val="center"/>
          </w:tcPr>
          <w:p>
            <w:pPr>
              <w:pStyle w:val="55"/>
              <w:rPr>
                <w:color w:val="000000" w:themeColor="text1"/>
              </w:rPr>
            </w:pPr>
            <w:r>
              <w:rPr>
                <w:rFonts w:hint="eastAsia"/>
                <w:color w:val="000000" w:themeColor="text1"/>
              </w:rPr>
              <w:t>67.5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42" w:type="dxa"/>
            <w:vAlign w:val="center"/>
          </w:tcPr>
          <w:p>
            <w:pPr>
              <w:pStyle w:val="55"/>
              <w:rPr>
                <w:color w:val="000000" w:themeColor="text1"/>
              </w:rPr>
            </w:pPr>
            <w:r>
              <w:rPr>
                <w:rFonts w:hint="eastAsia"/>
                <w:color w:val="000000" w:themeColor="text1"/>
              </w:rPr>
              <w:t>SO</w:t>
            </w:r>
            <w:r>
              <w:rPr>
                <w:rFonts w:hint="eastAsia"/>
                <w:color w:val="000000" w:themeColor="text1"/>
                <w:vertAlign w:val="subscript"/>
              </w:rPr>
              <w:t>2</w:t>
            </w:r>
          </w:p>
        </w:tc>
        <w:tc>
          <w:tcPr>
            <w:tcW w:w="1701" w:type="dxa"/>
            <w:vAlign w:val="center"/>
          </w:tcPr>
          <w:p>
            <w:pPr>
              <w:pStyle w:val="55"/>
              <w:rPr>
                <w:color w:val="000000" w:themeColor="text1"/>
              </w:rPr>
            </w:pPr>
            <w:r>
              <w:rPr>
                <w:rFonts w:hint="eastAsia"/>
                <w:color w:val="000000" w:themeColor="text1"/>
              </w:rPr>
              <w:t>0.4393</w:t>
            </w:r>
          </w:p>
        </w:tc>
        <w:tc>
          <w:tcPr>
            <w:tcW w:w="1985" w:type="dxa"/>
            <w:vAlign w:val="center"/>
          </w:tcPr>
          <w:p>
            <w:pPr>
              <w:pStyle w:val="55"/>
              <w:rPr>
                <w:color w:val="000000" w:themeColor="text1"/>
              </w:rPr>
            </w:pPr>
            <w:r>
              <w:rPr>
                <w:rFonts w:hint="eastAsia"/>
                <w:color w:val="000000" w:themeColor="text1"/>
              </w:rPr>
              <w:t>208</w:t>
            </w:r>
          </w:p>
        </w:tc>
        <w:tc>
          <w:tcPr>
            <w:tcW w:w="1701" w:type="dxa"/>
            <w:vAlign w:val="center"/>
          </w:tcPr>
          <w:p>
            <w:pPr>
              <w:pStyle w:val="55"/>
              <w:rPr>
                <w:color w:val="000000" w:themeColor="text1"/>
              </w:rPr>
            </w:pPr>
            <w:r>
              <w:rPr>
                <w:rFonts w:hint="eastAsia"/>
                <w:color w:val="000000" w:themeColor="text1"/>
              </w:rPr>
              <w:t>0.4393</w:t>
            </w:r>
          </w:p>
        </w:tc>
        <w:tc>
          <w:tcPr>
            <w:tcW w:w="1893" w:type="dxa"/>
            <w:vAlign w:val="center"/>
          </w:tcPr>
          <w:p>
            <w:pPr>
              <w:pStyle w:val="55"/>
              <w:rPr>
                <w:color w:val="000000" w:themeColor="text1"/>
              </w:rPr>
            </w:pPr>
            <w:r>
              <w:rPr>
                <w:rFonts w:hint="eastAsia"/>
                <w:color w:val="000000" w:themeColor="text1"/>
              </w:rPr>
              <w:t>208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42" w:type="dxa"/>
            <w:vAlign w:val="center"/>
          </w:tcPr>
          <w:p>
            <w:pPr>
              <w:pStyle w:val="55"/>
              <w:rPr>
                <w:color w:val="000000" w:themeColor="text1"/>
              </w:rPr>
            </w:pPr>
            <w:r>
              <w:rPr>
                <w:rFonts w:hint="eastAsia"/>
                <w:color w:val="000000" w:themeColor="text1"/>
              </w:rPr>
              <w:t>NOx</w:t>
            </w:r>
          </w:p>
        </w:tc>
        <w:tc>
          <w:tcPr>
            <w:tcW w:w="1701" w:type="dxa"/>
            <w:vAlign w:val="center"/>
          </w:tcPr>
          <w:p>
            <w:pPr>
              <w:pStyle w:val="55"/>
              <w:rPr>
                <w:color w:val="000000" w:themeColor="text1"/>
              </w:rPr>
            </w:pPr>
            <w:r>
              <w:rPr>
                <w:rFonts w:hint="eastAsia"/>
                <w:color w:val="000000" w:themeColor="text1"/>
              </w:rPr>
              <w:t>0.0776</w:t>
            </w:r>
          </w:p>
        </w:tc>
        <w:tc>
          <w:tcPr>
            <w:tcW w:w="1985" w:type="dxa"/>
            <w:vAlign w:val="center"/>
          </w:tcPr>
          <w:p>
            <w:pPr>
              <w:pStyle w:val="55"/>
              <w:rPr>
                <w:color w:val="000000" w:themeColor="text1"/>
              </w:rPr>
            </w:pPr>
            <w:r>
              <w:rPr>
                <w:rFonts w:hint="eastAsia"/>
                <w:color w:val="000000" w:themeColor="text1"/>
              </w:rPr>
              <w:t>36.75</w:t>
            </w:r>
          </w:p>
        </w:tc>
        <w:tc>
          <w:tcPr>
            <w:tcW w:w="1701" w:type="dxa"/>
            <w:vAlign w:val="center"/>
          </w:tcPr>
          <w:p>
            <w:pPr>
              <w:pStyle w:val="55"/>
              <w:rPr>
                <w:color w:val="000000" w:themeColor="text1"/>
              </w:rPr>
            </w:pPr>
            <w:r>
              <w:rPr>
                <w:rFonts w:hint="eastAsia"/>
                <w:color w:val="000000" w:themeColor="text1"/>
              </w:rPr>
              <w:t>0.0776</w:t>
            </w:r>
          </w:p>
        </w:tc>
        <w:tc>
          <w:tcPr>
            <w:tcW w:w="1893" w:type="dxa"/>
            <w:vAlign w:val="center"/>
          </w:tcPr>
          <w:p>
            <w:pPr>
              <w:pStyle w:val="55"/>
              <w:rPr>
                <w:color w:val="000000" w:themeColor="text1"/>
              </w:rPr>
            </w:pPr>
            <w:r>
              <w:rPr>
                <w:rFonts w:hint="eastAsia"/>
                <w:color w:val="000000" w:themeColor="text1"/>
              </w:rPr>
              <w:t>36.75</w:t>
            </w:r>
          </w:p>
        </w:tc>
      </w:tr>
    </w:tbl>
    <w:p>
      <w:pPr>
        <w:ind w:firstLine="480"/>
        <w:rPr>
          <w:color w:val="000000" w:themeColor="text1"/>
        </w:rPr>
      </w:pPr>
      <w:r>
        <w:rPr>
          <w:rFonts w:hint="eastAsia"/>
          <w:color w:val="000000" w:themeColor="text1"/>
        </w:rPr>
        <w:t>（3）焚烧炉废气</w:t>
      </w:r>
    </w:p>
    <w:p>
      <w:pPr>
        <w:ind w:firstLine="480"/>
        <w:rPr>
          <w:color w:val="000000" w:themeColor="text1"/>
        </w:rPr>
      </w:pPr>
      <w:r>
        <w:rPr>
          <w:rFonts w:hint="eastAsia"/>
          <w:bCs/>
          <w:iCs/>
          <w:color w:val="000000" w:themeColor="text1"/>
          <w:szCs w:val="24"/>
        </w:rPr>
        <w:t>现有工程生产期间</w:t>
      </w:r>
      <w:r>
        <w:rPr>
          <w:rFonts w:hint="eastAsia"/>
          <w:color w:val="000000" w:themeColor="text1"/>
        </w:rPr>
        <w:t>产生的病死猪（鸡）尸体、不合格产品、碎骨肉等废物共12.34t/a，这部分废物采用焚烧炉焚烧处理。焚烧炉会产生焚烧尾气，原环评未对焚烧尾气进行核算，因此本环评对现有项目的焚烧炉尾气进行核算。</w:t>
      </w:r>
    </w:p>
    <w:p>
      <w:pPr>
        <w:ind w:firstLine="480"/>
        <w:rPr>
          <w:color w:val="000000" w:themeColor="text1"/>
        </w:rPr>
      </w:pPr>
      <w:r>
        <w:rPr>
          <w:rFonts w:hint="eastAsia"/>
          <w:color w:val="000000" w:themeColor="text1"/>
        </w:rPr>
        <w:t>据查阅《动物尸体破碎处理工艺及焚烧过程环境影响研究报告》，采用柴油作为燃料焚烧动物尸体时，产生的烟尘按</w:t>
      </w:r>
      <w:r>
        <w:rPr>
          <w:color w:val="000000" w:themeColor="text1"/>
        </w:rPr>
        <w:t>1.95g/kg</w:t>
      </w:r>
      <w:r>
        <w:rPr>
          <w:rFonts w:hint="eastAsia"/>
          <w:color w:val="000000" w:themeColor="text1"/>
        </w:rPr>
        <w:t>的焚烧量计，</w:t>
      </w:r>
      <w:r>
        <w:rPr>
          <w:color w:val="000000" w:themeColor="text1"/>
        </w:rPr>
        <w:t>SO</w:t>
      </w:r>
      <w:r>
        <w:rPr>
          <w:color w:val="000000" w:themeColor="text1"/>
          <w:vertAlign w:val="subscript"/>
        </w:rPr>
        <w:t>2</w:t>
      </w:r>
      <w:r>
        <w:rPr>
          <w:rFonts w:hint="eastAsia"/>
          <w:color w:val="000000" w:themeColor="text1"/>
        </w:rPr>
        <w:t>产生量按</w:t>
      </w:r>
      <w:r>
        <w:rPr>
          <w:color w:val="000000" w:themeColor="text1"/>
        </w:rPr>
        <w:t>0.1g/kg</w:t>
      </w:r>
      <w:r>
        <w:rPr>
          <w:rFonts w:hint="eastAsia"/>
          <w:color w:val="000000" w:themeColor="text1"/>
        </w:rPr>
        <w:t>的焚烧量计，</w:t>
      </w:r>
      <w:r>
        <w:rPr>
          <w:color w:val="000000" w:themeColor="text1"/>
        </w:rPr>
        <w:t>NOx</w:t>
      </w:r>
      <w:r>
        <w:rPr>
          <w:rFonts w:hint="eastAsia"/>
          <w:color w:val="000000" w:themeColor="text1"/>
        </w:rPr>
        <w:t>产生量按</w:t>
      </w:r>
      <w:r>
        <w:rPr>
          <w:color w:val="000000" w:themeColor="text1"/>
        </w:rPr>
        <w:t>3.2g/kg</w:t>
      </w:r>
      <w:r>
        <w:rPr>
          <w:rFonts w:hint="eastAsia"/>
          <w:color w:val="000000" w:themeColor="text1"/>
        </w:rPr>
        <w:t>的焚烧量计，可不再单独计算柴油产生的污染物。</w:t>
      </w:r>
      <w:r>
        <w:rPr>
          <w:rFonts w:hint="eastAsia"/>
          <w:bCs/>
          <w:iCs/>
          <w:color w:val="000000" w:themeColor="text1"/>
          <w:szCs w:val="24"/>
        </w:rPr>
        <w:t>现有工程生产期间</w:t>
      </w:r>
      <w:r>
        <w:rPr>
          <w:rFonts w:hint="eastAsia"/>
          <w:color w:val="000000" w:themeColor="text1"/>
        </w:rPr>
        <w:t>的焚烧量为12.34</w:t>
      </w:r>
      <w:r>
        <w:rPr>
          <w:color w:val="000000" w:themeColor="text1"/>
        </w:rPr>
        <w:t>t/a</w:t>
      </w:r>
      <w:r>
        <w:rPr>
          <w:rFonts w:hint="eastAsia"/>
          <w:color w:val="000000" w:themeColor="text1"/>
        </w:rPr>
        <w:t>，焚烧炉设置的风机风量约为12</w:t>
      </w:r>
      <w:r>
        <w:rPr>
          <w:color w:val="000000" w:themeColor="text1"/>
        </w:rPr>
        <w:t>00m</w:t>
      </w:r>
      <w:r>
        <w:rPr>
          <w:color w:val="000000" w:themeColor="text1"/>
          <w:vertAlign w:val="superscript"/>
        </w:rPr>
        <w:t>3</w:t>
      </w:r>
      <w:r>
        <w:rPr>
          <w:color w:val="000000" w:themeColor="text1"/>
        </w:rPr>
        <w:t>/h</w:t>
      </w:r>
      <w:r>
        <w:rPr>
          <w:rFonts w:hint="eastAsia"/>
          <w:color w:val="000000" w:themeColor="text1"/>
        </w:rPr>
        <w:t>，风机年工作时间约为180h，则现有工程焚烧炉废气量为21.6万</w:t>
      </w:r>
      <w:r>
        <w:rPr>
          <w:color w:val="000000" w:themeColor="text1"/>
        </w:rPr>
        <w:t>m</w:t>
      </w:r>
      <w:r>
        <w:rPr>
          <w:color w:val="000000" w:themeColor="text1"/>
          <w:vertAlign w:val="superscript"/>
        </w:rPr>
        <w:t>3</w:t>
      </w:r>
      <w:r>
        <w:rPr>
          <w:color w:val="000000" w:themeColor="text1"/>
        </w:rPr>
        <w:t>/a</w:t>
      </w:r>
      <w:r>
        <w:rPr>
          <w:rFonts w:hint="eastAsia"/>
          <w:color w:val="000000" w:themeColor="text1"/>
        </w:rPr>
        <w:t>，烟尘产生量为0.024</w:t>
      </w:r>
      <w:r>
        <w:rPr>
          <w:color w:val="000000" w:themeColor="text1"/>
        </w:rPr>
        <w:t>t/a</w:t>
      </w:r>
      <w:r>
        <w:rPr>
          <w:rFonts w:hint="eastAsia"/>
          <w:color w:val="000000" w:themeColor="text1"/>
        </w:rPr>
        <w:t>，烟尘产生浓度为111</w:t>
      </w:r>
      <w:r>
        <w:rPr>
          <w:color w:val="000000" w:themeColor="text1"/>
        </w:rPr>
        <w:t xml:space="preserve"> mg/m</w:t>
      </w:r>
      <w:r>
        <w:rPr>
          <w:color w:val="000000" w:themeColor="text1"/>
          <w:vertAlign w:val="superscript"/>
        </w:rPr>
        <w:t>3</w:t>
      </w:r>
      <w:r>
        <w:rPr>
          <w:rFonts w:hint="eastAsia"/>
          <w:color w:val="000000" w:themeColor="text1"/>
        </w:rPr>
        <w:t>，</w:t>
      </w:r>
      <w:r>
        <w:rPr>
          <w:color w:val="000000" w:themeColor="text1"/>
        </w:rPr>
        <w:t>SO</w:t>
      </w:r>
      <w:r>
        <w:rPr>
          <w:color w:val="000000" w:themeColor="text1"/>
          <w:vertAlign w:val="subscript"/>
        </w:rPr>
        <w:t>2</w:t>
      </w:r>
      <w:r>
        <w:rPr>
          <w:rFonts w:hint="eastAsia"/>
          <w:color w:val="000000" w:themeColor="text1"/>
        </w:rPr>
        <w:t>产生量为0.001</w:t>
      </w:r>
      <w:r>
        <w:rPr>
          <w:color w:val="000000" w:themeColor="text1"/>
        </w:rPr>
        <w:t>t/a</w:t>
      </w:r>
      <w:r>
        <w:rPr>
          <w:rFonts w:hint="eastAsia"/>
          <w:color w:val="000000" w:themeColor="text1"/>
        </w:rPr>
        <w:t>，</w:t>
      </w:r>
      <w:r>
        <w:rPr>
          <w:color w:val="000000" w:themeColor="text1"/>
        </w:rPr>
        <w:t>SO</w:t>
      </w:r>
      <w:r>
        <w:rPr>
          <w:color w:val="000000" w:themeColor="text1"/>
          <w:vertAlign w:val="subscript"/>
        </w:rPr>
        <w:t>2</w:t>
      </w:r>
      <w:r>
        <w:rPr>
          <w:rFonts w:hint="eastAsia"/>
          <w:color w:val="000000" w:themeColor="text1"/>
        </w:rPr>
        <w:t>产生浓度为4.63</w:t>
      </w:r>
      <w:r>
        <w:rPr>
          <w:color w:val="000000" w:themeColor="text1"/>
        </w:rPr>
        <w:t xml:space="preserve"> mg/m</w:t>
      </w:r>
      <w:r>
        <w:rPr>
          <w:color w:val="000000" w:themeColor="text1"/>
          <w:vertAlign w:val="superscript"/>
        </w:rPr>
        <w:t>3</w:t>
      </w:r>
      <w:r>
        <w:rPr>
          <w:rFonts w:hint="eastAsia"/>
          <w:color w:val="000000" w:themeColor="text1"/>
        </w:rPr>
        <w:t>，</w:t>
      </w:r>
      <w:r>
        <w:rPr>
          <w:color w:val="000000" w:themeColor="text1"/>
        </w:rPr>
        <w:t>NOx</w:t>
      </w:r>
      <w:r>
        <w:rPr>
          <w:rFonts w:hint="eastAsia"/>
          <w:color w:val="000000" w:themeColor="text1"/>
        </w:rPr>
        <w:t>产生量为0.039</w:t>
      </w:r>
      <w:r>
        <w:rPr>
          <w:color w:val="000000" w:themeColor="text1"/>
        </w:rPr>
        <w:t>t/a</w:t>
      </w:r>
      <w:r>
        <w:rPr>
          <w:rFonts w:hint="eastAsia"/>
          <w:color w:val="000000" w:themeColor="text1"/>
        </w:rPr>
        <w:t>，</w:t>
      </w:r>
      <w:r>
        <w:rPr>
          <w:color w:val="000000" w:themeColor="text1"/>
        </w:rPr>
        <w:t>NOx</w:t>
      </w:r>
      <w:r>
        <w:rPr>
          <w:rFonts w:hint="eastAsia"/>
          <w:color w:val="000000" w:themeColor="text1"/>
        </w:rPr>
        <w:t>产生浓度为180</w:t>
      </w:r>
      <w:r>
        <w:rPr>
          <w:color w:val="000000" w:themeColor="text1"/>
        </w:rPr>
        <w:t xml:space="preserve"> mg/m</w:t>
      </w:r>
      <w:r>
        <w:rPr>
          <w:color w:val="000000" w:themeColor="text1"/>
          <w:vertAlign w:val="superscript"/>
        </w:rPr>
        <w:t>3</w:t>
      </w:r>
      <w:r>
        <w:rPr>
          <w:rFonts w:hint="eastAsia"/>
          <w:color w:val="000000" w:themeColor="text1"/>
        </w:rPr>
        <w:t>。</w:t>
      </w:r>
    </w:p>
    <w:p>
      <w:pPr>
        <w:ind w:firstLine="480"/>
        <w:rPr>
          <w:color w:val="000000" w:themeColor="text1"/>
        </w:rPr>
      </w:pPr>
      <w:r>
        <w:rPr>
          <w:rFonts w:hint="eastAsia"/>
          <w:color w:val="000000" w:themeColor="text1"/>
        </w:rPr>
        <w:t>焚烧尾气采用水膜除尘处理后排放，</w:t>
      </w:r>
      <w:r>
        <w:rPr>
          <w:rFonts w:hint="eastAsia"/>
          <w:color w:val="000000" w:themeColor="text1"/>
          <w:kern w:val="0"/>
        </w:rPr>
        <w:t>对颗粒物处理效率为</w:t>
      </w:r>
      <w:r>
        <w:rPr>
          <w:color w:val="000000" w:themeColor="text1"/>
          <w:kern w:val="0"/>
        </w:rPr>
        <w:t>87%</w:t>
      </w:r>
      <w:r>
        <w:rPr>
          <w:rFonts w:hint="eastAsia"/>
          <w:color w:val="000000" w:themeColor="text1"/>
          <w:kern w:val="0"/>
        </w:rPr>
        <w:t>，对</w:t>
      </w:r>
      <w:r>
        <w:rPr>
          <w:color w:val="000000" w:themeColor="text1"/>
          <w:kern w:val="0"/>
        </w:rPr>
        <w:t>SO</w:t>
      </w:r>
      <w:r>
        <w:rPr>
          <w:color w:val="000000" w:themeColor="text1"/>
          <w:kern w:val="0"/>
          <w:vertAlign w:val="subscript"/>
        </w:rPr>
        <w:t>2</w:t>
      </w:r>
      <w:r>
        <w:rPr>
          <w:rFonts w:hint="eastAsia"/>
          <w:color w:val="000000" w:themeColor="text1"/>
          <w:kern w:val="0"/>
        </w:rPr>
        <w:t>的去除效率为</w:t>
      </w:r>
      <w:r>
        <w:rPr>
          <w:color w:val="000000" w:themeColor="text1"/>
          <w:kern w:val="0"/>
        </w:rPr>
        <w:t>15%</w:t>
      </w:r>
      <w:r>
        <w:rPr>
          <w:rFonts w:hint="eastAsia"/>
          <w:color w:val="000000" w:themeColor="text1"/>
          <w:kern w:val="0"/>
        </w:rPr>
        <w:t>。经过处理后的焚烧炉尾气</w:t>
      </w:r>
      <w:r>
        <w:rPr>
          <w:rFonts w:hint="eastAsia"/>
          <w:color w:val="000000" w:themeColor="text1"/>
        </w:rPr>
        <w:t>经处理后烟尘排放量为</w:t>
      </w:r>
      <w:r>
        <w:rPr>
          <w:color w:val="000000" w:themeColor="text1"/>
        </w:rPr>
        <w:t>0.0</w:t>
      </w:r>
      <w:r>
        <w:rPr>
          <w:rFonts w:hint="eastAsia"/>
          <w:color w:val="000000" w:themeColor="text1"/>
        </w:rPr>
        <w:t>0312</w:t>
      </w:r>
      <w:r>
        <w:rPr>
          <w:color w:val="000000" w:themeColor="text1"/>
        </w:rPr>
        <w:t>t/a</w:t>
      </w:r>
      <w:r>
        <w:rPr>
          <w:rFonts w:hint="eastAsia"/>
          <w:color w:val="000000" w:themeColor="text1"/>
        </w:rPr>
        <w:t>，排放浓度为</w:t>
      </w:r>
      <w:r>
        <w:rPr>
          <w:rFonts w:hint="eastAsia"/>
          <w:color w:val="000000" w:themeColor="text1"/>
          <w:kern w:val="0"/>
        </w:rPr>
        <w:t>14.43</w:t>
      </w:r>
      <w:r>
        <w:rPr>
          <w:color w:val="000000" w:themeColor="text1"/>
        </w:rPr>
        <w:t>mg/m</w:t>
      </w:r>
      <w:r>
        <w:rPr>
          <w:color w:val="000000" w:themeColor="text1"/>
          <w:vertAlign w:val="superscript"/>
        </w:rPr>
        <w:t>3</w:t>
      </w:r>
      <w:r>
        <w:rPr>
          <w:rFonts w:hint="eastAsia"/>
          <w:color w:val="000000" w:themeColor="text1"/>
        </w:rPr>
        <w:t>，</w:t>
      </w:r>
      <w:r>
        <w:rPr>
          <w:color w:val="000000" w:themeColor="text1"/>
        </w:rPr>
        <w:t>SO</w:t>
      </w:r>
      <w:r>
        <w:rPr>
          <w:color w:val="000000" w:themeColor="text1"/>
          <w:vertAlign w:val="subscript"/>
        </w:rPr>
        <w:t>2</w:t>
      </w:r>
      <w:r>
        <w:rPr>
          <w:rFonts w:hint="eastAsia"/>
          <w:color w:val="000000" w:themeColor="text1"/>
        </w:rPr>
        <w:t>排放量为0.00085</w:t>
      </w:r>
      <w:r>
        <w:rPr>
          <w:color w:val="000000" w:themeColor="text1"/>
        </w:rPr>
        <w:t>t/a</w:t>
      </w:r>
      <w:r>
        <w:rPr>
          <w:rFonts w:hint="eastAsia"/>
          <w:color w:val="000000" w:themeColor="text1"/>
        </w:rPr>
        <w:t>，排放浓度为3.94</w:t>
      </w:r>
      <w:r>
        <w:rPr>
          <w:color w:val="000000" w:themeColor="text1"/>
        </w:rPr>
        <w:t>mg/m</w:t>
      </w:r>
      <w:r>
        <w:rPr>
          <w:color w:val="000000" w:themeColor="text1"/>
          <w:vertAlign w:val="superscript"/>
        </w:rPr>
        <w:t>3</w:t>
      </w:r>
      <w:r>
        <w:rPr>
          <w:rFonts w:hint="eastAsia"/>
          <w:color w:val="000000" w:themeColor="text1"/>
        </w:rPr>
        <w:t>，</w:t>
      </w:r>
      <w:r>
        <w:rPr>
          <w:color w:val="000000" w:themeColor="text1"/>
        </w:rPr>
        <w:t>NOx</w:t>
      </w:r>
      <w:r>
        <w:rPr>
          <w:rFonts w:hint="eastAsia"/>
          <w:color w:val="000000" w:themeColor="text1"/>
        </w:rPr>
        <w:t>排放量为</w:t>
      </w:r>
      <w:r>
        <w:rPr>
          <w:color w:val="000000" w:themeColor="text1"/>
        </w:rPr>
        <w:t>0.</w:t>
      </w:r>
      <w:r>
        <w:rPr>
          <w:rFonts w:hint="eastAsia"/>
          <w:color w:val="000000" w:themeColor="text1"/>
        </w:rPr>
        <w:t>039</w:t>
      </w:r>
      <w:r>
        <w:rPr>
          <w:color w:val="000000" w:themeColor="text1"/>
        </w:rPr>
        <w:t>t/a</w:t>
      </w:r>
      <w:r>
        <w:rPr>
          <w:rFonts w:hint="eastAsia"/>
          <w:color w:val="000000" w:themeColor="text1"/>
        </w:rPr>
        <w:t>，排放浓度为180</w:t>
      </w:r>
      <w:r>
        <w:rPr>
          <w:color w:val="000000" w:themeColor="text1"/>
        </w:rPr>
        <w:t>mg/m</w:t>
      </w:r>
      <w:r>
        <w:rPr>
          <w:color w:val="000000" w:themeColor="text1"/>
          <w:vertAlign w:val="superscript"/>
        </w:rPr>
        <w:t>3</w:t>
      </w:r>
      <w:r>
        <w:rPr>
          <w:rFonts w:hint="eastAsia"/>
          <w:color w:val="000000" w:themeColor="text1"/>
        </w:rPr>
        <w:t>。现有工程焚烧炉尾气中烟尘、</w:t>
      </w:r>
      <w:r>
        <w:rPr>
          <w:color w:val="000000" w:themeColor="text1"/>
        </w:rPr>
        <w:t>SO</w:t>
      </w:r>
      <w:r>
        <w:rPr>
          <w:color w:val="000000" w:themeColor="text1"/>
          <w:vertAlign w:val="subscript"/>
        </w:rPr>
        <w:t>2</w:t>
      </w:r>
      <w:r>
        <w:rPr>
          <w:rFonts w:hint="eastAsia"/>
          <w:color w:val="000000" w:themeColor="text1"/>
        </w:rPr>
        <w:t>及</w:t>
      </w:r>
      <w:r>
        <w:rPr>
          <w:color w:val="000000" w:themeColor="text1"/>
        </w:rPr>
        <w:t>NOx</w:t>
      </w:r>
      <w:r>
        <w:rPr>
          <w:rFonts w:hint="eastAsia"/>
          <w:color w:val="000000" w:themeColor="text1"/>
        </w:rPr>
        <w:t>的排放能达到《危险废物焚烧污染控制标准》（GB18484-2001）表 3 中标准限值（即烟尘≤100</w:t>
      </w:r>
      <w:r>
        <w:rPr>
          <w:color w:val="000000" w:themeColor="text1"/>
        </w:rPr>
        <w:t xml:space="preserve"> mg/m</w:t>
      </w:r>
      <w:r>
        <w:rPr>
          <w:color w:val="000000" w:themeColor="text1"/>
          <w:vertAlign w:val="superscript"/>
        </w:rPr>
        <w:t>3</w:t>
      </w:r>
      <w:r>
        <w:rPr>
          <w:rFonts w:hint="eastAsia"/>
          <w:color w:val="000000" w:themeColor="text1"/>
        </w:rPr>
        <w:t>，</w:t>
      </w:r>
      <w:r>
        <w:rPr>
          <w:color w:val="000000" w:themeColor="text1"/>
        </w:rPr>
        <w:t>SO</w:t>
      </w:r>
      <w:r>
        <w:rPr>
          <w:color w:val="000000" w:themeColor="text1"/>
          <w:vertAlign w:val="subscript"/>
        </w:rPr>
        <w:t>2</w:t>
      </w:r>
      <w:r>
        <w:rPr>
          <w:rFonts w:hint="eastAsia"/>
          <w:color w:val="000000" w:themeColor="text1"/>
        </w:rPr>
        <w:t>≤400</w:t>
      </w:r>
      <w:r>
        <w:rPr>
          <w:color w:val="000000" w:themeColor="text1"/>
        </w:rPr>
        <w:t xml:space="preserve"> mg/m</w:t>
      </w:r>
      <w:r>
        <w:rPr>
          <w:color w:val="000000" w:themeColor="text1"/>
          <w:vertAlign w:val="superscript"/>
        </w:rPr>
        <w:t>3</w:t>
      </w:r>
      <w:r>
        <w:rPr>
          <w:rFonts w:hint="eastAsia"/>
          <w:color w:val="000000" w:themeColor="text1"/>
        </w:rPr>
        <w:t>，</w:t>
      </w:r>
      <w:r>
        <w:rPr>
          <w:color w:val="000000" w:themeColor="text1"/>
        </w:rPr>
        <w:t>NOx</w:t>
      </w:r>
      <w:r>
        <w:rPr>
          <w:rFonts w:hint="eastAsia"/>
          <w:color w:val="000000" w:themeColor="text1"/>
        </w:rPr>
        <w:t>≤500</w:t>
      </w:r>
      <w:r>
        <w:rPr>
          <w:color w:val="000000" w:themeColor="text1"/>
        </w:rPr>
        <w:t xml:space="preserve"> mg/m</w:t>
      </w:r>
      <w:r>
        <w:rPr>
          <w:color w:val="000000" w:themeColor="text1"/>
          <w:vertAlign w:val="superscript"/>
        </w:rPr>
        <w:t>3</w:t>
      </w:r>
      <w:r>
        <w:rPr>
          <w:rFonts w:hint="eastAsia"/>
          <w:color w:val="000000" w:themeColor="text1"/>
        </w:rPr>
        <w:t>）。</w:t>
      </w:r>
    </w:p>
    <w:p>
      <w:pPr>
        <w:pStyle w:val="54"/>
        <w:rPr>
          <w:color w:val="000000" w:themeColor="text1"/>
        </w:rPr>
      </w:pPr>
      <w:r>
        <w:rPr>
          <w:rFonts w:hint="eastAsia"/>
          <w:color w:val="000000" w:themeColor="text1"/>
        </w:rPr>
        <w:t>表2.1.5-2 现有项目焚烧炉废气产排情况一览表</w:t>
      </w:r>
    </w:p>
    <w:tbl>
      <w:tblPr>
        <w:tblStyle w:val="43"/>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42"/>
        <w:gridCol w:w="1701"/>
        <w:gridCol w:w="1985"/>
        <w:gridCol w:w="1701"/>
        <w:gridCol w:w="189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8" w:hRule="atLeast"/>
        </w:trPr>
        <w:tc>
          <w:tcPr>
            <w:tcW w:w="1242" w:type="dxa"/>
            <w:vMerge w:val="restart"/>
            <w:vAlign w:val="center"/>
          </w:tcPr>
          <w:p>
            <w:pPr>
              <w:pStyle w:val="55"/>
              <w:rPr>
                <w:color w:val="000000" w:themeColor="text1"/>
              </w:rPr>
            </w:pPr>
            <w:r>
              <w:rPr>
                <w:rFonts w:hint="eastAsia"/>
                <w:color w:val="000000" w:themeColor="text1"/>
              </w:rPr>
              <w:t>污染物</w:t>
            </w:r>
          </w:p>
        </w:tc>
        <w:tc>
          <w:tcPr>
            <w:tcW w:w="3686" w:type="dxa"/>
            <w:gridSpan w:val="2"/>
            <w:vAlign w:val="center"/>
          </w:tcPr>
          <w:p>
            <w:pPr>
              <w:pStyle w:val="55"/>
              <w:rPr>
                <w:color w:val="000000" w:themeColor="text1"/>
              </w:rPr>
            </w:pPr>
            <w:r>
              <w:rPr>
                <w:rFonts w:hint="eastAsia"/>
                <w:color w:val="000000" w:themeColor="text1"/>
              </w:rPr>
              <w:t>污染物产生量</w:t>
            </w:r>
          </w:p>
        </w:tc>
        <w:tc>
          <w:tcPr>
            <w:tcW w:w="3594" w:type="dxa"/>
            <w:gridSpan w:val="2"/>
            <w:vAlign w:val="center"/>
          </w:tcPr>
          <w:p>
            <w:pPr>
              <w:pStyle w:val="55"/>
              <w:rPr>
                <w:color w:val="000000" w:themeColor="text1"/>
              </w:rPr>
            </w:pPr>
            <w:r>
              <w:rPr>
                <w:rFonts w:hint="eastAsia"/>
                <w:color w:val="000000" w:themeColor="text1"/>
              </w:rPr>
              <w:t>污染物处理后排放量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7" w:hRule="atLeast"/>
        </w:trPr>
        <w:tc>
          <w:tcPr>
            <w:tcW w:w="1242" w:type="dxa"/>
            <w:vMerge w:val="continue"/>
            <w:vAlign w:val="center"/>
          </w:tcPr>
          <w:p>
            <w:pPr>
              <w:pStyle w:val="55"/>
              <w:rPr>
                <w:color w:val="000000" w:themeColor="text1"/>
              </w:rPr>
            </w:pPr>
          </w:p>
        </w:tc>
        <w:tc>
          <w:tcPr>
            <w:tcW w:w="1701" w:type="dxa"/>
            <w:vAlign w:val="center"/>
          </w:tcPr>
          <w:p>
            <w:pPr>
              <w:pStyle w:val="55"/>
              <w:rPr>
                <w:color w:val="000000" w:themeColor="text1"/>
              </w:rPr>
            </w:pPr>
            <w:r>
              <w:rPr>
                <w:rFonts w:hint="eastAsia"/>
                <w:color w:val="000000" w:themeColor="text1"/>
              </w:rPr>
              <w:t>产生量（t/a）</w:t>
            </w:r>
          </w:p>
        </w:tc>
        <w:tc>
          <w:tcPr>
            <w:tcW w:w="1985" w:type="dxa"/>
            <w:vAlign w:val="center"/>
          </w:tcPr>
          <w:p>
            <w:pPr>
              <w:pStyle w:val="55"/>
              <w:rPr>
                <w:color w:val="000000" w:themeColor="text1"/>
              </w:rPr>
            </w:pPr>
            <w:r>
              <w:rPr>
                <w:rFonts w:hint="eastAsia"/>
                <w:color w:val="000000" w:themeColor="text1"/>
              </w:rPr>
              <w:t>产生浓度（mg/m</w:t>
            </w:r>
            <w:r>
              <w:rPr>
                <w:rFonts w:hint="eastAsia"/>
                <w:color w:val="000000" w:themeColor="text1"/>
                <w:vertAlign w:val="superscript"/>
              </w:rPr>
              <w:t>3</w:t>
            </w:r>
            <w:r>
              <w:rPr>
                <w:rFonts w:hint="eastAsia"/>
                <w:color w:val="000000" w:themeColor="text1"/>
              </w:rPr>
              <w:t>）</w:t>
            </w:r>
          </w:p>
        </w:tc>
        <w:tc>
          <w:tcPr>
            <w:tcW w:w="1701" w:type="dxa"/>
            <w:vAlign w:val="center"/>
          </w:tcPr>
          <w:p>
            <w:pPr>
              <w:pStyle w:val="55"/>
              <w:rPr>
                <w:color w:val="000000" w:themeColor="text1"/>
              </w:rPr>
            </w:pPr>
            <w:r>
              <w:rPr>
                <w:rFonts w:hint="eastAsia"/>
                <w:color w:val="000000" w:themeColor="text1"/>
              </w:rPr>
              <w:t>产生量（t/a）</w:t>
            </w:r>
          </w:p>
        </w:tc>
        <w:tc>
          <w:tcPr>
            <w:tcW w:w="1893" w:type="dxa"/>
            <w:vAlign w:val="center"/>
          </w:tcPr>
          <w:p>
            <w:pPr>
              <w:pStyle w:val="55"/>
              <w:rPr>
                <w:color w:val="000000" w:themeColor="text1"/>
              </w:rPr>
            </w:pPr>
            <w:r>
              <w:rPr>
                <w:rFonts w:hint="eastAsia"/>
                <w:color w:val="000000" w:themeColor="text1"/>
              </w:rPr>
              <w:t>产生浓度（mg/m</w:t>
            </w:r>
            <w:r>
              <w:rPr>
                <w:rFonts w:hint="eastAsia"/>
                <w:color w:val="000000" w:themeColor="text1"/>
                <w:vertAlign w:val="superscript"/>
              </w:rPr>
              <w:t>3</w:t>
            </w:r>
            <w:r>
              <w:rPr>
                <w:rFonts w:hint="eastAsia"/>
                <w:color w:val="000000" w:themeColor="text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42" w:type="dxa"/>
            <w:vAlign w:val="center"/>
          </w:tcPr>
          <w:p>
            <w:pPr>
              <w:pStyle w:val="55"/>
              <w:rPr>
                <w:color w:val="000000" w:themeColor="text1"/>
              </w:rPr>
            </w:pPr>
            <w:r>
              <w:rPr>
                <w:rFonts w:hint="eastAsia"/>
                <w:color w:val="000000" w:themeColor="text1"/>
              </w:rPr>
              <w:t>废气总量</w:t>
            </w:r>
          </w:p>
        </w:tc>
        <w:tc>
          <w:tcPr>
            <w:tcW w:w="3686" w:type="dxa"/>
            <w:gridSpan w:val="2"/>
            <w:vAlign w:val="center"/>
          </w:tcPr>
          <w:p>
            <w:pPr>
              <w:pStyle w:val="55"/>
              <w:rPr>
                <w:color w:val="000000" w:themeColor="text1"/>
              </w:rPr>
            </w:pPr>
            <w:r>
              <w:rPr>
                <w:rFonts w:hint="eastAsia"/>
                <w:color w:val="000000" w:themeColor="text1"/>
              </w:rPr>
              <w:t>21.6万m</w:t>
            </w:r>
            <w:r>
              <w:rPr>
                <w:rFonts w:hint="eastAsia"/>
                <w:color w:val="000000" w:themeColor="text1"/>
                <w:vertAlign w:val="superscript"/>
              </w:rPr>
              <w:t>3</w:t>
            </w:r>
            <w:r>
              <w:rPr>
                <w:rFonts w:hint="eastAsia"/>
                <w:color w:val="000000" w:themeColor="text1"/>
              </w:rPr>
              <w:t>/a</w:t>
            </w:r>
          </w:p>
        </w:tc>
        <w:tc>
          <w:tcPr>
            <w:tcW w:w="3594" w:type="dxa"/>
            <w:gridSpan w:val="2"/>
            <w:vAlign w:val="center"/>
          </w:tcPr>
          <w:p>
            <w:pPr>
              <w:pStyle w:val="55"/>
              <w:rPr>
                <w:color w:val="000000" w:themeColor="text1"/>
              </w:rPr>
            </w:pPr>
            <w:r>
              <w:rPr>
                <w:rFonts w:hint="eastAsia"/>
                <w:color w:val="000000" w:themeColor="text1"/>
              </w:rPr>
              <w:t>21.6万m</w:t>
            </w:r>
            <w:r>
              <w:rPr>
                <w:rFonts w:hint="eastAsia"/>
                <w:color w:val="000000" w:themeColor="text1"/>
                <w:vertAlign w:val="superscript"/>
              </w:rPr>
              <w:t>3</w:t>
            </w:r>
            <w:r>
              <w:rPr>
                <w:rFonts w:hint="eastAsia"/>
                <w:color w:val="000000" w:themeColor="text1"/>
              </w:rPr>
              <w: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42" w:type="dxa"/>
            <w:vAlign w:val="center"/>
          </w:tcPr>
          <w:p>
            <w:pPr>
              <w:pStyle w:val="55"/>
              <w:rPr>
                <w:color w:val="000000" w:themeColor="text1"/>
              </w:rPr>
            </w:pPr>
            <w:r>
              <w:rPr>
                <w:rFonts w:hint="eastAsia"/>
                <w:color w:val="000000" w:themeColor="text1"/>
              </w:rPr>
              <w:t>颗粒物</w:t>
            </w:r>
          </w:p>
        </w:tc>
        <w:tc>
          <w:tcPr>
            <w:tcW w:w="1701" w:type="dxa"/>
            <w:vAlign w:val="center"/>
          </w:tcPr>
          <w:p>
            <w:pPr>
              <w:pStyle w:val="55"/>
              <w:rPr>
                <w:color w:val="000000" w:themeColor="text1"/>
              </w:rPr>
            </w:pPr>
            <w:r>
              <w:rPr>
                <w:rFonts w:hint="eastAsia"/>
                <w:color w:val="000000" w:themeColor="text1"/>
              </w:rPr>
              <w:t>0.024</w:t>
            </w:r>
          </w:p>
        </w:tc>
        <w:tc>
          <w:tcPr>
            <w:tcW w:w="1985" w:type="dxa"/>
            <w:vAlign w:val="center"/>
          </w:tcPr>
          <w:p>
            <w:pPr>
              <w:pStyle w:val="55"/>
              <w:rPr>
                <w:color w:val="000000" w:themeColor="text1"/>
              </w:rPr>
            </w:pPr>
            <w:r>
              <w:rPr>
                <w:rFonts w:hint="eastAsia"/>
                <w:color w:val="000000" w:themeColor="text1"/>
              </w:rPr>
              <w:t>111</w:t>
            </w:r>
          </w:p>
        </w:tc>
        <w:tc>
          <w:tcPr>
            <w:tcW w:w="1701" w:type="dxa"/>
            <w:vAlign w:val="center"/>
          </w:tcPr>
          <w:p>
            <w:pPr>
              <w:pStyle w:val="55"/>
              <w:rPr>
                <w:color w:val="000000" w:themeColor="text1"/>
              </w:rPr>
            </w:pPr>
            <w:r>
              <w:rPr>
                <w:rFonts w:hint="eastAsia"/>
                <w:color w:val="000000" w:themeColor="text1"/>
              </w:rPr>
              <w:t>0.00312</w:t>
            </w:r>
          </w:p>
        </w:tc>
        <w:tc>
          <w:tcPr>
            <w:tcW w:w="1893" w:type="dxa"/>
            <w:vAlign w:val="center"/>
          </w:tcPr>
          <w:p>
            <w:pPr>
              <w:pStyle w:val="55"/>
              <w:rPr>
                <w:color w:val="000000" w:themeColor="text1"/>
              </w:rPr>
            </w:pPr>
            <w:r>
              <w:rPr>
                <w:rFonts w:hint="eastAsia"/>
                <w:color w:val="000000" w:themeColor="text1"/>
              </w:rPr>
              <w:t>14.43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42" w:type="dxa"/>
            <w:vAlign w:val="center"/>
          </w:tcPr>
          <w:p>
            <w:pPr>
              <w:pStyle w:val="55"/>
              <w:rPr>
                <w:color w:val="000000" w:themeColor="text1"/>
              </w:rPr>
            </w:pPr>
            <w:r>
              <w:rPr>
                <w:rFonts w:hint="eastAsia"/>
                <w:color w:val="000000" w:themeColor="text1"/>
              </w:rPr>
              <w:t>SO</w:t>
            </w:r>
            <w:r>
              <w:rPr>
                <w:rFonts w:hint="eastAsia"/>
                <w:color w:val="000000" w:themeColor="text1"/>
                <w:vertAlign w:val="subscript"/>
              </w:rPr>
              <w:t>2</w:t>
            </w:r>
          </w:p>
        </w:tc>
        <w:tc>
          <w:tcPr>
            <w:tcW w:w="1701" w:type="dxa"/>
            <w:vAlign w:val="center"/>
          </w:tcPr>
          <w:p>
            <w:pPr>
              <w:pStyle w:val="55"/>
              <w:rPr>
                <w:color w:val="000000" w:themeColor="text1"/>
              </w:rPr>
            </w:pPr>
            <w:r>
              <w:rPr>
                <w:rFonts w:hint="eastAsia"/>
                <w:color w:val="000000" w:themeColor="text1"/>
              </w:rPr>
              <w:t>0.001</w:t>
            </w:r>
          </w:p>
        </w:tc>
        <w:tc>
          <w:tcPr>
            <w:tcW w:w="1985" w:type="dxa"/>
            <w:vAlign w:val="center"/>
          </w:tcPr>
          <w:p>
            <w:pPr>
              <w:pStyle w:val="55"/>
              <w:rPr>
                <w:color w:val="000000" w:themeColor="text1"/>
              </w:rPr>
            </w:pPr>
            <w:r>
              <w:rPr>
                <w:rFonts w:hint="eastAsia"/>
                <w:color w:val="000000" w:themeColor="text1"/>
              </w:rPr>
              <w:t>4.63</w:t>
            </w:r>
          </w:p>
        </w:tc>
        <w:tc>
          <w:tcPr>
            <w:tcW w:w="1701" w:type="dxa"/>
            <w:vAlign w:val="center"/>
          </w:tcPr>
          <w:p>
            <w:pPr>
              <w:pStyle w:val="55"/>
              <w:rPr>
                <w:color w:val="000000" w:themeColor="text1"/>
              </w:rPr>
            </w:pPr>
            <w:r>
              <w:rPr>
                <w:rFonts w:hint="eastAsia"/>
                <w:color w:val="000000" w:themeColor="text1"/>
              </w:rPr>
              <w:t>0.00085</w:t>
            </w:r>
          </w:p>
        </w:tc>
        <w:tc>
          <w:tcPr>
            <w:tcW w:w="1893" w:type="dxa"/>
            <w:vAlign w:val="center"/>
          </w:tcPr>
          <w:p>
            <w:pPr>
              <w:pStyle w:val="55"/>
              <w:rPr>
                <w:color w:val="000000" w:themeColor="text1"/>
              </w:rPr>
            </w:pPr>
            <w:r>
              <w:rPr>
                <w:rFonts w:hint="eastAsia"/>
                <w:color w:val="000000" w:themeColor="text1"/>
              </w:rPr>
              <w:t>3.94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42" w:type="dxa"/>
            <w:vAlign w:val="center"/>
          </w:tcPr>
          <w:p>
            <w:pPr>
              <w:pStyle w:val="55"/>
              <w:rPr>
                <w:color w:val="000000" w:themeColor="text1"/>
              </w:rPr>
            </w:pPr>
            <w:r>
              <w:rPr>
                <w:rFonts w:hint="eastAsia"/>
                <w:color w:val="000000" w:themeColor="text1"/>
              </w:rPr>
              <w:t>NOx</w:t>
            </w:r>
          </w:p>
        </w:tc>
        <w:tc>
          <w:tcPr>
            <w:tcW w:w="1701" w:type="dxa"/>
            <w:vAlign w:val="center"/>
          </w:tcPr>
          <w:p>
            <w:pPr>
              <w:pStyle w:val="55"/>
              <w:rPr>
                <w:color w:val="000000" w:themeColor="text1"/>
              </w:rPr>
            </w:pPr>
            <w:r>
              <w:rPr>
                <w:rFonts w:hint="eastAsia"/>
                <w:color w:val="000000" w:themeColor="text1"/>
              </w:rPr>
              <w:t>0.039</w:t>
            </w:r>
          </w:p>
        </w:tc>
        <w:tc>
          <w:tcPr>
            <w:tcW w:w="1985" w:type="dxa"/>
            <w:vAlign w:val="center"/>
          </w:tcPr>
          <w:p>
            <w:pPr>
              <w:pStyle w:val="55"/>
              <w:rPr>
                <w:color w:val="000000" w:themeColor="text1"/>
              </w:rPr>
            </w:pPr>
            <w:r>
              <w:rPr>
                <w:rFonts w:hint="eastAsia"/>
                <w:color w:val="000000" w:themeColor="text1"/>
              </w:rPr>
              <w:t>180</w:t>
            </w:r>
          </w:p>
        </w:tc>
        <w:tc>
          <w:tcPr>
            <w:tcW w:w="1701" w:type="dxa"/>
            <w:vAlign w:val="center"/>
          </w:tcPr>
          <w:p>
            <w:pPr>
              <w:pStyle w:val="55"/>
              <w:rPr>
                <w:color w:val="000000" w:themeColor="text1"/>
              </w:rPr>
            </w:pPr>
            <w:r>
              <w:rPr>
                <w:rFonts w:hint="eastAsia"/>
                <w:color w:val="000000" w:themeColor="text1"/>
              </w:rPr>
              <w:t>0.039</w:t>
            </w:r>
          </w:p>
        </w:tc>
        <w:tc>
          <w:tcPr>
            <w:tcW w:w="1893" w:type="dxa"/>
            <w:vAlign w:val="center"/>
          </w:tcPr>
          <w:p>
            <w:pPr>
              <w:pStyle w:val="55"/>
              <w:rPr>
                <w:color w:val="000000" w:themeColor="text1"/>
              </w:rPr>
            </w:pPr>
            <w:r>
              <w:rPr>
                <w:rFonts w:hint="eastAsia"/>
                <w:color w:val="000000" w:themeColor="text1"/>
              </w:rPr>
              <w:t>180</w:t>
            </w:r>
          </w:p>
        </w:tc>
      </w:tr>
    </w:tbl>
    <w:p>
      <w:pPr>
        <w:ind w:firstLine="482"/>
        <w:rPr>
          <w:b/>
          <w:color w:val="000000" w:themeColor="text1"/>
        </w:rPr>
      </w:pPr>
      <w:r>
        <w:rPr>
          <w:rFonts w:hint="eastAsia"/>
          <w:b/>
          <w:color w:val="000000" w:themeColor="text1"/>
        </w:rPr>
        <w:t>2、废水</w:t>
      </w:r>
    </w:p>
    <w:p>
      <w:pPr>
        <w:ind w:firstLine="480"/>
        <w:rPr>
          <w:color w:val="000000" w:themeColor="text1"/>
        </w:rPr>
      </w:pPr>
      <w:r>
        <w:rPr>
          <w:rFonts w:hint="eastAsia"/>
          <w:color w:val="000000" w:themeColor="text1"/>
        </w:rPr>
        <w:t>现有工程主要废水为屠宰废水及少量工作人员生活污水，项目区目前已实行雨污分流措施</w:t>
      </w:r>
      <w:r>
        <w:rPr>
          <w:rFonts w:hint="eastAsia"/>
          <w:bCs/>
          <w:color w:val="000000" w:themeColor="text1"/>
        </w:rPr>
        <w:t>，</w:t>
      </w:r>
      <w:r>
        <w:rPr>
          <w:rFonts w:hint="eastAsia"/>
          <w:color w:val="000000" w:themeColor="text1"/>
        </w:rPr>
        <w:t>雨水通过雨水沟排入砚山县城市雨水管网；屠宰废水及粪便污水经过隔油池、化粪池处理后排入砚山县城市污水管网，进入砚山县污水处理厂进一步处理。</w:t>
      </w:r>
    </w:p>
    <w:p>
      <w:pPr>
        <w:ind w:firstLine="480"/>
        <w:rPr>
          <w:color w:val="000000" w:themeColor="text1"/>
        </w:rPr>
      </w:pPr>
      <w:r>
        <w:rPr>
          <w:rFonts w:hint="eastAsia"/>
          <w:color w:val="000000" w:themeColor="text1"/>
        </w:rPr>
        <w:t>根据现有项目环评报告计算结果，项目建有隔油池和多个化粪池，隔油池对动植物油的处理效率取70%，化粪池处理效率约为：COD30%、BOD</w:t>
      </w:r>
      <w:r>
        <w:rPr>
          <w:rFonts w:hint="eastAsia"/>
          <w:color w:val="000000" w:themeColor="text1"/>
          <w:vertAlign w:val="subscript"/>
        </w:rPr>
        <w:t>5</w:t>
      </w:r>
      <w:r>
        <w:rPr>
          <w:rFonts w:hint="eastAsia"/>
          <w:color w:val="000000" w:themeColor="text1"/>
        </w:rPr>
        <w:t>10%、SS70%、氨氮3%。现有项目废水的产生量及产生浓度、排放量及排放浓度详见表2.1.5-3。</w:t>
      </w:r>
    </w:p>
    <w:p>
      <w:pPr>
        <w:pStyle w:val="54"/>
        <w:rPr>
          <w:color w:val="000000" w:themeColor="text1"/>
        </w:rPr>
      </w:pPr>
      <w:r>
        <w:rPr>
          <w:rFonts w:hint="eastAsia"/>
          <w:color w:val="000000" w:themeColor="text1"/>
        </w:rPr>
        <w:t>表2.1.5-3 现有项目废水产排情况一览表</w:t>
      </w:r>
    </w:p>
    <w:tbl>
      <w:tblPr>
        <w:tblStyle w:val="43"/>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42"/>
        <w:gridCol w:w="1701"/>
        <w:gridCol w:w="1985"/>
        <w:gridCol w:w="1701"/>
        <w:gridCol w:w="189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8" w:hRule="atLeast"/>
        </w:trPr>
        <w:tc>
          <w:tcPr>
            <w:tcW w:w="1242" w:type="dxa"/>
            <w:vMerge w:val="restart"/>
            <w:vAlign w:val="center"/>
          </w:tcPr>
          <w:p>
            <w:pPr>
              <w:pStyle w:val="55"/>
              <w:rPr>
                <w:color w:val="000000" w:themeColor="text1"/>
              </w:rPr>
            </w:pPr>
            <w:r>
              <w:rPr>
                <w:rFonts w:hint="eastAsia"/>
                <w:color w:val="000000" w:themeColor="text1"/>
              </w:rPr>
              <w:t>污染物</w:t>
            </w:r>
          </w:p>
        </w:tc>
        <w:tc>
          <w:tcPr>
            <w:tcW w:w="3686" w:type="dxa"/>
            <w:gridSpan w:val="2"/>
            <w:vAlign w:val="center"/>
          </w:tcPr>
          <w:p>
            <w:pPr>
              <w:pStyle w:val="55"/>
              <w:rPr>
                <w:color w:val="000000" w:themeColor="text1"/>
              </w:rPr>
            </w:pPr>
            <w:r>
              <w:rPr>
                <w:rFonts w:hint="eastAsia"/>
                <w:color w:val="000000" w:themeColor="text1"/>
              </w:rPr>
              <w:t>污染物产生量</w:t>
            </w:r>
          </w:p>
        </w:tc>
        <w:tc>
          <w:tcPr>
            <w:tcW w:w="3594" w:type="dxa"/>
            <w:gridSpan w:val="2"/>
            <w:vAlign w:val="center"/>
          </w:tcPr>
          <w:p>
            <w:pPr>
              <w:pStyle w:val="55"/>
              <w:rPr>
                <w:color w:val="000000" w:themeColor="text1"/>
              </w:rPr>
            </w:pPr>
            <w:r>
              <w:rPr>
                <w:rFonts w:hint="eastAsia"/>
                <w:color w:val="000000" w:themeColor="text1"/>
              </w:rPr>
              <w:t>污染物处理后排放量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7" w:hRule="atLeast"/>
        </w:trPr>
        <w:tc>
          <w:tcPr>
            <w:tcW w:w="1242" w:type="dxa"/>
            <w:vMerge w:val="continue"/>
            <w:vAlign w:val="center"/>
          </w:tcPr>
          <w:p>
            <w:pPr>
              <w:pStyle w:val="55"/>
              <w:rPr>
                <w:color w:val="000000" w:themeColor="text1"/>
              </w:rPr>
            </w:pPr>
          </w:p>
        </w:tc>
        <w:tc>
          <w:tcPr>
            <w:tcW w:w="1701" w:type="dxa"/>
            <w:vAlign w:val="center"/>
          </w:tcPr>
          <w:p>
            <w:pPr>
              <w:pStyle w:val="55"/>
              <w:rPr>
                <w:color w:val="000000" w:themeColor="text1"/>
              </w:rPr>
            </w:pPr>
            <w:r>
              <w:rPr>
                <w:rFonts w:hint="eastAsia"/>
                <w:color w:val="000000" w:themeColor="text1"/>
              </w:rPr>
              <w:t>产生量（t/a）</w:t>
            </w:r>
          </w:p>
        </w:tc>
        <w:tc>
          <w:tcPr>
            <w:tcW w:w="1985" w:type="dxa"/>
            <w:vAlign w:val="center"/>
          </w:tcPr>
          <w:p>
            <w:pPr>
              <w:pStyle w:val="55"/>
              <w:rPr>
                <w:color w:val="000000" w:themeColor="text1"/>
              </w:rPr>
            </w:pPr>
            <w:r>
              <w:rPr>
                <w:rFonts w:hint="eastAsia"/>
                <w:color w:val="000000" w:themeColor="text1"/>
              </w:rPr>
              <w:t>产生浓度（mg/L）</w:t>
            </w:r>
          </w:p>
        </w:tc>
        <w:tc>
          <w:tcPr>
            <w:tcW w:w="1701" w:type="dxa"/>
            <w:vAlign w:val="center"/>
          </w:tcPr>
          <w:p>
            <w:pPr>
              <w:pStyle w:val="55"/>
              <w:rPr>
                <w:color w:val="000000" w:themeColor="text1"/>
              </w:rPr>
            </w:pPr>
            <w:r>
              <w:rPr>
                <w:rFonts w:hint="eastAsia"/>
                <w:color w:val="000000" w:themeColor="text1"/>
              </w:rPr>
              <w:t>产生量（t/a）</w:t>
            </w:r>
          </w:p>
        </w:tc>
        <w:tc>
          <w:tcPr>
            <w:tcW w:w="1893" w:type="dxa"/>
            <w:vAlign w:val="center"/>
          </w:tcPr>
          <w:p>
            <w:pPr>
              <w:pStyle w:val="55"/>
              <w:rPr>
                <w:color w:val="000000" w:themeColor="text1"/>
              </w:rPr>
            </w:pPr>
            <w:r>
              <w:rPr>
                <w:rFonts w:hint="eastAsia"/>
                <w:color w:val="000000" w:themeColor="text1"/>
              </w:rPr>
              <w:t>产生浓度（mg/L）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42" w:type="dxa"/>
            <w:vAlign w:val="center"/>
          </w:tcPr>
          <w:p>
            <w:pPr>
              <w:pStyle w:val="55"/>
              <w:rPr>
                <w:color w:val="000000" w:themeColor="text1"/>
              </w:rPr>
            </w:pPr>
            <w:r>
              <w:rPr>
                <w:rFonts w:hint="eastAsia"/>
                <w:color w:val="000000" w:themeColor="text1"/>
              </w:rPr>
              <w:t>废水总量</w:t>
            </w:r>
          </w:p>
        </w:tc>
        <w:tc>
          <w:tcPr>
            <w:tcW w:w="3686" w:type="dxa"/>
            <w:gridSpan w:val="2"/>
            <w:vAlign w:val="center"/>
          </w:tcPr>
          <w:p>
            <w:pPr>
              <w:pStyle w:val="55"/>
              <w:rPr>
                <w:color w:val="000000" w:themeColor="text1"/>
              </w:rPr>
            </w:pPr>
            <w:r>
              <w:rPr>
                <w:rFonts w:hint="eastAsia"/>
                <w:color w:val="000000" w:themeColor="text1"/>
              </w:rPr>
              <w:t>5897m</w:t>
            </w:r>
            <w:r>
              <w:rPr>
                <w:rFonts w:hint="eastAsia"/>
                <w:color w:val="000000" w:themeColor="text1"/>
                <w:vertAlign w:val="superscript"/>
              </w:rPr>
              <w:t>3</w:t>
            </w:r>
            <w:r>
              <w:rPr>
                <w:rFonts w:hint="eastAsia"/>
                <w:color w:val="000000" w:themeColor="text1"/>
              </w:rPr>
              <w:t>/a</w:t>
            </w:r>
          </w:p>
        </w:tc>
        <w:tc>
          <w:tcPr>
            <w:tcW w:w="3594" w:type="dxa"/>
            <w:gridSpan w:val="2"/>
            <w:vAlign w:val="center"/>
          </w:tcPr>
          <w:p>
            <w:pPr>
              <w:pStyle w:val="55"/>
              <w:rPr>
                <w:color w:val="000000" w:themeColor="text1"/>
              </w:rPr>
            </w:pPr>
            <w:r>
              <w:rPr>
                <w:rFonts w:hint="eastAsia"/>
                <w:color w:val="000000" w:themeColor="text1"/>
              </w:rPr>
              <w:t>5897m</w:t>
            </w:r>
            <w:r>
              <w:rPr>
                <w:rFonts w:hint="eastAsia"/>
                <w:color w:val="000000" w:themeColor="text1"/>
                <w:vertAlign w:val="superscript"/>
              </w:rPr>
              <w:t>3</w:t>
            </w:r>
            <w:r>
              <w:rPr>
                <w:rFonts w:hint="eastAsia"/>
                <w:color w:val="000000" w:themeColor="text1"/>
              </w:rPr>
              <w: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42" w:type="dxa"/>
            <w:vAlign w:val="center"/>
          </w:tcPr>
          <w:p>
            <w:pPr>
              <w:pStyle w:val="55"/>
              <w:rPr>
                <w:color w:val="000000" w:themeColor="text1"/>
              </w:rPr>
            </w:pPr>
            <w:r>
              <w:rPr>
                <w:rFonts w:hint="eastAsia"/>
                <w:color w:val="000000" w:themeColor="text1"/>
              </w:rPr>
              <w:t>COD</w:t>
            </w:r>
          </w:p>
        </w:tc>
        <w:tc>
          <w:tcPr>
            <w:tcW w:w="1701" w:type="dxa"/>
            <w:vAlign w:val="center"/>
          </w:tcPr>
          <w:p>
            <w:pPr>
              <w:pStyle w:val="55"/>
              <w:rPr>
                <w:color w:val="000000" w:themeColor="text1"/>
              </w:rPr>
            </w:pPr>
            <w:r>
              <w:rPr>
                <w:rFonts w:hint="eastAsia"/>
                <w:color w:val="000000" w:themeColor="text1"/>
              </w:rPr>
              <w:t>12.97</w:t>
            </w:r>
          </w:p>
        </w:tc>
        <w:tc>
          <w:tcPr>
            <w:tcW w:w="1985" w:type="dxa"/>
            <w:vAlign w:val="center"/>
          </w:tcPr>
          <w:p>
            <w:pPr>
              <w:pStyle w:val="55"/>
              <w:rPr>
                <w:color w:val="000000" w:themeColor="text1"/>
              </w:rPr>
            </w:pPr>
            <w:r>
              <w:rPr>
                <w:rFonts w:hint="eastAsia"/>
                <w:color w:val="000000" w:themeColor="text1"/>
              </w:rPr>
              <w:t>2200</w:t>
            </w:r>
          </w:p>
        </w:tc>
        <w:tc>
          <w:tcPr>
            <w:tcW w:w="1701" w:type="dxa"/>
            <w:vAlign w:val="center"/>
          </w:tcPr>
          <w:p>
            <w:pPr>
              <w:pStyle w:val="55"/>
              <w:rPr>
                <w:color w:val="000000" w:themeColor="text1"/>
              </w:rPr>
            </w:pPr>
            <w:r>
              <w:rPr>
                <w:rFonts w:hint="eastAsia"/>
                <w:color w:val="000000" w:themeColor="text1"/>
              </w:rPr>
              <w:t>9.079</w:t>
            </w:r>
          </w:p>
        </w:tc>
        <w:tc>
          <w:tcPr>
            <w:tcW w:w="1893" w:type="dxa"/>
            <w:vAlign w:val="center"/>
          </w:tcPr>
          <w:p>
            <w:pPr>
              <w:pStyle w:val="55"/>
              <w:rPr>
                <w:color w:val="000000" w:themeColor="text1"/>
              </w:rPr>
            </w:pPr>
            <w:r>
              <w:rPr>
                <w:rFonts w:hint="eastAsia"/>
                <w:color w:val="000000" w:themeColor="text1"/>
              </w:rPr>
              <w:t>1540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42" w:type="dxa"/>
            <w:vAlign w:val="center"/>
          </w:tcPr>
          <w:p>
            <w:pPr>
              <w:pStyle w:val="55"/>
              <w:rPr>
                <w:color w:val="000000" w:themeColor="text1"/>
              </w:rPr>
            </w:pPr>
            <w:r>
              <w:rPr>
                <w:rFonts w:hint="eastAsia"/>
                <w:color w:val="000000" w:themeColor="text1"/>
              </w:rPr>
              <w:t>BOD</w:t>
            </w:r>
            <w:r>
              <w:rPr>
                <w:rFonts w:hint="eastAsia"/>
                <w:color w:val="000000" w:themeColor="text1"/>
                <w:vertAlign w:val="subscript"/>
              </w:rPr>
              <w:t>5</w:t>
            </w:r>
          </w:p>
        </w:tc>
        <w:tc>
          <w:tcPr>
            <w:tcW w:w="1701" w:type="dxa"/>
            <w:vAlign w:val="center"/>
          </w:tcPr>
          <w:p>
            <w:pPr>
              <w:pStyle w:val="55"/>
              <w:rPr>
                <w:color w:val="000000" w:themeColor="text1"/>
              </w:rPr>
            </w:pPr>
            <w:r>
              <w:rPr>
                <w:rFonts w:hint="eastAsia"/>
                <w:color w:val="000000" w:themeColor="text1"/>
              </w:rPr>
              <w:t>7.67</w:t>
            </w:r>
          </w:p>
        </w:tc>
        <w:tc>
          <w:tcPr>
            <w:tcW w:w="1985" w:type="dxa"/>
            <w:vAlign w:val="center"/>
          </w:tcPr>
          <w:p>
            <w:pPr>
              <w:pStyle w:val="55"/>
              <w:rPr>
                <w:color w:val="000000" w:themeColor="text1"/>
              </w:rPr>
            </w:pPr>
            <w:r>
              <w:rPr>
                <w:rFonts w:hint="eastAsia"/>
                <w:color w:val="000000" w:themeColor="text1"/>
              </w:rPr>
              <w:t>1300</w:t>
            </w:r>
          </w:p>
        </w:tc>
        <w:tc>
          <w:tcPr>
            <w:tcW w:w="1701" w:type="dxa"/>
            <w:vAlign w:val="center"/>
          </w:tcPr>
          <w:p>
            <w:pPr>
              <w:pStyle w:val="55"/>
              <w:rPr>
                <w:color w:val="000000" w:themeColor="text1"/>
              </w:rPr>
            </w:pPr>
            <w:r>
              <w:rPr>
                <w:rFonts w:hint="eastAsia"/>
                <w:color w:val="000000" w:themeColor="text1"/>
              </w:rPr>
              <w:t>6.903</w:t>
            </w:r>
          </w:p>
        </w:tc>
        <w:tc>
          <w:tcPr>
            <w:tcW w:w="1893" w:type="dxa"/>
            <w:vAlign w:val="center"/>
          </w:tcPr>
          <w:p>
            <w:pPr>
              <w:pStyle w:val="55"/>
              <w:rPr>
                <w:color w:val="000000" w:themeColor="text1"/>
              </w:rPr>
            </w:pPr>
            <w:r>
              <w:rPr>
                <w:rFonts w:hint="eastAsia"/>
                <w:color w:val="000000" w:themeColor="text1"/>
              </w:rPr>
              <w:t>1170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42" w:type="dxa"/>
            <w:vAlign w:val="center"/>
          </w:tcPr>
          <w:p>
            <w:pPr>
              <w:pStyle w:val="55"/>
              <w:rPr>
                <w:color w:val="000000" w:themeColor="text1"/>
              </w:rPr>
            </w:pPr>
            <w:r>
              <w:rPr>
                <w:rFonts w:hint="eastAsia"/>
                <w:color w:val="000000" w:themeColor="text1"/>
              </w:rPr>
              <w:t>悬浮物</w:t>
            </w:r>
          </w:p>
        </w:tc>
        <w:tc>
          <w:tcPr>
            <w:tcW w:w="1701" w:type="dxa"/>
            <w:vAlign w:val="center"/>
          </w:tcPr>
          <w:p>
            <w:pPr>
              <w:pStyle w:val="55"/>
              <w:rPr>
                <w:color w:val="000000" w:themeColor="text1"/>
              </w:rPr>
            </w:pPr>
            <w:r>
              <w:rPr>
                <w:rFonts w:hint="eastAsia"/>
                <w:color w:val="000000" w:themeColor="text1"/>
              </w:rPr>
              <w:t>10.61</w:t>
            </w:r>
          </w:p>
        </w:tc>
        <w:tc>
          <w:tcPr>
            <w:tcW w:w="1985" w:type="dxa"/>
            <w:vAlign w:val="center"/>
          </w:tcPr>
          <w:p>
            <w:pPr>
              <w:pStyle w:val="55"/>
              <w:rPr>
                <w:color w:val="000000" w:themeColor="text1"/>
              </w:rPr>
            </w:pPr>
            <w:r>
              <w:rPr>
                <w:rFonts w:hint="eastAsia"/>
                <w:color w:val="000000" w:themeColor="text1"/>
              </w:rPr>
              <w:t>1800</w:t>
            </w:r>
          </w:p>
        </w:tc>
        <w:tc>
          <w:tcPr>
            <w:tcW w:w="1701" w:type="dxa"/>
            <w:vAlign w:val="center"/>
          </w:tcPr>
          <w:p>
            <w:pPr>
              <w:pStyle w:val="55"/>
              <w:rPr>
                <w:color w:val="000000" w:themeColor="text1"/>
              </w:rPr>
            </w:pPr>
            <w:r>
              <w:rPr>
                <w:rFonts w:hint="eastAsia"/>
                <w:color w:val="000000" w:themeColor="text1"/>
              </w:rPr>
              <w:t>3.183</w:t>
            </w:r>
          </w:p>
        </w:tc>
        <w:tc>
          <w:tcPr>
            <w:tcW w:w="1893" w:type="dxa"/>
            <w:vAlign w:val="center"/>
          </w:tcPr>
          <w:p>
            <w:pPr>
              <w:pStyle w:val="55"/>
              <w:rPr>
                <w:color w:val="000000" w:themeColor="text1"/>
              </w:rPr>
            </w:pPr>
            <w:r>
              <w:rPr>
                <w:rFonts w:hint="eastAsia"/>
                <w:color w:val="000000" w:themeColor="text1"/>
              </w:rPr>
              <w:t>540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42" w:type="dxa"/>
            <w:vAlign w:val="center"/>
          </w:tcPr>
          <w:p>
            <w:pPr>
              <w:pStyle w:val="55"/>
              <w:rPr>
                <w:color w:val="000000" w:themeColor="text1"/>
              </w:rPr>
            </w:pPr>
            <w:r>
              <w:rPr>
                <w:rFonts w:hint="eastAsia"/>
                <w:color w:val="000000" w:themeColor="text1"/>
              </w:rPr>
              <w:t>氨氮</w:t>
            </w:r>
          </w:p>
        </w:tc>
        <w:tc>
          <w:tcPr>
            <w:tcW w:w="1701" w:type="dxa"/>
            <w:vAlign w:val="center"/>
          </w:tcPr>
          <w:p>
            <w:pPr>
              <w:pStyle w:val="55"/>
              <w:rPr>
                <w:color w:val="000000" w:themeColor="text1"/>
              </w:rPr>
            </w:pPr>
            <w:r>
              <w:rPr>
                <w:rFonts w:hint="eastAsia"/>
                <w:color w:val="000000" w:themeColor="text1"/>
              </w:rPr>
              <w:t>0.71</w:t>
            </w:r>
          </w:p>
        </w:tc>
        <w:tc>
          <w:tcPr>
            <w:tcW w:w="1985" w:type="dxa"/>
            <w:vAlign w:val="center"/>
          </w:tcPr>
          <w:p>
            <w:pPr>
              <w:pStyle w:val="55"/>
              <w:rPr>
                <w:color w:val="000000" w:themeColor="text1"/>
              </w:rPr>
            </w:pPr>
            <w:r>
              <w:rPr>
                <w:rFonts w:hint="eastAsia"/>
                <w:color w:val="000000" w:themeColor="text1"/>
              </w:rPr>
              <w:t>120</w:t>
            </w:r>
          </w:p>
        </w:tc>
        <w:tc>
          <w:tcPr>
            <w:tcW w:w="1701" w:type="dxa"/>
            <w:vAlign w:val="center"/>
          </w:tcPr>
          <w:p>
            <w:pPr>
              <w:pStyle w:val="55"/>
              <w:rPr>
                <w:color w:val="000000" w:themeColor="text1"/>
              </w:rPr>
            </w:pPr>
            <w:r>
              <w:rPr>
                <w:rFonts w:hint="eastAsia"/>
                <w:color w:val="000000" w:themeColor="text1"/>
              </w:rPr>
              <w:t>0.689</w:t>
            </w:r>
          </w:p>
        </w:tc>
        <w:tc>
          <w:tcPr>
            <w:tcW w:w="1893" w:type="dxa"/>
            <w:vAlign w:val="center"/>
          </w:tcPr>
          <w:p>
            <w:pPr>
              <w:pStyle w:val="55"/>
              <w:rPr>
                <w:color w:val="000000" w:themeColor="text1"/>
              </w:rPr>
            </w:pPr>
            <w:r>
              <w:rPr>
                <w:rFonts w:hint="eastAsia"/>
                <w:color w:val="000000" w:themeColor="text1"/>
              </w:rPr>
              <w:t>116.4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42" w:type="dxa"/>
            <w:vAlign w:val="center"/>
          </w:tcPr>
          <w:p>
            <w:pPr>
              <w:pStyle w:val="55"/>
              <w:rPr>
                <w:color w:val="000000" w:themeColor="text1"/>
              </w:rPr>
            </w:pPr>
            <w:r>
              <w:rPr>
                <w:rFonts w:hint="eastAsia"/>
                <w:color w:val="000000" w:themeColor="text1"/>
              </w:rPr>
              <w:t>动植物油</w:t>
            </w:r>
          </w:p>
        </w:tc>
        <w:tc>
          <w:tcPr>
            <w:tcW w:w="1701" w:type="dxa"/>
            <w:vAlign w:val="center"/>
          </w:tcPr>
          <w:p>
            <w:pPr>
              <w:pStyle w:val="55"/>
              <w:rPr>
                <w:color w:val="000000" w:themeColor="text1"/>
              </w:rPr>
            </w:pPr>
            <w:r>
              <w:rPr>
                <w:rFonts w:hint="eastAsia"/>
                <w:color w:val="000000" w:themeColor="text1"/>
              </w:rPr>
              <w:t>3.54</w:t>
            </w:r>
          </w:p>
        </w:tc>
        <w:tc>
          <w:tcPr>
            <w:tcW w:w="1985" w:type="dxa"/>
            <w:vAlign w:val="center"/>
          </w:tcPr>
          <w:p>
            <w:pPr>
              <w:pStyle w:val="55"/>
              <w:rPr>
                <w:color w:val="000000" w:themeColor="text1"/>
              </w:rPr>
            </w:pPr>
            <w:r>
              <w:rPr>
                <w:rFonts w:hint="eastAsia"/>
                <w:color w:val="000000" w:themeColor="text1"/>
              </w:rPr>
              <w:t>600</w:t>
            </w:r>
          </w:p>
        </w:tc>
        <w:tc>
          <w:tcPr>
            <w:tcW w:w="1701" w:type="dxa"/>
            <w:vAlign w:val="center"/>
          </w:tcPr>
          <w:p>
            <w:pPr>
              <w:pStyle w:val="55"/>
              <w:rPr>
                <w:color w:val="000000" w:themeColor="text1"/>
              </w:rPr>
            </w:pPr>
            <w:r>
              <w:rPr>
                <w:rFonts w:hint="eastAsia"/>
                <w:color w:val="000000" w:themeColor="text1"/>
              </w:rPr>
              <w:t>2.478</w:t>
            </w:r>
          </w:p>
        </w:tc>
        <w:tc>
          <w:tcPr>
            <w:tcW w:w="1893" w:type="dxa"/>
            <w:vAlign w:val="center"/>
          </w:tcPr>
          <w:p>
            <w:pPr>
              <w:pStyle w:val="55"/>
              <w:rPr>
                <w:color w:val="000000" w:themeColor="text1"/>
              </w:rPr>
            </w:pPr>
            <w:r>
              <w:rPr>
                <w:rFonts w:hint="eastAsia"/>
                <w:color w:val="000000" w:themeColor="text1"/>
              </w:rPr>
              <w:t>420</w:t>
            </w:r>
          </w:p>
        </w:tc>
      </w:tr>
    </w:tbl>
    <w:p>
      <w:pPr>
        <w:ind w:firstLine="482"/>
        <w:rPr>
          <w:b/>
          <w:color w:val="000000" w:themeColor="text1"/>
        </w:rPr>
      </w:pPr>
      <w:r>
        <w:rPr>
          <w:rFonts w:hint="eastAsia"/>
          <w:b/>
          <w:color w:val="000000" w:themeColor="text1"/>
        </w:rPr>
        <w:t>3、噪声</w:t>
      </w:r>
    </w:p>
    <w:p>
      <w:pPr>
        <w:ind w:firstLine="480"/>
        <w:rPr>
          <w:color w:val="000000" w:themeColor="text1"/>
        </w:rPr>
      </w:pPr>
      <w:r>
        <w:rPr>
          <w:rFonts w:hint="eastAsia"/>
          <w:color w:val="000000" w:themeColor="text1"/>
        </w:rPr>
        <w:t>现有工程产生噪声主要来自待宰间猪叫声、生产设备运行噪声、交通噪声等，声压级约在50~80dB（A）之间。根据现有项目环评报告预测结果，项目正常运营时，距离项目10m外的噪声均可达到《工业企业厂界环境噪声排放标准》(GB12348-2008)中的2类标准。项目采取厂房隔声、电击后屠宰、绿化吸收等主要噪声防治措施，降低噪声对厂界的影响。</w:t>
      </w:r>
    </w:p>
    <w:p>
      <w:pPr>
        <w:ind w:firstLine="480"/>
        <w:rPr>
          <w:color w:val="000000" w:themeColor="text1"/>
        </w:rPr>
      </w:pPr>
      <w:r>
        <w:rPr>
          <w:rFonts w:hint="eastAsia"/>
          <w:color w:val="000000" w:themeColor="text1"/>
        </w:rPr>
        <w:t>4、固体废物</w:t>
      </w:r>
    </w:p>
    <w:p>
      <w:pPr>
        <w:ind w:firstLine="480"/>
        <w:rPr>
          <w:color w:val="000000" w:themeColor="text1"/>
        </w:rPr>
      </w:pPr>
      <w:r>
        <w:rPr>
          <w:rFonts w:hint="eastAsia"/>
          <w:color w:val="000000" w:themeColor="text1"/>
        </w:rPr>
        <w:t>现有工程产生固体废物主要为猪粪、肠胃内容物、猪皮毛等废弃物、病死猪及不合格产品、煤渣、生活垃圾。固废产生量及处理处置方式见表 2.1.5-4。</w:t>
      </w:r>
    </w:p>
    <w:p>
      <w:pPr>
        <w:pStyle w:val="54"/>
        <w:rPr>
          <w:color w:val="000000" w:themeColor="text1"/>
        </w:rPr>
      </w:pPr>
      <w:r>
        <w:rPr>
          <w:rFonts w:hint="eastAsia"/>
          <w:color w:val="000000" w:themeColor="text1"/>
        </w:rPr>
        <w:t>表2.1.5-4  现有工程固废产生及处置情况一览表 单位：t/a</w:t>
      </w:r>
    </w:p>
    <w:tbl>
      <w:tblPr>
        <w:tblStyle w:val="43"/>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75"/>
        <w:gridCol w:w="2127"/>
        <w:gridCol w:w="1701"/>
        <w:gridCol w:w="1134"/>
        <w:gridCol w:w="288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pStyle w:val="55"/>
              <w:rPr>
                <w:color w:val="000000" w:themeColor="text1"/>
              </w:rPr>
            </w:pPr>
            <w:r>
              <w:rPr>
                <w:color w:val="000000" w:themeColor="text1"/>
              </w:rPr>
              <w:t>序号</w:t>
            </w:r>
          </w:p>
        </w:tc>
        <w:tc>
          <w:tcPr>
            <w:tcW w:w="2127" w:type="dxa"/>
            <w:vAlign w:val="center"/>
          </w:tcPr>
          <w:p>
            <w:pPr>
              <w:pStyle w:val="55"/>
              <w:rPr>
                <w:color w:val="000000" w:themeColor="text1"/>
              </w:rPr>
            </w:pPr>
            <w:r>
              <w:rPr>
                <w:color w:val="000000" w:themeColor="text1"/>
              </w:rPr>
              <w:t>固废来源</w:t>
            </w:r>
          </w:p>
        </w:tc>
        <w:tc>
          <w:tcPr>
            <w:tcW w:w="1701" w:type="dxa"/>
            <w:vAlign w:val="center"/>
          </w:tcPr>
          <w:p>
            <w:pPr>
              <w:pStyle w:val="55"/>
              <w:rPr>
                <w:color w:val="000000" w:themeColor="text1"/>
              </w:rPr>
            </w:pPr>
            <w:r>
              <w:rPr>
                <w:color w:val="000000" w:themeColor="text1"/>
              </w:rPr>
              <w:t>固废种类</w:t>
            </w:r>
          </w:p>
        </w:tc>
        <w:tc>
          <w:tcPr>
            <w:tcW w:w="1134" w:type="dxa"/>
            <w:vAlign w:val="center"/>
          </w:tcPr>
          <w:p>
            <w:pPr>
              <w:pStyle w:val="55"/>
              <w:rPr>
                <w:color w:val="000000" w:themeColor="text1"/>
              </w:rPr>
            </w:pPr>
            <w:r>
              <w:rPr>
                <w:color w:val="000000" w:themeColor="text1"/>
              </w:rPr>
              <w:t>年产量</w:t>
            </w:r>
          </w:p>
        </w:tc>
        <w:tc>
          <w:tcPr>
            <w:tcW w:w="2885" w:type="dxa"/>
            <w:vAlign w:val="center"/>
          </w:tcPr>
          <w:p>
            <w:pPr>
              <w:pStyle w:val="55"/>
              <w:rPr>
                <w:color w:val="000000" w:themeColor="text1"/>
              </w:rPr>
            </w:pPr>
            <w:r>
              <w:rPr>
                <w:color w:val="000000" w:themeColor="text1"/>
              </w:rPr>
              <w:t>处理去向</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pStyle w:val="55"/>
              <w:rPr>
                <w:color w:val="000000" w:themeColor="text1"/>
              </w:rPr>
            </w:pPr>
            <w:r>
              <w:rPr>
                <w:rFonts w:hint="eastAsia"/>
                <w:color w:val="000000" w:themeColor="text1"/>
              </w:rPr>
              <w:t>1</w:t>
            </w:r>
          </w:p>
        </w:tc>
        <w:tc>
          <w:tcPr>
            <w:tcW w:w="2127" w:type="dxa"/>
            <w:vAlign w:val="center"/>
          </w:tcPr>
          <w:p>
            <w:pPr>
              <w:pStyle w:val="55"/>
              <w:rPr>
                <w:color w:val="000000" w:themeColor="text1"/>
              </w:rPr>
            </w:pPr>
            <w:r>
              <w:rPr>
                <w:rFonts w:hint="eastAsia"/>
                <w:color w:val="000000" w:themeColor="text1"/>
              </w:rPr>
              <w:t>宰前关押</w:t>
            </w:r>
          </w:p>
        </w:tc>
        <w:tc>
          <w:tcPr>
            <w:tcW w:w="1701" w:type="dxa"/>
            <w:vAlign w:val="center"/>
          </w:tcPr>
          <w:p>
            <w:pPr>
              <w:pStyle w:val="55"/>
              <w:rPr>
                <w:color w:val="000000" w:themeColor="text1"/>
              </w:rPr>
            </w:pPr>
            <w:r>
              <w:rPr>
                <w:color w:val="000000" w:themeColor="text1"/>
              </w:rPr>
              <w:t>猪粪</w:t>
            </w:r>
          </w:p>
        </w:tc>
        <w:tc>
          <w:tcPr>
            <w:tcW w:w="1134" w:type="dxa"/>
            <w:vAlign w:val="center"/>
          </w:tcPr>
          <w:p>
            <w:pPr>
              <w:pStyle w:val="55"/>
              <w:rPr>
                <w:color w:val="000000" w:themeColor="text1"/>
              </w:rPr>
            </w:pPr>
            <w:r>
              <w:rPr>
                <w:rFonts w:hint="eastAsia"/>
                <w:color w:val="000000" w:themeColor="text1"/>
              </w:rPr>
              <w:t>20</w:t>
            </w:r>
          </w:p>
        </w:tc>
        <w:tc>
          <w:tcPr>
            <w:tcW w:w="2885" w:type="dxa"/>
            <w:vAlign w:val="center"/>
          </w:tcPr>
          <w:p>
            <w:pPr>
              <w:pStyle w:val="55"/>
              <w:rPr>
                <w:color w:val="000000" w:themeColor="text1"/>
              </w:rPr>
            </w:pPr>
            <w:r>
              <w:rPr>
                <w:color w:val="000000" w:themeColor="text1"/>
              </w:rPr>
              <w:t>外售用作果园</w:t>
            </w:r>
            <w:r>
              <w:rPr>
                <w:rFonts w:hint="eastAsia"/>
                <w:color w:val="000000" w:themeColor="text1"/>
              </w:rPr>
              <w:t>肥料</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pStyle w:val="55"/>
              <w:rPr>
                <w:color w:val="000000" w:themeColor="text1"/>
              </w:rPr>
            </w:pPr>
            <w:r>
              <w:rPr>
                <w:rFonts w:hint="eastAsia"/>
                <w:color w:val="000000" w:themeColor="text1"/>
              </w:rPr>
              <w:t>2</w:t>
            </w:r>
          </w:p>
        </w:tc>
        <w:tc>
          <w:tcPr>
            <w:tcW w:w="2127" w:type="dxa"/>
            <w:vAlign w:val="center"/>
          </w:tcPr>
          <w:p>
            <w:pPr>
              <w:pStyle w:val="55"/>
              <w:rPr>
                <w:color w:val="000000" w:themeColor="text1"/>
              </w:rPr>
            </w:pPr>
            <w:r>
              <w:rPr>
                <w:rFonts w:hint="eastAsia"/>
                <w:color w:val="000000" w:themeColor="text1"/>
              </w:rPr>
              <w:t>内脏处理工序</w:t>
            </w:r>
          </w:p>
        </w:tc>
        <w:tc>
          <w:tcPr>
            <w:tcW w:w="1701" w:type="dxa"/>
            <w:vAlign w:val="center"/>
          </w:tcPr>
          <w:p>
            <w:pPr>
              <w:pStyle w:val="55"/>
              <w:rPr>
                <w:color w:val="000000" w:themeColor="text1"/>
              </w:rPr>
            </w:pPr>
            <w:r>
              <w:rPr>
                <w:color w:val="000000" w:themeColor="text1"/>
              </w:rPr>
              <w:t>肠胃内容物</w:t>
            </w:r>
          </w:p>
        </w:tc>
        <w:tc>
          <w:tcPr>
            <w:tcW w:w="1134" w:type="dxa"/>
            <w:vAlign w:val="center"/>
          </w:tcPr>
          <w:p>
            <w:pPr>
              <w:pStyle w:val="55"/>
              <w:rPr>
                <w:color w:val="000000" w:themeColor="text1"/>
              </w:rPr>
            </w:pPr>
            <w:r>
              <w:rPr>
                <w:rFonts w:hint="eastAsia"/>
                <w:color w:val="000000" w:themeColor="text1"/>
              </w:rPr>
              <w:t>80</w:t>
            </w:r>
          </w:p>
        </w:tc>
        <w:tc>
          <w:tcPr>
            <w:tcW w:w="2885" w:type="dxa"/>
            <w:vAlign w:val="center"/>
          </w:tcPr>
          <w:p>
            <w:pPr>
              <w:pStyle w:val="55"/>
              <w:rPr>
                <w:color w:val="000000" w:themeColor="text1"/>
              </w:rPr>
            </w:pPr>
            <w:r>
              <w:rPr>
                <w:color w:val="000000" w:themeColor="text1"/>
              </w:rPr>
              <w:t>外售用作果园</w:t>
            </w:r>
            <w:r>
              <w:rPr>
                <w:rFonts w:hint="eastAsia"/>
                <w:color w:val="000000" w:themeColor="text1"/>
              </w:rPr>
              <w:t>肥料</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pStyle w:val="55"/>
              <w:rPr>
                <w:color w:val="000000" w:themeColor="text1"/>
              </w:rPr>
            </w:pPr>
            <w:r>
              <w:rPr>
                <w:rFonts w:hint="eastAsia"/>
                <w:color w:val="000000" w:themeColor="text1"/>
              </w:rPr>
              <w:t>3</w:t>
            </w:r>
          </w:p>
        </w:tc>
        <w:tc>
          <w:tcPr>
            <w:tcW w:w="2127" w:type="dxa"/>
            <w:vAlign w:val="center"/>
          </w:tcPr>
          <w:p>
            <w:pPr>
              <w:pStyle w:val="55"/>
              <w:rPr>
                <w:color w:val="000000" w:themeColor="text1"/>
              </w:rPr>
            </w:pPr>
            <w:r>
              <w:rPr>
                <w:rFonts w:hint="eastAsia"/>
                <w:color w:val="000000" w:themeColor="text1"/>
              </w:rPr>
              <w:t>刨毛、</w:t>
            </w:r>
            <w:r>
              <w:rPr>
                <w:color w:val="000000" w:themeColor="text1"/>
              </w:rPr>
              <w:t>修割等工序</w:t>
            </w:r>
          </w:p>
        </w:tc>
        <w:tc>
          <w:tcPr>
            <w:tcW w:w="1701" w:type="dxa"/>
            <w:vAlign w:val="center"/>
          </w:tcPr>
          <w:p>
            <w:pPr>
              <w:pStyle w:val="55"/>
              <w:rPr>
                <w:color w:val="000000" w:themeColor="text1"/>
              </w:rPr>
            </w:pPr>
            <w:r>
              <w:rPr>
                <w:color w:val="000000" w:themeColor="text1"/>
              </w:rPr>
              <w:t>猪皮毛等废弃物</w:t>
            </w:r>
          </w:p>
        </w:tc>
        <w:tc>
          <w:tcPr>
            <w:tcW w:w="1134" w:type="dxa"/>
            <w:vAlign w:val="center"/>
          </w:tcPr>
          <w:p>
            <w:pPr>
              <w:pStyle w:val="55"/>
              <w:rPr>
                <w:color w:val="000000" w:themeColor="text1"/>
              </w:rPr>
            </w:pPr>
            <w:r>
              <w:rPr>
                <w:rFonts w:hint="eastAsia"/>
                <w:color w:val="000000" w:themeColor="text1"/>
              </w:rPr>
              <w:t>10</w:t>
            </w:r>
          </w:p>
        </w:tc>
        <w:tc>
          <w:tcPr>
            <w:tcW w:w="2885" w:type="dxa"/>
            <w:vAlign w:val="center"/>
          </w:tcPr>
          <w:p>
            <w:pPr>
              <w:pStyle w:val="55"/>
              <w:rPr>
                <w:color w:val="000000" w:themeColor="text1"/>
              </w:rPr>
            </w:pPr>
            <w:r>
              <w:rPr>
                <w:color w:val="000000" w:themeColor="text1"/>
              </w:rPr>
              <w:t>外售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pStyle w:val="55"/>
              <w:rPr>
                <w:color w:val="000000" w:themeColor="text1"/>
              </w:rPr>
            </w:pPr>
            <w:r>
              <w:rPr>
                <w:rFonts w:hint="eastAsia"/>
                <w:color w:val="000000" w:themeColor="text1"/>
              </w:rPr>
              <w:t>4</w:t>
            </w:r>
          </w:p>
        </w:tc>
        <w:tc>
          <w:tcPr>
            <w:tcW w:w="2127" w:type="dxa"/>
            <w:vAlign w:val="center"/>
          </w:tcPr>
          <w:p>
            <w:pPr>
              <w:pStyle w:val="55"/>
              <w:rPr>
                <w:color w:val="000000" w:themeColor="text1"/>
              </w:rPr>
            </w:pPr>
            <w:r>
              <w:rPr>
                <w:rFonts w:hint="eastAsia"/>
                <w:color w:val="000000" w:themeColor="text1"/>
              </w:rPr>
              <w:t>宰前关押、检疫</w:t>
            </w:r>
          </w:p>
        </w:tc>
        <w:tc>
          <w:tcPr>
            <w:tcW w:w="1701" w:type="dxa"/>
            <w:vAlign w:val="center"/>
          </w:tcPr>
          <w:p>
            <w:pPr>
              <w:pStyle w:val="55"/>
              <w:rPr>
                <w:color w:val="000000" w:themeColor="text1"/>
              </w:rPr>
            </w:pPr>
            <w:r>
              <w:rPr>
                <w:color w:val="000000" w:themeColor="text1"/>
              </w:rPr>
              <w:t>病死猪</w:t>
            </w:r>
            <w:r>
              <w:rPr>
                <w:rFonts w:hint="eastAsia"/>
                <w:color w:val="000000" w:themeColor="text1"/>
              </w:rPr>
              <w:t>、</w:t>
            </w:r>
            <w:r>
              <w:rPr>
                <w:color w:val="000000" w:themeColor="text1"/>
              </w:rPr>
              <w:t>不合格产品</w:t>
            </w:r>
          </w:p>
        </w:tc>
        <w:tc>
          <w:tcPr>
            <w:tcW w:w="1134" w:type="dxa"/>
            <w:vAlign w:val="center"/>
          </w:tcPr>
          <w:p>
            <w:pPr>
              <w:pStyle w:val="55"/>
              <w:rPr>
                <w:color w:val="000000" w:themeColor="text1"/>
              </w:rPr>
            </w:pPr>
            <w:r>
              <w:rPr>
                <w:rFonts w:hint="eastAsia"/>
                <w:color w:val="000000" w:themeColor="text1"/>
              </w:rPr>
              <w:t>12.34</w:t>
            </w:r>
          </w:p>
        </w:tc>
        <w:tc>
          <w:tcPr>
            <w:tcW w:w="2885" w:type="dxa"/>
            <w:vAlign w:val="center"/>
          </w:tcPr>
          <w:p>
            <w:pPr>
              <w:pStyle w:val="55"/>
              <w:rPr>
                <w:color w:val="000000" w:themeColor="text1"/>
              </w:rPr>
            </w:pPr>
            <w:r>
              <w:rPr>
                <w:color w:val="000000" w:themeColor="text1"/>
              </w:rPr>
              <w:t>利用焚烧炉进行无害化处置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pStyle w:val="55"/>
              <w:rPr>
                <w:color w:val="000000" w:themeColor="text1"/>
              </w:rPr>
            </w:pPr>
            <w:r>
              <w:rPr>
                <w:rFonts w:hint="eastAsia"/>
                <w:color w:val="000000" w:themeColor="text1"/>
              </w:rPr>
              <w:t>5</w:t>
            </w:r>
          </w:p>
        </w:tc>
        <w:tc>
          <w:tcPr>
            <w:tcW w:w="2127" w:type="dxa"/>
            <w:vAlign w:val="center"/>
          </w:tcPr>
          <w:p>
            <w:pPr>
              <w:pStyle w:val="55"/>
              <w:rPr>
                <w:color w:val="000000" w:themeColor="text1"/>
              </w:rPr>
            </w:pPr>
            <w:r>
              <w:rPr>
                <w:rFonts w:hint="eastAsia"/>
                <w:color w:val="000000" w:themeColor="text1"/>
              </w:rPr>
              <w:t>锅炉运行</w:t>
            </w:r>
          </w:p>
        </w:tc>
        <w:tc>
          <w:tcPr>
            <w:tcW w:w="1701" w:type="dxa"/>
            <w:vAlign w:val="center"/>
          </w:tcPr>
          <w:p>
            <w:pPr>
              <w:pStyle w:val="55"/>
              <w:rPr>
                <w:color w:val="000000" w:themeColor="text1"/>
              </w:rPr>
            </w:pPr>
            <w:r>
              <w:rPr>
                <w:color w:val="000000" w:themeColor="text1"/>
              </w:rPr>
              <w:t>煤渣</w:t>
            </w:r>
          </w:p>
        </w:tc>
        <w:tc>
          <w:tcPr>
            <w:tcW w:w="1134" w:type="dxa"/>
            <w:vAlign w:val="center"/>
          </w:tcPr>
          <w:p>
            <w:pPr>
              <w:pStyle w:val="55"/>
              <w:rPr>
                <w:color w:val="000000" w:themeColor="text1"/>
              </w:rPr>
            </w:pPr>
            <w:r>
              <w:rPr>
                <w:rFonts w:hint="eastAsia"/>
                <w:color w:val="000000" w:themeColor="text1"/>
              </w:rPr>
              <w:t>5.28</w:t>
            </w:r>
          </w:p>
        </w:tc>
        <w:tc>
          <w:tcPr>
            <w:tcW w:w="2885" w:type="dxa"/>
            <w:vAlign w:val="center"/>
          </w:tcPr>
          <w:p>
            <w:pPr>
              <w:pStyle w:val="55"/>
              <w:rPr>
                <w:color w:val="000000" w:themeColor="text1"/>
              </w:rPr>
            </w:pPr>
            <w:r>
              <w:rPr>
                <w:color w:val="000000" w:themeColor="text1"/>
              </w:rPr>
              <w:t>用作铺路原料</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pStyle w:val="55"/>
              <w:rPr>
                <w:color w:val="000000" w:themeColor="text1"/>
              </w:rPr>
            </w:pPr>
            <w:r>
              <w:rPr>
                <w:rFonts w:hint="eastAsia"/>
                <w:color w:val="000000" w:themeColor="text1"/>
              </w:rPr>
              <w:t>6</w:t>
            </w:r>
          </w:p>
        </w:tc>
        <w:tc>
          <w:tcPr>
            <w:tcW w:w="2127" w:type="dxa"/>
            <w:vAlign w:val="center"/>
          </w:tcPr>
          <w:p>
            <w:pPr>
              <w:pStyle w:val="55"/>
              <w:rPr>
                <w:color w:val="000000" w:themeColor="text1"/>
              </w:rPr>
            </w:pPr>
            <w:r>
              <w:rPr>
                <w:rFonts w:hint="eastAsia"/>
                <w:color w:val="000000" w:themeColor="text1"/>
              </w:rPr>
              <w:t>焚烧炉运行</w:t>
            </w:r>
          </w:p>
        </w:tc>
        <w:tc>
          <w:tcPr>
            <w:tcW w:w="1701" w:type="dxa"/>
            <w:vAlign w:val="center"/>
          </w:tcPr>
          <w:p>
            <w:pPr>
              <w:pStyle w:val="55"/>
              <w:rPr>
                <w:color w:val="000000" w:themeColor="text1"/>
              </w:rPr>
            </w:pPr>
            <w:r>
              <w:rPr>
                <w:rFonts w:hint="eastAsia"/>
                <w:color w:val="000000" w:themeColor="text1"/>
              </w:rPr>
              <w:t>残</w:t>
            </w:r>
            <w:r>
              <w:rPr>
                <w:color w:val="000000" w:themeColor="text1"/>
              </w:rPr>
              <w:t>渣</w:t>
            </w:r>
          </w:p>
        </w:tc>
        <w:tc>
          <w:tcPr>
            <w:tcW w:w="1134" w:type="dxa"/>
            <w:vAlign w:val="center"/>
          </w:tcPr>
          <w:p>
            <w:pPr>
              <w:pStyle w:val="55"/>
              <w:rPr>
                <w:color w:val="000000" w:themeColor="text1"/>
              </w:rPr>
            </w:pPr>
            <w:r>
              <w:rPr>
                <w:rFonts w:hint="eastAsia"/>
                <w:color w:val="000000" w:themeColor="text1"/>
              </w:rPr>
              <w:t>0.37</w:t>
            </w:r>
          </w:p>
        </w:tc>
        <w:tc>
          <w:tcPr>
            <w:tcW w:w="2885" w:type="dxa"/>
            <w:vAlign w:val="center"/>
          </w:tcPr>
          <w:p>
            <w:pPr>
              <w:pStyle w:val="55"/>
              <w:rPr>
                <w:color w:val="000000" w:themeColor="text1"/>
              </w:rPr>
            </w:pPr>
            <w:r>
              <w:rPr>
                <w:color w:val="000000" w:themeColor="text1"/>
              </w:rPr>
              <w:t>清运至砚山县垃圾填埋场填埋处置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pStyle w:val="55"/>
              <w:rPr>
                <w:color w:val="000000" w:themeColor="text1"/>
              </w:rPr>
            </w:pPr>
            <w:r>
              <w:rPr>
                <w:rFonts w:hint="eastAsia"/>
                <w:color w:val="000000" w:themeColor="text1"/>
              </w:rPr>
              <w:t>7</w:t>
            </w:r>
          </w:p>
        </w:tc>
        <w:tc>
          <w:tcPr>
            <w:tcW w:w="2127" w:type="dxa"/>
            <w:vAlign w:val="center"/>
          </w:tcPr>
          <w:p>
            <w:pPr>
              <w:pStyle w:val="55"/>
              <w:rPr>
                <w:color w:val="000000" w:themeColor="text1"/>
              </w:rPr>
            </w:pPr>
            <w:r>
              <w:rPr>
                <w:rFonts w:hint="eastAsia"/>
                <w:color w:val="000000" w:themeColor="text1"/>
              </w:rPr>
              <w:t>员工工作、生活</w:t>
            </w:r>
          </w:p>
        </w:tc>
        <w:tc>
          <w:tcPr>
            <w:tcW w:w="1701" w:type="dxa"/>
            <w:vAlign w:val="center"/>
          </w:tcPr>
          <w:p>
            <w:pPr>
              <w:pStyle w:val="55"/>
              <w:rPr>
                <w:color w:val="000000" w:themeColor="text1"/>
              </w:rPr>
            </w:pPr>
            <w:r>
              <w:rPr>
                <w:rFonts w:hint="eastAsia"/>
                <w:color w:val="000000" w:themeColor="text1"/>
              </w:rPr>
              <w:t>生活</w:t>
            </w:r>
            <w:r>
              <w:rPr>
                <w:color w:val="000000" w:themeColor="text1"/>
              </w:rPr>
              <w:t>垃圾</w:t>
            </w:r>
          </w:p>
        </w:tc>
        <w:tc>
          <w:tcPr>
            <w:tcW w:w="1134" w:type="dxa"/>
            <w:vAlign w:val="center"/>
          </w:tcPr>
          <w:p>
            <w:pPr>
              <w:pStyle w:val="55"/>
              <w:rPr>
                <w:color w:val="000000" w:themeColor="text1"/>
              </w:rPr>
            </w:pPr>
            <w:r>
              <w:rPr>
                <w:rFonts w:hint="eastAsia"/>
                <w:color w:val="000000" w:themeColor="text1"/>
              </w:rPr>
              <w:t>1.5</w:t>
            </w:r>
          </w:p>
        </w:tc>
        <w:tc>
          <w:tcPr>
            <w:tcW w:w="2885" w:type="dxa"/>
            <w:vAlign w:val="center"/>
          </w:tcPr>
          <w:p>
            <w:pPr>
              <w:pStyle w:val="55"/>
              <w:rPr>
                <w:color w:val="000000" w:themeColor="text1"/>
              </w:rPr>
            </w:pPr>
            <w:r>
              <w:rPr>
                <w:color w:val="000000" w:themeColor="text1"/>
              </w:rPr>
              <w:t>由环卫部门统一清运处理</w:t>
            </w:r>
          </w:p>
        </w:tc>
      </w:tr>
    </w:tbl>
    <w:p>
      <w:pPr>
        <w:ind w:firstLine="480"/>
        <w:rPr>
          <w:color w:val="000000" w:themeColor="text1"/>
        </w:rPr>
      </w:pPr>
      <w:r>
        <w:rPr>
          <w:rFonts w:hint="eastAsia"/>
          <w:color w:val="000000" w:themeColor="text1"/>
        </w:rPr>
        <w:t>目前企业固体废物均得到了妥善处置，不外排。</w:t>
      </w:r>
    </w:p>
    <w:p>
      <w:pPr>
        <w:pStyle w:val="38"/>
        <w:ind w:firstLine="281"/>
        <w:rPr>
          <w:color w:val="000000" w:themeColor="text1"/>
        </w:rPr>
      </w:pPr>
      <w:bookmarkStart w:id="29" w:name="_Toc47375792"/>
      <w:r>
        <w:rPr>
          <w:rFonts w:hint="eastAsia"/>
          <w:color w:val="000000" w:themeColor="text1"/>
        </w:rPr>
        <w:t>2.1.6现有项目主要环境问题</w:t>
      </w:r>
      <w:bookmarkEnd w:id="29"/>
    </w:p>
    <w:p>
      <w:pPr>
        <w:ind w:firstLine="480"/>
        <w:rPr>
          <w:color w:val="000000" w:themeColor="text1"/>
        </w:rPr>
      </w:pPr>
      <w:r>
        <w:rPr>
          <w:rFonts w:hint="eastAsia"/>
          <w:color w:val="000000" w:themeColor="text1"/>
        </w:rPr>
        <w:t>1、本项目目前恶臭属于无组织排放。</w:t>
      </w:r>
    </w:p>
    <w:p>
      <w:pPr>
        <w:ind w:firstLine="480"/>
        <w:rPr>
          <w:color w:val="000000" w:themeColor="text1"/>
        </w:rPr>
      </w:pPr>
      <w:r>
        <w:rPr>
          <w:rFonts w:hint="eastAsia"/>
          <w:color w:val="000000" w:themeColor="text1"/>
        </w:rPr>
        <w:t>2、本项目目前未设置污水处理站，污水只经过隔油池、化粪池处理后就排入城镇污水管网，由于污水浓度较高，仅靠隔油及化粪池处理不能达到</w:t>
      </w:r>
      <w:r>
        <w:rPr>
          <w:rFonts w:hint="eastAsia"/>
          <w:bCs/>
          <w:color w:val="000000" w:themeColor="text1"/>
          <w:kern w:val="0"/>
          <w:szCs w:val="24"/>
        </w:rPr>
        <w:t>《肉类加工工业水污染物排放标准》（GB 13457-92）中的三级标准，这将加重终端砚山县污水处理厂的运行负荷</w:t>
      </w:r>
      <w:r>
        <w:rPr>
          <w:rFonts w:hint="eastAsia"/>
          <w:color w:val="000000" w:themeColor="text1"/>
        </w:rPr>
        <w:t>。</w:t>
      </w:r>
    </w:p>
    <w:p>
      <w:pPr>
        <w:ind w:firstLine="480"/>
        <w:rPr>
          <w:color w:val="000000" w:themeColor="text1"/>
        </w:rPr>
      </w:pPr>
      <w:r>
        <w:rPr>
          <w:rFonts w:hint="eastAsia"/>
          <w:color w:val="000000" w:themeColor="text1"/>
        </w:rPr>
        <w:t>3、</w:t>
      </w:r>
      <w:bookmarkStart w:id="30" w:name="_Hlk17122122"/>
      <w:r>
        <w:rPr>
          <w:rFonts w:hint="eastAsia"/>
          <w:color w:val="000000" w:themeColor="text1"/>
        </w:rPr>
        <w:t>目前项目生产自动化较差，污染治理设施欠缺，污染散乱不好治理，污染物排放量较高。</w:t>
      </w:r>
      <w:bookmarkEnd w:id="30"/>
    </w:p>
    <w:p>
      <w:pPr>
        <w:pStyle w:val="38"/>
        <w:ind w:firstLine="281"/>
        <w:rPr>
          <w:color w:val="000000" w:themeColor="text1"/>
        </w:rPr>
      </w:pPr>
      <w:bookmarkStart w:id="31" w:name="_Toc47375793"/>
      <w:r>
        <w:rPr>
          <w:rFonts w:hint="eastAsia"/>
          <w:color w:val="000000" w:themeColor="text1"/>
        </w:rPr>
        <w:t>2.1.7搬迁计划</w:t>
      </w:r>
      <w:bookmarkEnd w:id="31"/>
    </w:p>
    <w:p>
      <w:pPr>
        <w:ind w:firstLine="480"/>
        <w:rPr>
          <w:color w:val="000000" w:themeColor="text1"/>
        </w:rPr>
      </w:pPr>
      <w:r>
        <w:rPr>
          <w:rFonts w:hint="eastAsia"/>
          <w:color w:val="000000" w:themeColor="text1"/>
        </w:rPr>
        <w:t>本项目搬迁后，老厂区设备淘汰，全部购置新的生产设备，新厂区预计2020年9月份开工建设，2021年3月份投产，新厂区投产时老厂区将全部停产，土地交给当地政府另行他用。</w:t>
      </w:r>
    </w:p>
    <w:p>
      <w:pPr>
        <w:pStyle w:val="3"/>
        <w:rPr>
          <w:color w:val="000000" w:themeColor="text1"/>
        </w:rPr>
      </w:pPr>
      <w:bookmarkStart w:id="32" w:name="_Toc47375794"/>
      <w:r>
        <w:rPr>
          <w:rFonts w:hint="eastAsia"/>
          <w:color w:val="000000" w:themeColor="text1"/>
        </w:rPr>
        <w:t>2.2新建项目工程分析</w:t>
      </w:r>
      <w:bookmarkEnd w:id="32"/>
    </w:p>
    <w:p>
      <w:pPr>
        <w:pStyle w:val="38"/>
        <w:ind w:firstLine="281"/>
        <w:rPr>
          <w:color w:val="000000" w:themeColor="text1"/>
        </w:rPr>
      </w:pPr>
      <w:bookmarkStart w:id="33" w:name="_Toc47375795"/>
      <w:r>
        <w:rPr>
          <w:rFonts w:hint="eastAsia"/>
          <w:color w:val="000000" w:themeColor="text1"/>
        </w:rPr>
        <w:t>2.2.1项目基本情况</w:t>
      </w:r>
      <w:bookmarkEnd w:id="33"/>
    </w:p>
    <w:p>
      <w:pPr>
        <w:ind w:firstLine="480"/>
        <w:rPr>
          <w:color w:val="000000" w:themeColor="text1"/>
        </w:rPr>
      </w:pPr>
      <w:r>
        <w:rPr>
          <w:rFonts w:hint="eastAsia"/>
          <w:color w:val="000000" w:themeColor="text1"/>
        </w:rPr>
        <w:t>项目名称：砚山县康乐生猪屠宰场搬迁项目</w:t>
      </w:r>
    </w:p>
    <w:p>
      <w:pPr>
        <w:ind w:firstLine="480"/>
        <w:rPr>
          <w:color w:val="000000" w:themeColor="text1"/>
        </w:rPr>
      </w:pPr>
      <w:r>
        <w:rPr>
          <w:rFonts w:hint="eastAsia"/>
          <w:color w:val="000000" w:themeColor="text1"/>
        </w:rPr>
        <w:t>建设地点：拟建项目</w:t>
      </w:r>
      <w:r>
        <w:rPr>
          <w:rStyle w:val="52"/>
          <w:rFonts w:hint="eastAsia"/>
          <w:b w:val="0"/>
          <w:bCs w:val="0"/>
          <w:i w:val="0"/>
          <w:iCs w:val="0"/>
          <w:color w:val="000000" w:themeColor="text1"/>
          <w:szCs w:val="24"/>
        </w:rPr>
        <w:t>选址于砚山县干河乡小龙白村西北侧500m处，县道永红公路西侧空地</w:t>
      </w:r>
      <w:r>
        <w:rPr>
          <w:rFonts w:hint="eastAsia"/>
          <w:color w:val="000000" w:themeColor="text1"/>
        </w:rPr>
        <w:t>。</w:t>
      </w:r>
    </w:p>
    <w:p>
      <w:pPr>
        <w:ind w:firstLine="480"/>
        <w:rPr>
          <w:color w:val="000000" w:themeColor="text1"/>
        </w:rPr>
      </w:pPr>
      <w:r>
        <w:rPr>
          <w:rFonts w:hint="eastAsia"/>
          <w:color w:val="000000" w:themeColor="text1"/>
        </w:rPr>
        <w:t>建设性质：新建（异地搬迁）</w:t>
      </w:r>
    </w:p>
    <w:p>
      <w:pPr>
        <w:ind w:firstLine="480"/>
        <w:rPr>
          <w:color w:val="000000" w:themeColor="text1"/>
        </w:rPr>
      </w:pPr>
      <w:r>
        <w:rPr>
          <w:rFonts w:hint="eastAsia"/>
          <w:color w:val="000000" w:themeColor="text1"/>
        </w:rPr>
        <w:t>占地面积：9613.84m</w:t>
      </w:r>
      <w:r>
        <w:rPr>
          <w:rFonts w:hint="eastAsia"/>
          <w:color w:val="000000" w:themeColor="text1"/>
          <w:vertAlign w:val="superscript"/>
        </w:rPr>
        <w:t>2</w:t>
      </w:r>
      <w:r>
        <w:rPr>
          <w:rFonts w:hint="eastAsia"/>
          <w:color w:val="000000" w:themeColor="text1"/>
        </w:rPr>
        <w:t>(14.42亩)</w:t>
      </w:r>
    </w:p>
    <w:p>
      <w:pPr>
        <w:ind w:firstLine="480"/>
        <w:rPr>
          <w:color w:val="000000" w:themeColor="text1"/>
        </w:rPr>
      </w:pPr>
      <w:r>
        <w:rPr>
          <w:rFonts w:hint="eastAsia"/>
          <w:color w:val="000000" w:themeColor="text1"/>
        </w:rPr>
        <w:t>建设规模：建设一条生猪屠宰线，一条家禽屠宰线。</w:t>
      </w:r>
      <w:r>
        <w:rPr>
          <w:rStyle w:val="52"/>
          <w:rFonts w:hint="eastAsia"/>
          <w:b w:val="0"/>
          <w:bCs w:val="0"/>
          <w:i w:val="0"/>
          <w:iCs w:val="0"/>
          <w:color w:val="000000" w:themeColor="text1"/>
          <w:szCs w:val="24"/>
        </w:rPr>
        <w:t>年屠宰生猪15万头，年屠宰生鸡80万只</w:t>
      </w:r>
      <w:r>
        <w:rPr>
          <w:rFonts w:hint="eastAsia"/>
          <w:color w:val="000000" w:themeColor="text1"/>
        </w:rPr>
        <w:t>。</w:t>
      </w:r>
    </w:p>
    <w:p>
      <w:pPr>
        <w:ind w:firstLine="480"/>
        <w:rPr>
          <w:color w:val="000000" w:themeColor="text1"/>
        </w:rPr>
      </w:pPr>
      <w:r>
        <w:rPr>
          <w:rFonts w:hint="eastAsia"/>
          <w:color w:val="000000" w:themeColor="text1"/>
        </w:rPr>
        <w:t>总投资：2000万元</w:t>
      </w:r>
    </w:p>
    <w:p>
      <w:pPr>
        <w:ind w:firstLine="480"/>
        <w:rPr>
          <w:color w:val="000000" w:themeColor="text1"/>
        </w:rPr>
      </w:pPr>
      <w:r>
        <w:rPr>
          <w:rFonts w:hint="eastAsia"/>
          <w:color w:val="000000" w:themeColor="text1"/>
        </w:rPr>
        <w:t>实施进度：计划于2020年8月开工建设，2021年6月底竣工验收。</w:t>
      </w:r>
    </w:p>
    <w:p>
      <w:pPr>
        <w:ind w:firstLine="480"/>
        <w:rPr>
          <w:color w:val="000000" w:themeColor="text1"/>
        </w:rPr>
      </w:pPr>
      <w:r>
        <w:rPr>
          <w:rFonts w:hint="eastAsia"/>
          <w:color w:val="000000" w:themeColor="text1"/>
        </w:rPr>
        <w:t>劳动定员及工作制度：定员20人，每年工作364天，双班制，每班工作8小时。</w:t>
      </w:r>
    </w:p>
    <w:p>
      <w:pPr>
        <w:pStyle w:val="38"/>
        <w:ind w:firstLine="281"/>
        <w:rPr>
          <w:color w:val="000000" w:themeColor="text1"/>
        </w:rPr>
      </w:pPr>
      <w:bookmarkStart w:id="34" w:name="_Toc47375796"/>
      <w:r>
        <w:rPr>
          <w:rFonts w:hint="eastAsia"/>
          <w:color w:val="000000" w:themeColor="text1"/>
        </w:rPr>
        <w:t>2.2.2项目组成情况</w:t>
      </w:r>
      <w:bookmarkEnd w:id="34"/>
    </w:p>
    <w:p>
      <w:pPr>
        <w:ind w:firstLine="480"/>
        <w:rPr>
          <w:color w:val="000000" w:themeColor="text1"/>
        </w:rPr>
      </w:pPr>
      <w:r>
        <w:rPr>
          <w:rFonts w:hint="eastAsia"/>
          <w:color w:val="000000" w:themeColor="text1"/>
        </w:rPr>
        <w:t>本项目总占地面积为9613.84m</w:t>
      </w:r>
      <w:r>
        <w:rPr>
          <w:rFonts w:hint="eastAsia"/>
          <w:color w:val="000000" w:themeColor="text1"/>
          <w:vertAlign w:val="superscript"/>
        </w:rPr>
        <w:t>2</w:t>
      </w:r>
      <w:r>
        <w:rPr>
          <w:rFonts w:hint="eastAsia"/>
          <w:color w:val="000000" w:themeColor="text1"/>
        </w:rPr>
        <w:t>(14.42亩)，总建筑面积4115.29 m</w:t>
      </w:r>
      <w:r>
        <w:rPr>
          <w:rFonts w:hint="eastAsia"/>
          <w:color w:val="000000" w:themeColor="text1"/>
          <w:vertAlign w:val="superscript"/>
        </w:rPr>
        <w:t>2</w:t>
      </w:r>
      <w:r>
        <w:rPr>
          <w:rFonts w:hint="eastAsia"/>
          <w:color w:val="000000" w:themeColor="text1"/>
        </w:rPr>
        <w:t>。项目组成情况见表2.2.2-1。</w:t>
      </w:r>
    </w:p>
    <w:p>
      <w:pPr>
        <w:pStyle w:val="54"/>
        <w:rPr>
          <w:color w:val="000000" w:themeColor="text1"/>
        </w:rPr>
      </w:pPr>
      <w:r>
        <w:rPr>
          <w:color w:val="000000" w:themeColor="text1"/>
        </w:rPr>
        <w:t>表</w:t>
      </w:r>
      <w:r>
        <w:rPr>
          <w:rFonts w:hint="eastAsia"/>
          <w:color w:val="000000" w:themeColor="text1"/>
        </w:rPr>
        <w:t>2.2.2-1  拟建项目工程组成一览表</w:t>
      </w:r>
    </w:p>
    <w:tbl>
      <w:tblPr>
        <w:tblStyle w:val="42"/>
        <w:tblW w:w="93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108"/>
        <w:gridCol w:w="6528"/>
        <w:gridCol w:w="1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blHeader/>
          <w:jc w:val="center"/>
        </w:trPr>
        <w:tc>
          <w:tcPr>
            <w:tcW w:w="1772" w:type="dxa"/>
            <w:gridSpan w:val="2"/>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工程项目</w:t>
            </w:r>
          </w:p>
        </w:tc>
        <w:tc>
          <w:tcPr>
            <w:tcW w:w="652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建设内容</w:t>
            </w:r>
          </w:p>
        </w:tc>
        <w:tc>
          <w:tcPr>
            <w:tcW w:w="1076"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blHeader/>
          <w:jc w:val="center"/>
        </w:trPr>
        <w:tc>
          <w:tcPr>
            <w:tcW w:w="664" w:type="dxa"/>
            <w:vMerge w:val="restart"/>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主体工程</w:t>
            </w:r>
          </w:p>
        </w:tc>
        <w:tc>
          <w:tcPr>
            <w:tcW w:w="110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生猪屠宰车间</w:t>
            </w:r>
          </w:p>
        </w:tc>
        <w:tc>
          <w:tcPr>
            <w:tcW w:w="652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hint="eastAsia" w:cs="Times New Roman"/>
                <w:color w:val="000000" w:themeColor="text1"/>
              </w:rPr>
              <w:t>拟建于</w:t>
            </w:r>
            <w:r>
              <w:rPr>
                <w:rFonts w:cs="Times New Roman"/>
                <w:color w:val="000000" w:themeColor="text1"/>
              </w:rPr>
              <w:t>场区南侧中部，布置机械屠宰生产线</w:t>
            </w:r>
            <w:r>
              <w:rPr>
                <w:rFonts w:hint="eastAsia" w:cs="Times New Roman"/>
                <w:color w:val="000000" w:themeColor="text1"/>
              </w:rPr>
              <w:t>1</w:t>
            </w:r>
            <w:r>
              <w:rPr>
                <w:rFonts w:cs="Times New Roman"/>
                <w:color w:val="000000" w:themeColor="text1"/>
              </w:rPr>
              <w:t>条，年屠宰量15万头，占地面积1197.3m</w:t>
            </w:r>
            <w:r>
              <w:rPr>
                <w:rFonts w:cs="Times New Roman"/>
                <w:color w:val="000000" w:themeColor="text1"/>
                <w:vertAlign w:val="superscript"/>
              </w:rPr>
              <w:t>2</w:t>
            </w:r>
            <w:r>
              <w:rPr>
                <w:rFonts w:cs="Times New Roman"/>
                <w:color w:val="000000" w:themeColor="text1"/>
              </w:rPr>
              <w:t>。</w:t>
            </w:r>
            <w:r>
              <w:rPr>
                <w:rFonts w:hint="eastAsia" w:ascii="宋体" w:hAnsi="宋体" w:cs="宋体"/>
                <w:color w:val="000000" w:themeColor="text1"/>
              </w:rPr>
              <w:t>包括自动赶猪道、电击台、放血间、烫脱毛间、剥皮间、白脏加工间、红脏加工间、头蹄尾加工间、板油猪腰整理间、血加工间及副产品冻结库、</w:t>
            </w:r>
            <w:r>
              <w:rPr>
                <w:rFonts w:hint="eastAsia" w:ascii="宋体" w:hAnsi="宋体" w:cs="宋体"/>
                <w:color w:val="000000" w:themeColor="text1"/>
                <w:szCs w:val="21"/>
              </w:rPr>
              <w:t>分割线</w:t>
            </w:r>
            <w:r>
              <w:rPr>
                <w:rFonts w:hint="eastAsia" w:ascii="宋体" w:hAnsi="宋体" w:cs="宋体"/>
                <w:color w:val="000000" w:themeColor="text1"/>
              </w:rPr>
              <w:t>。</w:t>
            </w:r>
            <w:r>
              <w:rPr>
                <w:rFonts w:hint="eastAsia" w:ascii="宋体" w:hAnsi="宋体" w:cs="宋体"/>
                <w:color w:val="000000" w:themeColor="text1"/>
                <w:szCs w:val="21"/>
              </w:rPr>
              <w:t>生猪在该车间内完成宰杀分割作业。</w:t>
            </w:r>
          </w:p>
        </w:tc>
        <w:tc>
          <w:tcPr>
            <w:tcW w:w="1076"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blHeader/>
          <w:jc w:val="center"/>
        </w:trPr>
        <w:tc>
          <w:tcPr>
            <w:tcW w:w="664" w:type="dxa"/>
            <w:vMerge w:val="continue"/>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p>
        </w:tc>
        <w:tc>
          <w:tcPr>
            <w:tcW w:w="110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生猪待宰车间</w:t>
            </w:r>
          </w:p>
        </w:tc>
        <w:tc>
          <w:tcPr>
            <w:tcW w:w="652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hint="eastAsia" w:cs="Times New Roman"/>
                <w:color w:val="000000" w:themeColor="text1"/>
              </w:rPr>
              <w:t>拟建于</w:t>
            </w:r>
            <w:r>
              <w:rPr>
                <w:rFonts w:cs="Times New Roman"/>
                <w:color w:val="000000" w:themeColor="text1"/>
              </w:rPr>
              <w:t>场区南侧西部，紧邻生猪屠宰车间、位于生猪屠宰车间的西侧，占地面积769.99m</w:t>
            </w:r>
            <w:r>
              <w:rPr>
                <w:rFonts w:cs="Times New Roman"/>
                <w:color w:val="000000" w:themeColor="text1"/>
                <w:vertAlign w:val="superscript"/>
              </w:rPr>
              <w:t>2</w:t>
            </w:r>
            <w:r>
              <w:rPr>
                <w:rFonts w:cs="Times New Roman"/>
                <w:color w:val="000000" w:themeColor="text1"/>
              </w:rPr>
              <w:t>，主要用于对生猪的临时圈养。</w:t>
            </w:r>
          </w:p>
        </w:tc>
        <w:tc>
          <w:tcPr>
            <w:tcW w:w="1076"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blHeader/>
          <w:jc w:val="center"/>
        </w:trPr>
        <w:tc>
          <w:tcPr>
            <w:tcW w:w="664" w:type="dxa"/>
            <w:vMerge w:val="continue"/>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p>
        </w:tc>
        <w:tc>
          <w:tcPr>
            <w:tcW w:w="110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宰鸡场</w:t>
            </w:r>
          </w:p>
        </w:tc>
        <w:tc>
          <w:tcPr>
            <w:tcW w:w="652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hint="eastAsia" w:cs="Times New Roman"/>
                <w:color w:val="000000" w:themeColor="text1"/>
              </w:rPr>
              <w:t>拟建</w:t>
            </w:r>
            <w:r>
              <w:rPr>
                <w:rFonts w:cs="Times New Roman"/>
                <w:color w:val="000000" w:themeColor="text1"/>
              </w:rPr>
              <w:t>于场区东北角，布置机械宰鸡生产线1条，年屠宰量80万只，占地面积165m</w:t>
            </w:r>
            <w:r>
              <w:rPr>
                <w:rFonts w:cs="Times New Roman"/>
                <w:color w:val="000000" w:themeColor="text1"/>
                <w:vertAlign w:val="superscript"/>
              </w:rPr>
              <w:t>2</w:t>
            </w:r>
            <w:r>
              <w:rPr>
                <w:rFonts w:cs="Times New Roman"/>
                <w:color w:val="000000" w:themeColor="text1"/>
              </w:rPr>
              <w:t>。</w:t>
            </w:r>
          </w:p>
        </w:tc>
        <w:tc>
          <w:tcPr>
            <w:tcW w:w="1076"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blHeader/>
          <w:jc w:val="center"/>
        </w:trPr>
        <w:tc>
          <w:tcPr>
            <w:tcW w:w="664" w:type="dxa"/>
            <w:vMerge w:val="continue"/>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p>
        </w:tc>
        <w:tc>
          <w:tcPr>
            <w:tcW w:w="110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生鸡待宰圈</w:t>
            </w:r>
          </w:p>
        </w:tc>
        <w:tc>
          <w:tcPr>
            <w:tcW w:w="652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紧邻宰鸡场、</w:t>
            </w:r>
            <w:r>
              <w:rPr>
                <w:rFonts w:hint="eastAsia" w:cs="Times New Roman"/>
                <w:color w:val="000000" w:themeColor="text1"/>
              </w:rPr>
              <w:t>拟建</w:t>
            </w:r>
            <w:r>
              <w:rPr>
                <w:rFonts w:cs="Times New Roman"/>
                <w:color w:val="000000" w:themeColor="text1"/>
              </w:rPr>
              <w:t>于宰鸡场南侧，占地面积112m</w:t>
            </w:r>
            <w:r>
              <w:rPr>
                <w:rFonts w:cs="Times New Roman"/>
                <w:color w:val="000000" w:themeColor="text1"/>
                <w:vertAlign w:val="superscript"/>
              </w:rPr>
              <w:t>2</w:t>
            </w:r>
            <w:r>
              <w:rPr>
                <w:rFonts w:cs="Times New Roman"/>
                <w:color w:val="000000" w:themeColor="text1"/>
              </w:rPr>
              <w:t>，主要用于对生鸡的临时圈养。</w:t>
            </w:r>
          </w:p>
        </w:tc>
        <w:tc>
          <w:tcPr>
            <w:tcW w:w="1076"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blHeader/>
          <w:jc w:val="center"/>
        </w:trPr>
        <w:tc>
          <w:tcPr>
            <w:tcW w:w="664" w:type="dxa"/>
            <w:vMerge w:val="continue"/>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p>
        </w:tc>
        <w:tc>
          <w:tcPr>
            <w:tcW w:w="110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锅炉房</w:t>
            </w:r>
          </w:p>
        </w:tc>
        <w:tc>
          <w:tcPr>
            <w:tcW w:w="652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项目拟建设一个锅炉房，设置一台0.25t/h的生物质蒸汽锅炉，锅炉仅在冬季或天气恶劣时为项目生产供热。</w:t>
            </w:r>
          </w:p>
        </w:tc>
        <w:tc>
          <w:tcPr>
            <w:tcW w:w="1076"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blHeader/>
          <w:jc w:val="center"/>
        </w:trPr>
        <w:tc>
          <w:tcPr>
            <w:tcW w:w="664" w:type="dxa"/>
            <w:vMerge w:val="continue"/>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p>
        </w:tc>
        <w:tc>
          <w:tcPr>
            <w:tcW w:w="110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冷库</w:t>
            </w:r>
          </w:p>
        </w:tc>
        <w:tc>
          <w:tcPr>
            <w:tcW w:w="652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项目拟建设一个冷库，</w:t>
            </w:r>
            <w:r>
              <w:rPr>
                <w:rFonts w:hint="eastAsia" w:cs="Times New Roman"/>
                <w:color w:val="000000" w:themeColor="text1"/>
              </w:rPr>
              <w:t>长16m，宽10m，</w:t>
            </w:r>
            <w:r>
              <w:rPr>
                <w:rFonts w:cs="Times New Roman"/>
                <w:color w:val="000000" w:themeColor="text1"/>
                <w:szCs w:val="21"/>
              </w:rPr>
              <w:t>冷库配备</w:t>
            </w:r>
            <w:r>
              <w:rPr>
                <w:rFonts w:hint="eastAsia" w:cs="Times New Roman"/>
                <w:color w:val="000000" w:themeColor="text1"/>
                <w:szCs w:val="21"/>
              </w:rPr>
              <w:t>3台</w:t>
            </w:r>
            <w:r>
              <w:rPr>
                <w:rFonts w:cs="Times New Roman"/>
                <w:color w:val="000000" w:themeColor="text1"/>
                <w:szCs w:val="21"/>
              </w:rPr>
              <w:t>制冷压缩机</w:t>
            </w:r>
            <w:r>
              <w:rPr>
                <w:rFonts w:hint="eastAsia" w:cs="Times New Roman"/>
                <w:color w:val="000000" w:themeColor="text1"/>
                <w:szCs w:val="21"/>
              </w:rPr>
              <w:t>及1套</w:t>
            </w:r>
            <w:r>
              <w:rPr>
                <w:rFonts w:cs="Times New Roman"/>
                <w:color w:val="000000" w:themeColor="text1"/>
                <w:szCs w:val="21"/>
              </w:rPr>
              <w:t>制冷</w:t>
            </w:r>
            <w:r>
              <w:rPr>
                <w:rFonts w:hint="eastAsia" w:cs="Times New Roman"/>
                <w:color w:val="000000" w:themeColor="text1"/>
                <w:szCs w:val="21"/>
              </w:rPr>
              <w:t>机组</w:t>
            </w:r>
            <w:r>
              <w:rPr>
                <w:rFonts w:cs="Times New Roman"/>
                <w:color w:val="000000" w:themeColor="text1"/>
                <w:szCs w:val="21"/>
              </w:rPr>
              <w:t>，采用R22型号氟利昂作为制冷剂</w:t>
            </w:r>
            <w:r>
              <w:rPr>
                <w:rFonts w:cs="Times New Roman"/>
                <w:color w:val="000000" w:themeColor="text1"/>
              </w:rPr>
              <w:t>。</w:t>
            </w:r>
          </w:p>
        </w:tc>
        <w:tc>
          <w:tcPr>
            <w:tcW w:w="1076"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blHeader/>
          <w:jc w:val="center"/>
        </w:trPr>
        <w:tc>
          <w:tcPr>
            <w:tcW w:w="664" w:type="dxa"/>
            <w:vMerge w:val="restart"/>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辅助工程</w:t>
            </w:r>
          </w:p>
        </w:tc>
        <w:tc>
          <w:tcPr>
            <w:tcW w:w="110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hint="eastAsia" w:cs="Times New Roman"/>
                <w:color w:val="000000" w:themeColor="text1"/>
              </w:rPr>
              <w:t>办公生活</w:t>
            </w:r>
            <w:r>
              <w:rPr>
                <w:rFonts w:cs="Times New Roman"/>
                <w:color w:val="000000" w:themeColor="text1"/>
              </w:rPr>
              <w:t>用房</w:t>
            </w:r>
          </w:p>
        </w:tc>
        <w:tc>
          <w:tcPr>
            <w:tcW w:w="652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hint="eastAsia" w:cs="Times New Roman"/>
                <w:color w:val="000000" w:themeColor="text1"/>
              </w:rPr>
              <w:t>拟建</w:t>
            </w:r>
            <w:r>
              <w:rPr>
                <w:rFonts w:cs="Times New Roman"/>
                <w:color w:val="000000" w:themeColor="text1"/>
              </w:rPr>
              <w:t>于整个</w:t>
            </w:r>
            <w:r>
              <w:rPr>
                <w:rFonts w:hint="eastAsia" w:cs="Times New Roman"/>
                <w:color w:val="000000" w:themeColor="text1"/>
              </w:rPr>
              <w:t>厂区北部</w:t>
            </w:r>
            <w:r>
              <w:rPr>
                <w:rFonts w:cs="Times New Roman"/>
                <w:color w:val="000000" w:themeColor="text1"/>
              </w:rPr>
              <w:t>，占地面积为</w:t>
            </w:r>
            <w:r>
              <w:rPr>
                <w:rFonts w:hint="eastAsia" w:cs="Times New Roman"/>
                <w:color w:val="000000" w:themeColor="text1"/>
              </w:rPr>
              <w:t>353.06</w:t>
            </w:r>
            <w:r>
              <w:rPr>
                <w:rFonts w:cs="Times New Roman"/>
                <w:color w:val="000000" w:themeColor="text1"/>
              </w:rPr>
              <w:t>m</w:t>
            </w:r>
            <w:r>
              <w:rPr>
                <w:rFonts w:cs="Times New Roman"/>
                <w:color w:val="000000" w:themeColor="text1"/>
                <w:vertAlign w:val="superscript"/>
              </w:rPr>
              <w:t>2</w:t>
            </w:r>
            <w:r>
              <w:rPr>
                <w:rFonts w:cs="Times New Roman"/>
                <w:color w:val="000000" w:themeColor="text1"/>
              </w:rPr>
              <w:t>，建筑面积为</w:t>
            </w:r>
            <w:r>
              <w:rPr>
                <w:rFonts w:hint="eastAsia" w:cs="Times New Roman"/>
                <w:color w:val="000000" w:themeColor="text1"/>
              </w:rPr>
              <w:t>1197.3</w:t>
            </w:r>
            <w:r>
              <w:rPr>
                <w:rFonts w:cs="Times New Roman"/>
                <w:color w:val="000000" w:themeColor="text1"/>
              </w:rPr>
              <w:t xml:space="preserve"> m</w:t>
            </w:r>
            <w:r>
              <w:rPr>
                <w:rFonts w:cs="Times New Roman"/>
                <w:color w:val="000000" w:themeColor="text1"/>
                <w:vertAlign w:val="superscript"/>
              </w:rPr>
              <w:t>2</w:t>
            </w:r>
            <w:r>
              <w:rPr>
                <w:rFonts w:cs="Times New Roman"/>
                <w:color w:val="000000" w:themeColor="text1"/>
              </w:rPr>
              <w:t>，为工作人员提供办公</w:t>
            </w:r>
            <w:r>
              <w:rPr>
                <w:rFonts w:hint="eastAsia" w:cs="Times New Roman"/>
                <w:color w:val="000000" w:themeColor="text1"/>
              </w:rPr>
              <w:t>、</w:t>
            </w:r>
            <w:r>
              <w:rPr>
                <w:rFonts w:cs="Times New Roman"/>
                <w:color w:val="000000" w:themeColor="text1"/>
              </w:rPr>
              <w:t>休息场所。</w:t>
            </w:r>
          </w:p>
        </w:tc>
        <w:tc>
          <w:tcPr>
            <w:tcW w:w="1076"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blHeader/>
          <w:jc w:val="center"/>
        </w:trPr>
        <w:tc>
          <w:tcPr>
            <w:tcW w:w="664" w:type="dxa"/>
            <w:vMerge w:val="continue"/>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p>
        </w:tc>
        <w:tc>
          <w:tcPr>
            <w:tcW w:w="110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hint="eastAsia" w:cs="Times New Roman"/>
                <w:color w:val="000000" w:themeColor="text1"/>
              </w:rPr>
              <w:t>辅助</w:t>
            </w:r>
            <w:r>
              <w:rPr>
                <w:rFonts w:cs="Times New Roman"/>
                <w:color w:val="000000" w:themeColor="text1"/>
              </w:rPr>
              <w:t>用房</w:t>
            </w:r>
          </w:p>
        </w:tc>
        <w:tc>
          <w:tcPr>
            <w:tcW w:w="652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hint="eastAsia" w:cs="Times New Roman"/>
                <w:color w:val="000000" w:themeColor="text1"/>
              </w:rPr>
              <w:t>拟建</w:t>
            </w:r>
            <w:r>
              <w:rPr>
                <w:rFonts w:cs="Times New Roman"/>
                <w:color w:val="000000" w:themeColor="text1"/>
              </w:rPr>
              <w:t>于整个</w:t>
            </w:r>
            <w:r>
              <w:rPr>
                <w:rFonts w:hint="eastAsia" w:cs="Times New Roman"/>
                <w:color w:val="000000" w:themeColor="text1"/>
              </w:rPr>
              <w:t>厂区中部</w:t>
            </w:r>
            <w:r>
              <w:rPr>
                <w:rFonts w:cs="Times New Roman"/>
                <w:color w:val="000000" w:themeColor="text1"/>
              </w:rPr>
              <w:t>，占地面积</w:t>
            </w:r>
            <w:r>
              <w:rPr>
                <w:rFonts w:hint="eastAsia" w:cs="Times New Roman"/>
                <w:color w:val="000000" w:themeColor="text1"/>
              </w:rPr>
              <w:t>75</w:t>
            </w:r>
            <w:r>
              <w:rPr>
                <w:rFonts w:cs="Times New Roman"/>
                <w:color w:val="000000" w:themeColor="text1"/>
              </w:rPr>
              <w:t>m</w:t>
            </w:r>
            <w:r>
              <w:rPr>
                <w:rFonts w:cs="Times New Roman"/>
                <w:color w:val="000000" w:themeColor="text1"/>
                <w:vertAlign w:val="superscript"/>
              </w:rPr>
              <w:t>2</w:t>
            </w:r>
            <w:r>
              <w:rPr>
                <w:rFonts w:cs="Times New Roman"/>
                <w:color w:val="000000" w:themeColor="text1"/>
              </w:rPr>
              <w:t>。</w:t>
            </w:r>
          </w:p>
        </w:tc>
        <w:tc>
          <w:tcPr>
            <w:tcW w:w="1076"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blHeader/>
          <w:jc w:val="center"/>
        </w:trPr>
        <w:tc>
          <w:tcPr>
            <w:tcW w:w="664" w:type="dxa"/>
            <w:vMerge w:val="continue"/>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p>
        </w:tc>
        <w:tc>
          <w:tcPr>
            <w:tcW w:w="110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hint="eastAsia" w:cs="Times New Roman"/>
                <w:color w:val="000000" w:themeColor="text1"/>
              </w:rPr>
              <w:t>值班室、配电房</w:t>
            </w:r>
          </w:p>
        </w:tc>
        <w:tc>
          <w:tcPr>
            <w:tcW w:w="652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hint="eastAsia" w:cs="Times New Roman"/>
                <w:color w:val="000000" w:themeColor="text1"/>
              </w:rPr>
              <w:t>拟建</w:t>
            </w:r>
            <w:r>
              <w:rPr>
                <w:rFonts w:cs="Times New Roman"/>
                <w:color w:val="000000" w:themeColor="text1"/>
              </w:rPr>
              <w:t>于办公生活用房</w:t>
            </w:r>
            <w:r>
              <w:rPr>
                <w:rFonts w:hint="eastAsia" w:cs="Times New Roman"/>
                <w:color w:val="000000" w:themeColor="text1"/>
              </w:rPr>
              <w:t>东南</w:t>
            </w:r>
            <w:r>
              <w:rPr>
                <w:rFonts w:cs="Times New Roman"/>
                <w:color w:val="000000" w:themeColor="text1"/>
              </w:rPr>
              <w:t>侧，占地面积共</w:t>
            </w:r>
            <w:r>
              <w:rPr>
                <w:rFonts w:hint="eastAsia" w:cs="Times New Roman"/>
                <w:color w:val="000000" w:themeColor="text1"/>
              </w:rPr>
              <w:t>64</w:t>
            </w:r>
            <w:r>
              <w:rPr>
                <w:rFonts w:cs="Times New Roman"/>
                <w:color w:val="000000" w:themeColor="text1"/>
              </w:rPr>
              <w:t>m</w:t>
            </w:r>
            <w:r>
              <w:rPr>
                <w:rFonts w:cs="Times New Roman"/>
                <w:color w:val="000000" w:themeColor="text1"/>
                <w:vertAlign w:val="superscript"/>
              </w:rPr>
              <w:t>2</w:t>
            </w:r>
            <w:r>
              <w:rPr>
                <w:rFonts w:cs="Times New Roman"/>
                <w:color w:val="000000" w:themeColor="text1"/>
              </w:rPr>
              <w:t>。</w:t>
            </w:r>
          </w:p>
        </w:tc>
        <w:tc>
          <w:tcPr>
            <w:tcW w:w="1076"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blHeader/>
          <w:jc w:val="center"/>
        </w:trPr>
        <w:tc>
          <w:tcPr>
            <w:tcW w:w="664" w:type="dxa"/>
            <w:vMerge w:val="continue"/>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p>
        </w:tc>
        <w:tc>
          <w:tcPr>
            <w:tcW w:w="110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厂区空地及道路</w:t>
            </w:r>
          </w:p>
        </w:tc>
        <w:tc>
          <w:tcPr>
            <w:tcW w:w="652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除绿化外，整个厂区道路进行硬化，占地面积约为</w:t>
            </w:r>
            <w:r>
              <w:rPr>
                <w:rFonts w:hint="eastAsia" w:cs="Times New Roman"/>
                <w:color w:val="000000" w:themeColor="text1"/>
              </w:rPr>
              <w:t>25</w:t>
            </w:r>
            <w:r>
              <w:rPr>
                <w:rFonts w:cs="Times New Roman"/>
                <w:color w:val="000000" w:themeColor="text1"/>
              </w:rPr>
              <w:t>00m</w:t>
            </w:r>
            <w:r>
              <w:rPr>
                <w:rFonts w:cs="Times New Roman"/>
                <w:color w:val="000000" w:themeColor="text1"/>
                <w:vertAlign w:val="superscript"/>
              </w:rPr>
              <w:t>2</w:t>
            </w:r>
            <w:r>
              <w:rPr>
                <w:rFonts w:cs="Times New Roman"/>
                <w:color w:val="000000" w:themeColor="text1"/>
              </w:rPr>
              <w:t>。</w:t>
            </w:r>
          </w:p>
        </w:tc>
        <w:tc>
          <w:tcPr>
            <w:tcW w:w="1076"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64" w:type="dxa"/>
            <w:vMerge w:val="restart"/>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公用工程</w:t>
            </w:r>
          </w:p>
        </w:tc>
        <w:tc>
          <w:tcPr>
            <w:tcW w:w="110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给水</w:t>
            </w:r>
          </w:p>
        </w:tc>
        <w:tc>
          <w:tcPr>
            <w:tcW w:w="652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项目用水主要采用自来水，本项目自行铺设管道，可满足生产生活用水需求。</w:t>
            </w:r>
          </w:p>
        </w:tc>
        <w:tc>
          <w:tcPr>
            <w:tcW w:w="1076"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blHeader/>
          <w:jc w:val="center"/>
        </w:trPr>
        <w:tc>
          <w:tcPr>
            <w:tcW w:w="664" w:type="dxa"/>
            <w:vMerge w:val="continue"/>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p>
        </w:tc>
        <w:tc>
          <w:tcPr>
            <w:tcW w:w="110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排水</w:t>
            </w:r>
          </w:p>
        </w:tc>
        <w:tc>
          <w:tcPr>
            <w:tcW w:w="652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项目采取雨污分流制，雨水通过雨水沟</w:t>
            </w:r>
            <w:r>
              <w:rPr>
                <w:rFonts w:hint="eastAsia" w:cs="Times New Roman"/>
                <w:color w:val="000000" w:themeColor="text1"/>
              </w:rPr>
              <w:t>收集后</w:t>
            </w:r>
            <w:r>
              <w:rPr>
                <w:rFonts w:cs="Times New Roman"/>
                <w:color w:val="000000" w:themeColor="text1"/>
              </w:rPr>
              <w:t>外排；屠宰废水</w:t>
            </w:r>
            <w:r>
              <w:rPr>
                <w:rFonts w:hint="eastAsia" w:cs="Times New Roman"/>
                <w:color w:val="000000" w:themeColor="text1"/>
              </w:rPr>
              <w:t>及生活</w:t>
            </w:r>
            <w:r>
              <w:rPr>
                <w:rFonts w:cs="Times New Roman"/>
                <w:color w:val="000000" w:themeColor="text1"/>
              </w:rPr>
              <w:t>污水</w:t>
            </w:r>
            <w:r>
              <w:rPr>
                <w:rFonts w:hint="eastAsia" w:cs="Times New Roman"/>
                <w:color w:val="000000" w:themeColor="text1"/>
              </w:rPr>
              <w:t>都</w:t>
            </w:r>
            <w:r>
              <w:rPr>
                <w:rFonts w:cs="Times New Roman"/>
                <w:color w:val="000000" w:themeColor="text1"/>
              </w:rPr>
              <w:t>排入自建的污水处理站处理</w:t>
            </w:r>
            <w:r>
              <w:rPr>
                <w:rFonts w:hint="eastAsia" w:cs="Times New Roman"/>
                <w:color w:val="000000" w:themeColor="text1"/>
              </w:rPr>
              <w:t>，项目将向南自行铺设长度约1200m的污水管道接入砚山县城市污水管网，</w:t>
            </w:r>
            <w:r>
              <w:rPr>
                <w:rFonts w:cs="Times New Roman"/>
                <w:color w:val="000000" w:themeColor="text1"/>
              </w:rPr>
              <w:t>经过污水处理站处理后的废水排入砚山县城市污水管网</w:t>
            </w:r>
            <w:r>
              <w:rPr>
                <w:rFonts w:hint="eastAsia" w:cs="Times New Roman"/>
                <w:color w:val="000000" w:themeColor="text1"/>
              </w:rPr>
              <w:t>，最终进入</w:t>
            </w:r>
            <w:r>
              <w:rPr>
                <w:rFonts w:cs="Times New Roman"/>
                <w:color w:val="000000" w:themeColor="text1"/>
              </w:rPr>
              <w:t>砚山县污水处理厂进一步处理</w:t>
            </w:r>
            <w:r>
              <w:rPr>
                <w:rFonts w:hint="eastAsia" w:cs="Times New Roman"/>
                <w:color w:val="000000" w:themeColor="text1"/>
              </w:rPr>
              <w:t>。</w:t>
            </w:r>
          </w:p>
        </w:tc>
        <w:tc>
          <w:tcPr>
            <w:tcW w:w="1076"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blHeader/>
          <w:jc w:val="center"/>
        </w:trPr>
        <w:tc>
          <w:tcPr>
            <w:tcW w:w="664" w:type="dxa"/>
            <w:vMerge w:val="continue"/>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p>
        </w:tc>
        <w:tc>
          <w:tcPr>
            <w:tcW w:w="110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供热</w:t>
            </w:r>
          </w:p>
        </w:tc>
        <w:tc>
          <w:tcPr>
            <w:tcW w:w="652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项目主要采用太阳能进行供热</w:t>
            </w:r>
            <w:r>
              <w:rPr>
                <w:rFonts w:hint="eastAsia" w:cs="Times New Roman"/>
                <w:color w:val="000000" w:themeColor="text1"/>
              </w:rPr>
              <w:t>，</w:t>
            </w:r>
            <w:r>
              <w:rPr>
                <w:rFonts w:cs="Times New Roman"/>
                <w:color w:val="000000" w:themeColor="text1"/>
              </w:rPr>
              <w:t>在冬季或天气恶劣时采用</w:t>
            </w:r>
            <w:r>
              <w:rPr>
                <w:rFonts w:hint="eastAsia" w:cs="Times New Roman"/>
                <w:color w:val="000000" w:themeColor="text1"/>
              </w:rPr>
              <w:t>生物质</w:t>
            </w:r>
            <w:r>
              <w:rPr>
                <w:rFonts w:cs="Times New Roman"/>
                <w:color w:val="000000" w:themeColor="text1"/>
              </w:rPr>
              <w:t>蒸汽锅炉加热方式。</w:t>
            </w:r>
          </w:p>
        </w:tc>
        <w:tc>
          <w:tcPr>
            <w:tcW w:w="1076"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blHeader/>
          <w:jc w:val="center"/>
        </w:trPr>
        <w:tc>
          <w:tcPr>
            <w:tcW w:w="664" w:type="dxa"/>
            <w:vMerge w:val="continue"/>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p>
        </w:tc>
        <w:tc>
          <w:tcPr>
            <w:tcW w:w="110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供电</w:t>
            </w:r>
          </w:p>
        </w:tc>
        <w:tc>
          <w:tcPr>
            <w:tcW w:w="652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项目所在地区已有电网分布，接入即可满足本项目建设与生产的需要。</w:t>
            </w:r>
          </w:p>
        </w:tc>
        <w:tc>
          <w:tcPr>
            <w:tcW w:w="1076"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blHeader/>
          <w:jc w:val="center"/>
        </w:trPr>
        <w:tc>
          <w:tcPr>
            <w:tcW w:w="664" w:type="dxa"/>
            <w:vMerge w:val="restart"/>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环保工程</w:t>
            </w:r>
          </w:p>
        </w:tc>
        <w:tc>
          <w:tcPr>
            <w:tcW w:w="110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废气治理设施</w:t>
            </w:r>
          </w:p>
        </w:tc>
        <w:tc>
          <w:tcPr>
            <w:tcW w:w="652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asciiTheme="minorEastAsia" w:hAnsiTheme="minorEastAsia" w:eastAsiaTheme="minorEastAsia"/>
                <w:color w:val="000000" w:themeColor="text1"/>
              </w:rPr>
              <w:t>①</w:t>
            </w:r>
            <w:r>
              <w:rPr>
                <w:rFonts w:cs="Times New Roman"/>
                <w:color w:val="000000" w:themeColor="text1"/>
              </w:rPr>
              <w:t>锅炉废气采用一套</w:t>
            </w:r>
            <w:r>
              <w:rPr>
                <w:rFonts w:hint="eastAsia" w:cs="Times New Roman"/>
                <w:color w:val="000000" w:themeColor="text1"/>
              </w:rPr>
              <w:t>水膜</w:t>
            </w:r>
            <w:r>
              <w:rPr>
                <w:rFonts w:cs="Times New Roman"/>
                <w:color w:val="000000" w:themeColor="text1"/>
              </w:rPr>
              <w:t>除尘器处理后通过</w:t>
            </w:r>
            <w:r>
              <w:rPr>
                <w:rFonts w:hint="eastAsia" w:cs="Times New Roman"/>
                <w:color w:val="000000" w:themeColor="text1"/>
              </w:rPr>
              <w:t>15</w:t>
            </w:r>
            <w:r>
              <w:rPr>
                <w:rFonts w:cs="Times New Roman"/>
                <w:color w:val="000000" w:themeColor="text1"/>
              </w:rPr>
              <w:t>m的烟囱排放。</w:t>
            </w:r>
          </w:p>
          <w:p>
            <w:pPr>
              <w:pStyle w:val="55"/>
              <w:rPr>
                <w:rFonts w:cs="Times New Roman"/>
                <w:color w:val="000000" w:themeColor="text1"/>
              </w:rPr>
            </w:pPr>
            <w:r>
              <w:rPr>
                <w:rFonts w:cs="Times New Roman" w:asciiTheme="minorEastAsia" w:hAnsiTheme="minorEastAsia" w:eastAsiaTheme="minorEastAsia"/>
                <w:color w:val="000000" w:themeColor="text1"/>
              </w:rPr>
              <w:t>②</w:t>
            </w:r>
            <w:r>
              <w:rPr>
                <w:rFonts w:cs="Times New Roman"/>
                <w:color w:val="000000" w:themeColor="text1"/>
              </w:rPr>
              <w:t>待宰圈、屠宰车间的无组织恶臭气体，通过厂房喷洒除臭剂和消毒剂，及时清理冲洗地面，加强厂区绿化治理，来改善空气质量。</w:t>
            </w:r>
          </w:p>
        </w:tc>
        <w:tc>
          <w:tcPr>
            <w:tcW w:w="1076"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blHeader/>
          <w:jc w:val="center"/>
        </w:trPr>
        <w:tc>
          <w:tcPr>
            <w:tcW w:w="664" w:type="dxa"/>
            <w:vMerge w:val="continue"/>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p>
        </w:tc>
        <w:tc>
          <w:tcPr>
            <w:tcW w:w="110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废水治理设施</w:t>
            </w:r>
          </w:p>
        </w:tc>
        <w:tc>
          <w:tcPr>
            <w:tcW w:w="652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项目</w:t>
            </w:r>
            <w:r>
              <w:rPr>
                <w:rFonts w:hint="eastAsia" w:cs="Times New Roman"/>
                <w:color w:val="000000" w:themeColor="text1"/>
              </w:rPr>
              <w:t>拟建一个污水处理站处理屠宰废水及生活污水，拟建污水处理站处理规模为300m</w:t>
            </w:r>
            <w:r>
              <w:rPr>
                <w:rFonts w:hint="eastAsia" w:cs="Times New Roman"/>
                <w:color w:val="000000" w:themeColor="text1"/>
                <w:vertAlign w:val="superscript"/>
              </w:rPr>
              <w:t>3</w:t>
            </w:r>
            <w:r>
              <w:rPr>
                <w:rFonts w:hint="eastAsia" w:cs="Times New Roman"/>
                <w:color w:val="000000" w:themeColor="text1"/>
              </w:rPr>
              <w:t>/d，处理工艺采用“隔油沉砂+调节+气浮+厌氧+接触氧化+沉淀消毒”方式。经过处理的</w:t>
            </w:r>
            <w:r>
              <w:rPr>
                <w:rFonts w:cs="Times New Roman"/>
                <w:color w:val="000000" w:themeColor="text1"/>
              </w:rPr>
              <w:t>污水排入砚山县城镇污水管网，进入砚山县污水处理厂进一步处理。</w:t>
            </w:r>
          </w:p>
        </w:tc>
        <w:tc>
          <w:tcPr>
            <w:tcW w:w="1076"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blHeader/>
          <w:jc w:val="center"/>
        </w:trPr>
        <w:tc>
          <w:tcPr>
            <w:tcW w:w="664" w:type="dxa"/>
            <w:vMerge w:val="continue"/>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p>
        </w:tc>
        <w:tc>
          <w:tcPr>
            <w:tcW w:w="110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噪声治理</w:t>
            </w:r>
          </w:p>
        </w:tc>
        <w:tc>
          <w:tcPr>
            <w:tcW w:w="652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厂房隔声、设备选型及维护、绿化吸收等。</w:t>
            </w:r>
          </w:p>
        </w:tc>
        <w:tc>
          <w:tcPr>
            <w:tcW w:w="1076"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blHeader/>
          <w:jc w:val="center"/>
        </w:trPr>
        <w:tc>
          <w:tcPr>
            <w:tcW w:w="664" w:type="dxa"/>
            <w:vMerge w:val="continue"/>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p>
        </w:tc>
        <w:tc>
          <w:tcPr>
            <w:tcW w:w="110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固废治理</w:t>
            </w:r>
          </w:p>
        </w:tc>
        <w:tc>
          <w:tcPr>
            <w:tcW w:w="652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生活垃圾、污水处理站污泥由环卫部门收集处理；猪毛、鸡毛等经过收集外售；粪便由周边村民收走用作农肥；危险废物（病害猪、病害鸡和不合格产品）经过项目自建的焚烧炉无害化处置。</w:t>
            </w:r>
          </w:p>
        </w:tc>
        <w:tc>
          <w:tcPr>
            <w:tcW w:w="1076"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blHeader/>
          <w:jc w:val="center"/>
        </w:trPr>
        <w:tc>
          <w:tcPr>
            <w:tcW w:w="664" w:type="dxa"/>
            <w:vMerge w:val="continue"/>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p>
        </w:tc>
        <w:tc>
          <w:tcPr>
            <w:tcW w:w="110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地下水保护</w:t>
            </w:r>
          </w:p>
        </w:tc>
        <w:tc>
          <w:tcPr>
            <w:tcW w:w="652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进行分区防渗，其中重点防渗渠采用防渗混凝土+2mmHDPE 土工膜进行防渗处理，防渗系数≤10</w:t>
            </w:r>
            <w:r>
              <w:rPr>
                <w:rFonts w:hint="eastAsia"/>
                <w:color w:val="000000" w:themeColor="text1"/>
                <w:vertAlign w:val="superscript"/>
              </w:rPr>
              <w:t>-10</w:t>
            </w:r>
            <w:r>
              <w:rPr>
                <w:rFonts w:hint="eastAsia"/>
                <w:color w:val="000000" w:themeColor="text1"/>
              </w:rPr>
              <w:t>cm/s。</w:t>
            </w:r>
          </w:p>
        </w:tc>
        <w:tc>
          <w:tcPr>
            <w:tcW w:w="1076"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blHeader/>
          <w:jc w:val="center"/>
        </w:trPr>
        <w:tc>
          <w:tcPr>
            <w:tcW w:w="664" w:type="dxa"/>
            <w:vMerge w:val="continue"/>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p>
        </w:tc>
        <w:tc>
          <w:tcPr>
            <w:tcW w:w="110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风险防范措施</w:t>
            </w:r>
          </w:p>
        </w:tc>
        <w:tc>
          <w:tcPr>
            <w:tcW w:w="652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不单独设置事故水池，依托污水处理站的调节池作为事故水池；制定完善的风险防范措施及应急预案。</w:t>
            </w:r>
          </w:p>
        </w:tc>
        <w:tc>
          <w:tcPr>
            <w:tcW w:w="1076"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hint="eastAsia" w:cs="Times New Roman"/>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blHeader/>
          <w:jc w:val="center"/>
        </w:trPr>
        <w:tc>
          <w:tcPr>
            <w:tcW w:w="664" w:type="dxa"/>
            <w:vMerge w:val="continue"/>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p>
        </w:tc>
        <w:tc>
          <w:tcPr>
            <w:tcW w:w="110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绿化</w:t>
            </w:r>
          </w:p>
        </w:tc>
        <w:tc>
          <w:tcPr>
            <w:tcW w:w="652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拟在项目厂区</w:t>
            </w:r>
            <w:r>
              <w:rPr>
                <w:rFonts w:hint="eastAsia" w:cs="Times New Roman"/>
                <w:color w:val="000000" w:themeColor="text1"/>
              </w:rPr>
              <w:t>内</w:t>
            </w:r>
            <w:r>
              <w:rPr>
                <w:rFonts w:cs="Times New Roman"/>
                <w:color w:val="000000" w:themeColor="text1"/>
              </w:rPr>
              <w:t>空地设置</w:t>
            </w:r>
            <w:r>
              <w:rPr>
                <w:rFonts w:hint="eastAsia" w:cs="Times New Roman"/>
                <w:color w:val="000000" w:themeColor="text1"/>
              </w:rPr>
              <w:t>2444.71</w:t>
            </w:r>
            <w:r>
              <w:rPr>
                <w:rFonts w:cs="Times New Roman"/>
                <w:color w:val="000000" w:themeColor="text1"/>
              </w:rPr>
              <w:t>㎡的绿化景观，改善项目区环境。</w:t>
            </w:r>
          </w:p>
        </w:tc>
        <w:tc>
          <w:tcPr>
            <w:tcW w:w="1076"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cs="Times New Roman"/>
                <w:color w:val="000000" w:themeColor="text1"/>
              </w:rPr>
              <w:t>新建</w:t>
            </w:r>
          </w:p>
        </w:tc>
      </w:tr>
    </w:tbl>
    <w:p>
      <w:pPr>
        <w:pStyle w:val="38"/>
        <w:ind w:firstLine="281"/>
        <w:rPr>
          <w:color w:val="000000" w:themeColor="text1"/>
        </w:rPr>
      </w:pPr>
      <w:bookmarkStart w:id="35" w:name="_Toc47375797"/>
      <w:r>
        <w:rPr>
          <w:rFonts w:hint="eastAsia"/>
          <w:color w:val="000000" w:themeColor="text1"/>
        </w:rPr>
        <w:t>2.2.3项目平面布置</w:t>
      </w:r>
      <w:bookmarkEnd w:id="35"/>
    </w:p>
    <w:p>
      <w:pPr>
        <w:ind w:firstLine="480"/>
        <w:rPr>
          <w:color w:val="000000" w:themeColor="text1"/>
        </w:rPr>
      </w:pPr>
      <w:r>
        <w:rPr>
          <w:rFonts w:hint="eastAsia"/>
          <w:color w:val="000000" w:themeColor="text1"/>
        </w:rPr>
        <w:t>项目拟设置两个出入口，两个入口均位于县道永红公路一侧，厂区北门主要为原物料入口，南门为产品及人员出口。</w:t>
      </w:r>
    </w:p>
    <w:p>
      <w:pPr>
        <w:ind w:firstLine="480"/>
        <w:rPr>
          <w:color w:val="000000" w:themeColor="text1"/>
        </w:rPr>
      </w:pPr>
      <w:r>
        <w:rPr>
          <w:rFonts w:hint="eastAsia"/>
          <w:color w:val="000000" w:themeColor="text1"/>
        </w:rPr>
        <w:t>生产区位于厂区中西部，生产区由北向南依次为：宰鸡场、生鸡待宰圈、污水处理站、辅助用房、生猪待宰间、生猪屠宰车间、冷库。冷库靠近南门，便于运输车辆进入永红公路。为了减少对永红公路附近环境的影响，待宰圈、屠宰车间设置在厂区西部及中部较多，东部临路一侧主要设置办公生活用房、冷库、值班室、配电房等建筑。新厂区北侧、南侧、西侧周围均为绿地，有利于空气净化，东侧为永红公路及农田。项目远离居民区的布置也有利于生猪鸣叫声及屠宰噪声的衰减。</w:t>
      </w:r>
    </w:p>
    <w:p>
      <w:pPr>
        <w:ind w:firstLine="480"/>
        <w:rPr>
          <w:color w:val="000000" w:themeColor="text1"/>
        </w:rPr>
      </w:pPr>
      <w:r>
        <w:rPr>
          <w:rFonts w:hint="eastAsia"/>
          <w:color w:val="000000" w:themeColor="text1"/>
        </w:rPr>
        <w:t>污水处理站为地埋式，位于厂址西北部，紧邻西厂界，位于宰鸡场和生猪屠宰车间、办公生活用房之间，便于收集各部分污水，同时可利用西厂界外的山坡植被，利于空气净化。</w:t>
      </w:r>
    </w:p>
    <w:p>
      <w:pPr>
        <w:ind w:firstLine="480"/>
        <w:rPr>
          <w:color w:val="000000" w:themeColor="text1"/>
        </w:rPr>
      </w:pPr>
      <w:r>
        <w:rPr>
          <w:rFonts w:hint="eastAsia"/>
          <w:color w:val="000000" w:themeColor="text1"/>
        </w:rPr>
        <w:t>项目办公生活区和生产区在空间上相对分开，均有绿化带、道路或空地阻隔，可有效防止污水处理区和待宰圈及屠宰车间对办公区的影响。</w:t>
      </w:r>
    </w:p>
    <w:p>
      <w:pPr>
        <w:ind w:firstLine="480"/>
        <w:rPr>
          <w:color w:val="000000" w:themeColor="text1"/>
        </w:rPr>
      </w:pPr>
      <w:r>
        <w:rPr>
          <w:rFonts w:hint="eastAsia"/>
          <w:color w:val="000000" w:themeColor="text1"/>
        </w:rPr>
        <w:t>根据现场踏勘，厂址北侧、西侧、南侧目前为树林，厂区东侧紧挨永红公路。本厂址最近敏感目标为东南侧的小龙白，与项目区边界直线最近距离为500m。该村庄不在企业厂址常年主导风向的下风向上。</w:t>
      </w:r>
    </w:p>
    <w:p>
      <w:pPr>
        <w:ind w:firstLine="480"/>
        <w:rPr>
          <w:color w:val="000000" w:themeColor="text1"/>
        </w:rPr>
      </w:pPr>
      <w:r>
        <w:rPr>
          <w:rFonts w:hint="eastAsia"/>
          <w:color w:val="000000" w:themeColor="text1"/>
        </w:rPr>
        <w:t>厂区总平面布置示意见附图2。</w:t>
      </w:r>
    </w:p>
    <w:p>
      <w:pPr>
        <w:pStyle w:val="38"/>
        <w:ind w:firstLine="281"/>
        <w:rPr>
          <w:color w:val="000000" w:themeColor="text1"/>
        </w:rPr>
      </w:pPr>
      <w:bookmarkStart w:id="36" w:name="_Toc47375798"/>
      <w:r>
        <w:rPr>
          <w:rFonts w:hint="eastAsia"/>
          <w:color w:val="000000" w:themeColor="text1"/>
        </w:rPr>
        <w:t>2.2.4劳动定员及工作制度</w:t>
      </w:r>
      <w:bookmarkEnd w:id="36"/>
    </w:p>
    <w:p>
      <w:pPr>
        <w:pStyle w:val="69"/>
        <w:spacing w:line="520" w:lineRule="atLeast"/>
        <w:ind w:firstLine="480" w:firstLineChars="200"/>
        <w:rPr>
          <w:rFonts w:ascii="Calibri" w:hAnsi="Calibri"/>
          <w:color w:val="000000" w:themeColor="text1"/>
          <w:sz w:val="24"/>
        </w:rPr>
      </w:pPr>
      <w:r>
        <w:rPr>
          <w:rFonts w:hint="eastAsia" w:ascii="Calibri" w:hAnsi="Calibri"/>
          <w:color w:val="000000" w:themeColor="text1"/>
          <w:sz w:val="24"/>
        </w:rPr>
        <w:t>本项目劳动定员为20人，厂区只提供住宿，不设食堂，员工餐为外部订餐，工作制度为每天16小时工作制，二班制，年工作</w:t>
      </w:r>
      <w:r>
        <w:rPr>
          <w:rFonts w:ascii="Calibri" w:hAnsi="Calibri"/>
          <w:color w:val="000000" w:themeColor="text1"/>
          <w:sz w:val="24"/>
        </w:rPr>
        <w:t>36</w:t>
      </w:r>
      <w:r>
        <w:rPr>
          <w:rFonts w:hint="eastAsia" w:ascii="Calibri" w:hAnsi="Calibri"/>
          <w:color w:val="000000" w:themeColor="text1"/>
          <w:sz w:val="24"/>
        </w:rPr>
        <w:t>4天。</w:t>
      </w:r>
    </w:p>
    <w:p>
      <w:pPr>
        <w:pStyle w:val="3"/>
        <w:rPr>
          <w:color w:val="000000" w:themeColor="text1"/>
        </w:rPr>
      </w:pPr>
      <w:bookmarkStart w:id="37" w:name="_Toc47375799"/>
      <w:r>
        <w:rPr>
          <w:rFonts w:hint="eastAsia"/>
          <w:color w:val="000000" w:themeColor="text1"/>
        </w:rPr>
        <w:t>2.3产品方案</w:t>
      </w:r>
      <w:bookmarkEnd w:id="37"/>
    </w:p>
    <w:p>
      <w:pPr>
        <w:ind w:firstLine="480"/>
        <w:rPr>
          <w:color w:val="000000" w:themeColor="text1"/>
        </w:rPr>
      </w:pPr>
      <w:r>
        <w:rPr>
          <w:rFonts w:hint="eastAsia"/>
          <w:color w:val="000000" w:themeColor="text1"/>
        </w:rPr>
        <w:t>本项目生猪屠宰生产线的产品为生猪肉和副产品（头、蹄、尾、内脏、血、脂肪、猪毛等）。项目共设有1条生猪屠宰生产线，预计年屠宰生猪15万头。每头猪按</w:t>
      </w:r>
      <w:r>
        <w:rPr>
          <w:color w:val="000000" w:themeColor="text1"/>
        </w:rPr>
        <w:t>100kg</w:t>
      </w:r>
      <w:r>
        <w:rPr>
          <w:rFonts w:hint="eastAsia"/>
          <w:color w:val="000000" w:themeColor="text1"/>
        </w:rPr>
        <w:t>计，产品方案见表2.3-1。</w:t>
      </w:r>
    </w:p>
    <w:p>
      <w:pPr>
        <w:pStyle w:val="54"/>
        <w:rPr>
          <w:color w:val="000000" w:themeColor="text1"/>
        </w:rPr>
      </w:pPr>
      <w:r>
        <w:rPr>
          <w:rFonts w:hint="eastAsia"/>
          <w:color w:val="000000" w:themeColor="text1"/>
        </w:rPr>
        <w:t>表2.3-1  生猪屠宰主要产品方案一览表</w:t>
      </w:r>
    </w:p>
    <w:tbl>
      <w:tblPr>
        <w:tblStyle w:val="43"/>
        <w:tblW w:w="8522" w:type="dxa"/>
        <w:tblInd w:w="0" w:type="dxa"/>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41"/>
        <w:gridCol w:w="1310"/>
        <w:gridCol w:w="2268"/>
        <w:gridCol w:w="1701"/>
        <w:gridCol w:w="2602"/>
      </w:tblGrid>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1" w:type="dxa"/>
            <w:vAlign w:val="center"/>
          </w:tcPr>
          <w:p>
            <w:pPr>
              <w:pStyle w:val="55"/>
              <w:rPr>
                <w:color w:val="000000" w:themeColor="text1"/>
              </w:rPr>
            </w:pPr>
            <w:r>
              <w:rPr>
                <w:color w:val="000000" w:themeColor="text1"/>
              </w:rPr>
              <w:t>序号</w:t>
            </w:r>
          </w:p>
        </w:tc>
        <w:tc>
          <w:tcPr>
            <w:tcW w:w="1310" w:type="dxa"/>
            <w:vAlign w:val="center"/>
          </w:tcPr>
          <w:p>
            <w:pPr>
              <w:pStyle w:val="55"/>
              <w:rPr>
                <w:color w:val="000000" w:themeColor="text1"/>
              </w:rPr>
            </w:pPr>
            <w:r>
              <w:rPr>
                <w:color w:val="000000" w:themeColor="text1"/>
              </w:rPr>
              <w:t>产品名称</w:t>
            </w:r>
          </w:p>
        </w:tc>
        <w:tc>
          <w:tcPr>
            <w:tcW w:w="2268" w:type="dxa"/>
            <w:vAlign w:val="center"/>
          </w:tcPr>
          <w:p>
            <w:pPr>
              <w:pStyle w:val="55"/>
              <w:rPr>
                <w:color w:val="000000" w:themeColor="text1"/>
              </w:rPr>
            </w:pPr>
            <w:r>
              <w:rPr>
                <w:color w:val="000000" w:themeColor="text1"/>
              </w:rPr>
              <w:t>单头猪出产量</w:t>
            </w:r>
            <w:r>
              <w:rPr>
                <w:rFonts w:hint="eastAsia"/>
                <w:color w:val="000000" w:themeColor="text1"/>
              </w:rPr>
              <w:t>（kg/头）</w:t>
            </w:r>
          </w:p>
        </w:tc>
        <w:tc>
          <w:tcPr>
            <w:tcW w:w="1701" w:type="dxa"/>
            <w:vAlign w:val="center"/>
          </w:tcPr>
          <w:p>
            <w:pPr>
              <w:pStyle w:val="55"/>
              <w:rPr>
                <w:color w:val="000000" w:themeColor="text1"/>
              </w:rPr>
            </w:pPr>
            <w:r>
              <w:rPr>
                <w:color w:val="000000" w:themeColor="text1"/>
              </w:rPr>
              <w:t>年</w:t>
            </w:r>
            <w:r>
              <w:rPr>
                <w:rFonts w:hint="eastAsia"/>
                <w:color w:val="000000" w:themeColor="text1"/>
              </w:rPr>
              <w:t>出产</w:t>
            </w:r>
            <w:r>
              <w:rPr>
                <w:color w:val="000000" w:themeColor="text1"/>
              </w:rPr>
              <w:t>量</w:t>
            </w:r>
            <w:r>
              <w:rPr>
                <w:rFonts w:hint="eastAsia"/>
                <w:color w:val="000000" w:themeColor="text1"/>
              </w:rPr>
              <w:t>（t/a）</w:t>
            </w:r>
          </w:p>
        </w:tc>
        <w:tc>
          <w:tcPr>
            <w:tcW w:w="2602" w:type="dxa"/>
            <w:vAlign w:val="center"/>
          </w:tcPr>
          <w:p>
            <w:pPr>
              <w:pStyle w:val="55"/>
              <w:rPr>
                <w:color w:val="000000" w:themeColor="text1"/>
              </w:rPr>
            </w:pPr>
            <w:r>
              <w:rPr>
                <w:color w:val="000000" w:themeColor="text1"/>
              </w:rPr>
              <w:t>备注</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1" w:type="dxa"/>
            <w:vAlign w:val="center"/>
          </w:tcPr>
          <w:p>
            <w:pPr>
              <w:pStyle w:val="55"/>
              <w:rPr>
                <w:color w:val="000000" w:themeColor="text1"/>
              </w:rPr>
            </w:pPr>
            <w:r>
              <w:rPr>
                <w:rFonts w:hint="eastAsia"/>
                <w:color w:val="000000" w:themeColor="text1"/>
              </w:rPr>
              <w:t>1</w:t>
            </w:r>
          </w:p>
        </w:tc>
        <w:tc>
          <w:tcPr>
            <w:tcW w:w="1310" w:type="dxa"/>
            <w:vAlign w:val="center"/>
          </w:tcPr>
          <w:p>
            <w:pPr>
              <w:pStyle w:val="55"/>
              <w:rPr>
                <w:color w:val="000000" w:themeColor="text1"/>
              </w:rPr>
            </w:pPr>
            <w:r>
              <w:rPr>
                <w:rFonts w:hint="eastAsia"/>
                <w:color w:val="000000" w:themeColor="text1"/>
              </w:rPr>
              <w:t>生猪肉</w:t>
            </w:r>
          </w:p>
        </w:tc>
        <w:tc>
          <w:tcPr>
            <w:tcW w:w="2268" w:type="dxa"/>
            <w:vAlign w:val="center"/>
          </w:tcPr>
          <w:p>
            <w:pPr>
              <w:pStyle w:val="55"/>
              <w:rPr>
                <w:color w:val="000000" w:themeColor="text1"/>
              </w:rPr>
            </w:pPr>
            <w:r>
              <w:rPr>
                <w:rFonts w:hint="eastAsia"/>
                <w:color w:val="000000" w:themeColor="text1"/>
              </w:rPr>
              <w:t>80</w:t>
            </w:r>
          </w:p>
        </w:tc>
        <w:tc>
          <w:tcPr>
            <w:tcW w:w="1701" w:type="dxa"/>
            <w:vAlign w:val="center"/>
          </w:tcPr>
          <w:p>
            <w:pPr>
              <w:pStyle w:val="55"/>
              <w:rPr>
                <w:color w:val="000000" w:themeColor="text1"/>
              </w:rPr>
            </w:pPr>
            <w:r>
              <w:rPr>
                <w:rFonts w:hint="eastAsia"/>
                <w:color w:val="000000" w:themeColor="text1"/>
              </w:rPr>
              <w:t>12000</w:t>
            </w:r>
          </w:p>
        </w:tc>
        <w:tc>
          <w:tcPr>
            <w:tcW w:w="2602" w:type="dxa"/>
            <w:vAlign w:val="center"/>
          </w:tcPr>
          <w:p>
            <w:pPr>
              <w:pStyle w:val="55"/>
              <w:rPr>
                <w:color w:val="000000" w:themeColor="text1"/>
              </w:rPr>
            </w:pPr>
            <w:r>
              <w:rPr>
                <w:rFonts w:hint="eastAsia"/>
                <w:color w:val="000000" w:themeColor="text1"/>
              </w:rPr>
              <w:t>含皮</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1" w:type="dxa"/>
            <w:vAlign w:val="center"/>
          </w:tcPr>
          <w:p>
            <w:pPr>
              <w:pStyle w:val="55"/>
              <w:rPr>
                <w:color w:val="000000" w:themeColor="text1"/>
              </w:rPr>
            </w:pPr>
            <w:r>
              <w:rPr>
                <w:rFonts w:hint="eastAsia"/>
                <w:color w:val="000000" w:themeColor="text1"/>
              </w:rPr>
              <w:t>2</w:t>
            </w:r>
          </w:p>
        </w:tc>
        <w:tc>
          <w:tcPr>
            <w:tcW w:w="1310" w:type="dxa"/>
            <w:vAlign w:val="center"/>
          </w:tcPr>
          <w:p>
            <w:pPr>
              <w:pStyle w:val="55"/>
              <w:rPr>
                <w:color w:val="000000" w:themeColor="text1"/>
              </w:rPr>
            </w:pPr>
            <w:r>
              <w:rPr>
                <w:color w:val="000000" w:themeColor="text1"/>
              </w:rPr>
              <w:t>猪下货</w:t>
            </w:r>
          </w:p>
        </w:tc>
        <w:tc>
          <w:tcPr>
            <w:tcW w:w="2268" w:type="dxa"/>
            <w:vAlign w:val="center"/>
          </w:tcPr>
          <w:p>
            <w:pPr>
              <w:pStyle w:val="55"/>
              <w:rPr>
                <w:color w:val="000000" w:themeColor="text1"/>
              </w:rPr>
            </w:pPr>
            <w:r>
              <w:rPr>
                <w:rFonts w:hint="eastAsia"/>
                <w:color w:val="000000" w:themeColor="text1"/>
              </w:rPr>
              <w:t>11.33</w:t>
            </w:r>
          </w:p>
        </w:tc>
        <w:tc>
          <w:tcPr>
            <w:tcW w:w="1701" w:type="dxa"/>
            <w:vAlign w:val="center"/>
          </w:tcPr>
          <w:p>
            <w:pPr>
              <w:pStyle w:val="55"/>
              <w:rPr>
                <w:color w:val="000000" w:themeColor="text1"/>
              </w:rPr>
            </w:pPr>
            <w:r>
              <w:rPr>
                <w:rFonts w:hint="eastAsia"/>
                <w:color w:val="000000" w:themeColor="text1"/>
              </w:rPr>
              <w:t>1700</w:t>
            </w:r>
          </w:p>
        </w:tc>
        <w:tc>
          <w:tcPr>
            <w:tcW w:w="2602" w:type="dxa"/>
            <w:vAlign w:val="center"/>
          </w:tcPr>
          <w:p>
            <w:pPr>
              <w:pStyle w:val="55"/>
              <w:rPr>
                <w:color w:val="000000" w:themeColor="text1"/>
              </w:rPr>
            </w:pPr>
            <w:r>
              <w:rPr>
                <w:rFonts w:hint="eastAsia" w:ascii="Calibri" w:hAnsi="Calibri"/>
                <w:color w:val="000000" w:themeColor="text1"/>
                <w:szCs w:val="21"/>
              </w:rPr>
              <w:t>头、心、肝、肺、肚、蹄、尾</w:t>
            </w:r>
            <w:r>
              <w:rPr>
                <w:rFonts w:hint="eastAsia"/>
                <w:color w:val="000000" w:themeColor="text1"/>
              </w:rPr>
              <w:t>等</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1" w:type="dxa"/>
            <w:vAlign w:val="center"/>
          </w:tcPr>
          <w:p>
            <w:pPr>
              <w:pStyle w:val="55"/>
              <w:rPr>
                <w:color w:val="000000" w:themeColor="text1"/>
              </w:rPr>
            </w:pPr>
            <w:r>
              <w:rPr>
                <w:rFonts w:hint="eastAsia"/>
                <w:color w:val="000000" w:themeColor="text1"/>
              </w:rPr>
              <w:t>3</w:t>
            </w:r>
          </w:p>
        </w:tc>
        <w:tc>
          <w:tcPr>
            <w:tcW w:w="1310" w:type="dxa"/>
            <w:vAlign w:val="center"/>
          </w:tcPr>
          <w:p>
            <w:pPr>
              <w:pStyle w:val="55"/>
              <w:rPr>
                <w:color w:val="000000" w:themeColor="text1"/>
              </w:rPr>
            </w:pPr>
            <w:r>
              <w:rPr>
                <w:color w:val="000000" w:themeColor="text1"/>
              </w:rPr>
              <w:t>猪血</w:t>
            </w:r>
          </w:p>
        </w:tc>
        <w:tc>
          <w:tcPr>
            <w:tcW w:w="2268" w:type="dxa"/>
            <w:vAlign w:val="center"/>
          </w:tcPr>
          <w:p>
            <w:pPr>
              <w:pStyle w:val="55"/>
              <w:rPr>
                <w:color w:val="000000" w:themeColor="text1"/>
              </w:rPr>
            </w:pPr>
            <w:r>
              <w:rPr>
                <w:rFonts w:hint="eastAsia"/>
                <w:color w:val="000000" w:themeColor="text1"/>
              </w:rPr>
              <w:t>2.47</w:t>
            </w:r>
          </w:p>
        </w:tc>
        <w:tc>
          <w:tcPr>
            <w:tcW w:w="1701" w:type="dxa"/>
            <w:vAlign w:val="center"/>
          </w:tcPr>
          <w:p>
            <w:pPr>
              <w:pStyle w:val="55"/>
              <w:rPr>
                <w:color w:val="000000" w:themeColor="text1"/>
              </w:rPr>
            </w:pPr>
            <w:r>
              <w:rPr>
                <w:rFonts w:hint="eastAsia"/>
                <w:color w:val="000000" w:themeColor="text1"/>
              </w:rPr>
              <w:t>370</w:t>
            </w:r>
          </w:p>
        </w:tc>
        <w:tc>
          <w:tcPr>
            <w:tcW w:w="2602" w:type="dxa"/>
            <w:vAlign w:val="center"/>
          </w:tcPr>
          <w:p>
            <w:pPr>
              <w:pStyle w:val="55"/>
              <w:rPr>
                <w:rFonts w:ascii="Calibri" w:hAnsi="Calibri"/>
                <w:color w:val="000000" w:themeColor="text1"/>
                <w:szCs w:val="21"/>
              </w:rPr>
            </w:pP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1" w:type="dxa"/>
            <w:vAlign w:val="center"/>
          </w:tcPr>
          <w:p>
            <w:pPr>
              <w:pStyle w:val="55"/>
              <w:rPr>
                <w:color w:val="000000" w:themeColor="text1"/>
              </w:rPr>
            </w:pPr>
            <w:r>
              <w:rPr>
                <w:rFonts w:hint="eastAsia"/>
                <w:color w:val="000000" w:themeColor="text1"/>
              </w:rPr>
              <w:t>4</w:t>
            </w:r>
          </w:p>
        </w:tc>
        <w:tc>
          <w:tcPr>
            <w:tcW w:w="1310" w:type="dxa"/>
            <w:vAlign w:val="center"/>
          </w:tcPr>
          <w:p>
            <w:pPr>
              <w:pStyle w:val="55"/>
              <w:rPr>
                <w:color w:val="000000" w:themeColor="text1"/>
              </w:rPr>
            </w:pPr>
            <w:r>
              <w:rPr>
                <w:color w:val="000000" w:themeColor="text1"/>
              </w:rPr>
              <w:t>脂肪</w:t>
            </w:r>
          </w:p>
        </w:tc>
        <w:tc>
          <w:tcPr>
            <w:tcW w:w="2268" w:type="dxa"/>
            <w:vAlign w:val="center"/>
          </w:tcPr>
          <w:p>
            <w:pPr>
              <w:pStyle w:val="55"/>
              <w:rPr>
                <w:color w:val="000000" w:themeColor="text1"/>
              </w:rPr>
            </w:pPr>
            <w:r>
              <w:rPr>
                <w:rFonts w:hint="eastAsia"/>
                <w:color w:val="000000" w:themeColor="text1"/>
              </w:rPr>
              <w:t>4.67</w:t>
            </w:r>
          </w:p>
        </w:tc>
        <w:tc>
          <w:tcPr>
            <w:tcW w:w="1701" w:type="dxa"/>
            <w:vAlign w:val="center"/>
          </w:tcPr>
          <w:p>
            <w:pPr>
              <w:pStyle w:val="55"/>
              <w:rPr>
                <w:color w:val="000000" w:themeColor="text1"/>
              </w:rPr>
            </w:pPr>
            <w:r>
              <w:rPr>
                <w:rFonts w:hint="eastAsia"/>
                <w:color w:val="000000" w:themeColor="text1"/>
              </w:rPr>
              <w:t>700</w:t>
            </w:r>
          </w:p>
        </w:tc>
        <w:tc>
          <w:tcPr>
            <w:tcW w:w="2602" w:type="dxa"/>
            <w:vAlign w:val="center"/>
          </w:tcPr>
          <w:p>
            <w:pPr>
              <w:pStyle w:val="55"/>
              <w:rPr>
                <w:rFonts w:ascii="Calibri" w:hAnsi="Calibri"/>
                <w:color w:val="000000" w:themeColor="text1"/>
                <w:szCs w:val="21"/>
              </w:rPr>
            </w:pP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1" w:type="dxa"/>
            <w:vAlign w:val="center"/>
          </w:tcPr>
          <w:p>
            <w:pPr>
              <w:pStyle w:val="55"/>
              <w:rPr>
                <w:color w:val="000000" w:themeColor="text1"/>
              </w:rPr>
            </w:pPr>
            <w:r>
              <w:rPr>
                <w:rFonts w:hint="eastAsia"/>
                <w:color w:val="000000" w:themeColor="text1"/>
              </w:rPr>
              <w:t>5</w:t>
            </w:r>
          </w:p>
        </w:tc>
        <w:tc>
          <w:tcPr>
            <w:tcW w:w="1310" w:type="dxa"/>
            <w:vAlign w:val="center"/>
          </w:tcPr>
          <w:p>
            <w:pPr>
              <w:pStyle w:val="55"/>
              <w:rPr>
                <w:color w:val="000000" w:themeColor="text1"/>
              </w:rPr>
            </w:pPr>
            <w:r>
              <w:rPr>
                <w:color w:val="000000" w:themeColor="text1"/>
              </w:rPr>
              <w:t>猪毛</w:t>
            </w:r>
          </w:p>
        </w:tc>
        <w:tc>
          <w:tcPr>
            <w:tcW w:w="2268" w:type="dxa"/>
            <w:vAlign w:val="center"/>
          </w:tcPr>
          <w:p>
            <w:pPr>
              <w:pStyle w:val="55"/>
              <w:rPr>
                <w:color w:val="000000" w:themeColor="text1"/>
              </w:rPr>
            </w:pPr>
            <w:r>
              <w:rPr>
                <w:rFonts w:hint="eastAsia"/>
                <w:color w:val="000000" w:themeColor="text1"/>
              </w:rPr>
              <w:t>0.1</w:t>
            </w:r>
          </w:p>
        </w:tc>
        <w:tc>
          <w:tcPr>
            <w:tcW w:w="1701" w:type="dxa"/>
            <w:vAlign w:val="center"/>
          </w:tcPr>
          <w:p>
            <w:pPr>
              <w:pStyle w:val="55"/>
              <w:rPr>
                <w:color w:val="000000" w:themeColor="text1"/>
              </w:rPr>
            </w:pPr>
            <w:r>
              <w:rPr>
                <w:rFonts w:hint="eastAsia"/>
                <w:color w:val="000000" w:themeColor="text1"/>
              </w:rPr>
              <w:t>15</w:t>
            </w:r>
          </w:p>
        </w:tc>
        <w:tc>
          <w:tcPr>
            <w:tcW w:w="2602" w:type="dxa"/>
            <w:vAlign w:val="center"/>
          </w:tcPr>
          <w:p>
            <w:pPr>
              <w:pStyle w:val="55"/>
              <w:rPr>
                <w:rFonts w:ascii="Calibri" w:hAnsi="Calibri"/>
                <w:color w:val="000000" w:themeColor="text1"/>
                <w:szCs w:val="21"/>
              </w:rPr>
            </w:pP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1" w:type="dxa"/>
            <w:vAlign w:val="center"/>
          </w:tcPr>
          <w:p>
            <w:pPr>
              <w:pStyle w:val="55"/>
              <w:rPr>
                <w:color w:val="000000" w:themeColor="text1"/>
              </w:rPr>
            </w:pPr>
            <w:r>
              <w:rPr>
                <w:rFonts w:hint="eastAsia"/>
                <w:color w:val="000000" w:themeColor="text1"/>
              </w:rPr>
              <w:t>6</w:t>
            </w:r>
          </w:p>
        </w:tc>
        <w:tc>
          <w:tcPr>
            <w:tcW w:w="1310" w:type="dxa"/>
            <w:vAlign w:val="center"/>
          </w:tcPr>
          <w:p>
            <w:pPr>
              <w:pStyle w:val="55"/>
              <w:rPr>
                <w:color w:val="000000" w:themeColor="text1"/>
              </w:rPr>
            </w:pPr>
            <w:r>
              <w:rPr>
                <w:color w:val="000000" w:themeColor="text1"/>
              </w:rPr>
              <w:t>其他</w:t>
            </w:r>
          </w:p>
        </w:tc>
        <w:tc>
          <w:tcPr>
            <w:tcW w:w="2268" w:type="dxa"/>
            <w:vAlign w:val="center"/>
          </w:tcPr>
          <w:p>
            <w:pPr>
              <w:pStyle w:val="55"/>
              <w:rPr>
                <w:color w:val="000000" w:themeColor="text1"/>
              </w:rPr>
            </w:pPr>
            <w:r>
              <w:rPr>
                <w:rFonts w:hint="eastAsia"/>
                <w:color w:val="000000" w:themeColor="text1"/>
              </w:rPr>
              <w:t>0.2</w:t>
            </w:r>
          </w:p>
        </w:tc>
        <w:tc>
          <w:tcPr>
            <w:tcW w:w="1701" w:type="dxa"/>
            <w:vAlign w:val="center"/>
          </w:tcPr>
          <w:p>
            <w:pPr>
              <w:pStyle w:val="55"/>
              <w:rPr>
                <w:color w:val="000000" w:themeColor="text1"/>
              </w:rPr>
            </w:pPr>
            <w:r>
              <w:rPr>
                <w:rFonts w:hint="eastAsia"/>
                <w:color w:val="000000" w:themeColor="text1"/>
              </w:rPr>
              <w:t>30</w:t>
            </w:r>
          </w:p>
        </w:tc>
        <w:tc>
          <w:tcPr>
            <w:tcW w:w="2602" w:type="dxa"/>
            <w:vAlign w:val="center"/>
          </w:tcPr>
          <w:p>
            <w:pPr>
              <w:pStyle w:val="55"/>
              <w:rPr>
                <w:rFonts w:ascii="Calibri" w:hAnsi="Calibri"/>
                <w:color w:val="000000" w:themeColor="text1"/>
                <w:szCs w:val="21"/>
              </w:rPr>
            </w:pP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1" w:type="dxa"/>
            <w:vAlign w:val="center"/>
          </w:tcPr>
          <w:p>
            <w:pPr>
              <w:pStyle w:val="55"/>
              <w:rPr>
                <w:color w:val="000000" w:themeColor="text1"/>
              </w:rPr>
            </w:pPr>
            <w:r>
              <w:rPr>
                <w:rFonts w:hint="eastAsia"/>
                <w:color w:val="000000" w:themeColor="text1"/>
              </w:rPr>
              <w:t>7</w:t>
            </w:r>
          </w:p>
        </w:tc>
        <w:tc>
          <w:tcPr>
            <w:tcW w:w="1310" w:type="dxa"/>
            <w:vAlign w:val="center"/>
          </w:tcPr>
          <w:p>
            <w:pPr>
              <w:pStyle w:val="55"/>
              <w:rPr>
                <w:color w:val="000000" w:themeColor="text1"/>
              </w:rPr>
            </w:pPr>
            <w:r>
              <w:rPr>
                <w:color w:val="000000" w:themeColor="text1"/>
              </w:rPr>
              <w:t>合计</w:t>
            </w:r>
          </w:p>
        </w:tc>
        <w:tc>
          <w:tcPr>
            <w:tcW w:w="2268" w:type="dxa"/>
            <w:vAlign w:val="center"/>
          </w:tcPr>
          <w:p>
            <w:pPr>
              <w:pStyle w:val="55"/>
              <w:rPr>
                <w:color w:val="000000" w:themeColor="text1"/>
              </w:rPr>
            </w:pPr>
            <w:r>
              <w:rPr>
                <w:rFonts w:hint="eastAsia"/>
                <w:color w:val="000000" w:themeColor="text1"/>
              </w:rPr>
              <w:t>98.77</w:t>
            </w:r>
          </w:p>
        </w:tc>
        <w:tc>
          <w:tcPr>
            <w:tcW w:w="1701" w:type="dxa"/>
            <w:vAlign w:val="center"/>
          </w:tcPr>
          <w:p>
            <w:pPr>
              <w:pStyle w:val="55"/>
              <w:rPr>
                <w:color w:val="000000" w:themeColor="text1"/>
              </w:rPr>
            </w:pPr>
            <w:r>
              <w:rPr>
                <w:rFonts w:hint="eastAsia"/>
                <w:color w:val="000000" w:themeColor="text1"/>
              </w:rPr>
              <w:t>14815</w:t>
            </w:r>
          </w:p>
        </w:tc>
        <w:tc>
          <w:tcPr>
            <w:tcW w:w="2602" w:type="dxa"/>
            <w:vAlign w:val="center"/>
          </w:tcPr>
          <w:p>
            <w:pPr>
              <w:pStyle w:val="55"/>
              <w:rPr>
                <w:color w:val="000000" w:themeColor="text1"/>
              </w:rPr>
            </w:pPr>
          </w:p>
        </w:tc>
      </w:tr>
    </w:tbl>
    <w:p>
      <w:pPr>
        <w:ind w:firstLine="480"/>
        <w:rPr>
          <w:color w:val="000000" w:themeColor="text1"/>
        </w:rPr>
      </w:pPr>
      <w:r>
        <w:rPr>
          <w:color w:val="000000" w:themeColor="text1"/>
        </w:rPr>
        <w:t>本项目宰鸡场的产品为白条鸡</w:t>
      </w:r>
      <w:r>
        <w:rPr>
          <w:rFonts w:hint="eastAsia" w:ascii="Calibri" w:hAnsi="Calibri" w:cs="Calibri"/>
          <w:color w:val="000000" w:themeColor="text1"/>
        </w:rPr>
        <w:t>（不进行分割和去头爪）</w:t>
      </w:r>
      <w:r>
        <w:rPr>
          <w:color w:val="000000" w:themeColor="text1"/>
        </w:rPr>
        <w:t>和副产品</w:t>
      </w:r>
      <w:r>
        <w:rPr>
          <w:rFonts w:hint="eastAsia"/>
          <w:color w:val="000000" w:themeColor="text1"/>
        </w:rPr>
        <w:t>。项目共设有1条</w:t>
      </w:r>
      <w:r>
        <w:rPr>
          <w:rFonts w:hint="eastAsia"/>
          <w:color w:val="FF0000"/>
        </w:rPr>
        <w:t>家禽屠宰生产线</w:t>
      </w:r>
      <w:r>
        <w:rPr>
          <w:rFonts w:hint="eastAsia"/>
          <w:color w:val="000000" w:themeColor="text1"/>
        </w:rPr>
        <w:t>，预计年屠宰生鸡80万只。每只鸡按3</w:t>
      </w:r>
      <w:r>
        <w:rPr>
          <w:color w:val="000000" w:themeColor="text1"/>
        </w:rPr>
        <w:t>kg</w:t>
      </w:r>
      <w:r>
        <w:rPr>
          <w:rFonts w:hint="eastAsia"/>
          <w:color w:val="000000" w:themeColor="text1"/>
        </w:rPr>
        <w:t>计，产品方案见表2.3-2。</w:t>
      </w:r>
    </w:p>
    <w:p>
      <w:pPr>
        <w:pStyle w:val="54"/>
        <w:rPr>
          <w:color w:val="000000" w:themeColor="text1"/>
        </w:rPr>
      </w:pPr>
      <w:r>
        <w:rPr>
          <w:rFonts w:hint="eastAsia"/>
          <w:color w:val="000000" w:themeColor="text1"/>
        </w:rPr>
        <w:t>表2.3-2  生鸡屠宰主要产品方案一览表</w:t>
      </w:r>
    </w:p>
    <w:tbl>
      <w:tblPr>
        <w:tblStyle w:val="43"/>
        <w:tblW w:w="8522" w:type="dxa"/>
        <w:tblInd w:w="0" w:type="dxa"/>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41"/>
        <w:gridCol w:w="1310"/>
        <w:gridCol w:w="2268"/>
        <w:gridCol w:w="1701"/>
        <w:gridCol w:w="2602"/>
      </w:tblGrid>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1" w:type="dxa"/>
            <w:vAlign w:val="center"/>
          </w:tcPr>
          <w:p>
            <w:pPr>
              <w:pStyle w:val="55"/>
              <w:rPr>
                <w:color w:val="000000" w:themeColor="text1"/>
              </w:rPr>
            </w:pPr>
            <w:r>
              <w:rPr>
                <w:color w:val="000000" w:themeColor="text1"/>
              </w:rPr>
              <w:t>序号</w:t>
            </w:r>
          </w:p>
        </w:tc>
        <w:tc>
          <w:tcPr>
            <w:tcW w:w="1310" w:type="dxa"/>
            <w:vAlign w:val="center"/>
          </w:tcPr>
          <w:p>
            <w:pPr>
              <w:pStyle w:val="55"/>
              <w:rPr>
                <w:color w:val="000000" w:themeColor="text1"/>
              </w:rPr>
            </w:pPr>
            <w:r>
              <w:rPr>
                <w:color w:val="000000" w:themeColor="text1"/>
              </w:rPr>
              <w:t>产品名称</w:t>
            </w:r>
          </w:p>
        </w:tc>
        <w:tc>
          <w:tcPr>
            <w:tcW w:w="2268" w:type="dxa"/>
            <w:vAlign w:val="center"/>
          </w:tcPr>
          <w:p>
            <w:pPr>
              <w:pStyle w:val="55"/>
              <w:rPr>
                <w:color w:val="000000" w:themeColor="text1"/>
              </w:rPr>
            </w:pPr>
            <w:r>
              <w:rPr>
                <w:color w:val="000000" w:themeColor="text1"/>
              </w:rPr>
              <w:t>单</w:t>
            </w:r>
            <w:r>
              <w:rPr>
                <w:rFonts w:hint="eastAsia"/>
                <w:color w:val="000000" w:themeColor="text1"/>
              </w:rPr>
              <w:t>只</w:t>
            </w:r>
            <w:r>
              <w:rPr>
                <w:color w:val="000000" w:themeColor="text1"/>
              </w:rPr>
              <w:t>鸡出产量</w:t>
            </w:r>
            <w:r>
              <w:rPr>
                <w:rFonts w:hint="eastAsia"/>
                <w:color w:val="000000" w:themeColor="text1"/>
              </w:rPr>
              <w:t>（kg/只）</w:t>
            </w:r>
          </w:p>
        </w:tc>
        <w:tc>
          <w:tcPr>
            <w:tcW w:w="1701" w:type="dxa"/>
            <w:vAlign w:val="center"/>
          </w:tcPr>
          <w:p>
            <w:pPr>
              <w:pStyle w:val="55"/>
              <w:rPr>
                <w:color w:val="000000" w:themeColor="text1"/>
              </w:rPr>
            </w:pPr>
            <w:r>
              <w:rPr>
                <w:color w:val="000000" w:themeColor="text1"/>
              </w:rPr>
              <w:t>年</w:t>
            </w:r>
            <w:r>
              <w:rPr>
                <w:rFonts w:hint="eastAsia"/>
                <w:color w:val="000000" w:themeColor="text1"/>
              </w:rPr>
              <w:t>出产</w:t>
            </w:r>
            <w:r>
              <w:rPr>
                <w:color w:val="000000" w:themeColor="text1"/>
              </w:rPr>
              <w:t>量</w:t>
            </w:r>
            <w:r>
              <w:rPr>
                <w:rFonts w:hint="eastAsia"/>
                <w:color w:val="000000" w:themeColor="text1"/>
              </w:rPr>
              <w:t>（t/a）</w:t>
            </w:r>
          </w:p>
        </w:tc>
        <w:tc>
          <w:tcPr>
            <w:tcW w:w="2602" w:type="dxa"/>
            <w:vAlign w:val="center"/>
          </w:tcPr>
          <w:p>
            <w:pPr>
              <w:pStyle w:val="55"/>
              <w:rPr>
                <w:color w:val="000000" w:themeColor="text1"/>
              </w:rPr>
            </w:pPr>
            <w:r>
              <w:rPr>
                <w:color w:val="000000" w:themeColor="text1"/>
              </w:rPr>
              <w:t>备注</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1" w:type="dxa"/>
            <w:vAlign w:val="center"/>
          </w:tcPr>
          <w:p>
            <w:pPr>
              <w:pStyle w:val="55"/>
              <w:rPr>
                <w:color w:val="000000" w:themeColor="text1"/>
              </w:rPr>
            </w:pPr>
            <w:r>
              <w:rPr>
                <w:rFonts w:hint="eastAsia"/>
                <w:color w:val="000000" w:themeColor="text1"/>
              </w:rPr>
              <w:t>1</w:t>
            </w:r>
          </w:p>
        </w:tc>
        <w:tc>
          <w:tcPr>
            <w:tcW w:w="1310" w:type="dxa"/>
            <w:vAlign w:val="center"/>
          </w:tcPr>
          <w:p>
            <w:pPr>
              <w:pStyle w:val="55"/>
              <w:rPr>
                <w:color w:val="000000" w:themeColor="text1"/>
              </w:rPr>
            </w:pPr>
            <w:r>
              <w:rPr>
                <w:rFonts w:hint="eastAsia"/>
                <w:color w:val="000000" w:themeColor="text1"/>
              </w:rPr>
              <w:t>白条鸡</w:t>
            </w:r>
          </w:p>
        </w:tc>
        <w:tc>
          <w:tcPr>
            <w:tcW w:w="2268" w:type="dxa"/>
            <w:vAlign w:val="center"/>
          </w:tcPr>
          <w:p>
            <w:pPr>
              <w:pStyle w:val="55"/>
              <w:rPr>
                <w:color w:val="000000" w:themeColor="text1"/>
              </w:rPr>
            </w:pPr>
            <w:r>
              <w:rPr>
                <w:rFonts w:hint="eastAsia"/>
                <w:color w:val="000000" w:themeColor="text1"/>
              </w:rPr>
              <w:t>2.4</w:t>
            </w:r>
          </w:p>
        </w:tc>
        <w:tc>
          <w:tcPr>
            <w:tcW w:w="1701" w:type="dxa"/>
            <w:vAlign w:val="center"/>
          </w:tcPr>
          <w:p>
            <w:pPr>
              <w:pStyle w:val="55"/>
              <w:rPr>
                <w:color w:val="000000" w:themeColor="text1"/>
              </w:rPr>
            </w:pPr>
            <w:r>
              <w:rPr>
                <w:rFonts w:hint="eastAsia"/>
                <w:color w:val="000000" w:themeColor="text1"/>
              </w:rPr>
              <w:t>1920</w:t>
            </w:r>
          </w:p>
        </w:tc>
        <w:tc>
          <w:tcPr>
            <w:tcW w:w="2602" w:type="dxa"/>
            <w:vAlign w:val="center"/>
          </w:tcPr>
          <w:p>
            <w:pPr>
              <w:pStyle w:val="55"/>
              <w:rPr>
                <w:color w:val="000000" w:themeColor="text1"/>
              </w:rPr>
            </w:pP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1" w:type="dxa"/>
            <w:vAlign w:val="center"/>
          </w:tcPr>
          <w:p>
            <w:pPr>
              <w:pStyle w:val="55"/>
              <w:rPr>
                <w:color w:val="000000" w:themeColor="text1"/>
              </w:rPr>
            </w:pPr>
            <w:r>
              <w:rPr>
                <w:rFonts w:hint="eastAsia"/>
                <w:color w:val="000000" w:themeColor="text1"/>
              </w:rPr>
              <w:t>2</w:t>
            </w:r>
          </w:p>
        </w:tc>
        <w:tc>
          <w:tcPr>
            <w:tcW w:w="1310" w:type="dxa"/>
            <w:vAlign w:val="center"/>
          </w:tcPr>
          <w:p>
            <w:pPr>
              <w:pStyle w:val="55"/>
              <w:rPr>
                <w:color w:val="000000" w:themeColor="text1"/>
              </w:rPr>
            </w:pPr>
            <w:r>
              <w:rPr>
                <w:rFonts w:hint="eastAsia"/>
                <w:color w:val="000000" w:themeColor="text1"/>
              </w:rPr>
              <w:t>副产品</w:t>
            </w:r>
          </w:p>
        </w:tc>
        <w:tc>
          <w:tcPr>
            <w:tcW w:w="2268" w:type="dxa"/>
            <w:vAlign w:val="center"/>
          </w:tcPr>
          <w:p>
            <w:pPr>
              <w:pStyle w:val="55"/>
              <w:rPr>
                <w:color w:val="000000" w:themeColor="text1"/>
              </w:rPr>
            </w:pPr>
            <w:r>
              <w:rPr>
                <w:rFonts w:hint="eastAsia"/>
                <w:color w:val="000000" w:themeColor="text1"/>
              </w:rPr>
              <w:t>0.333</w:t>
            </w:r>
          </w:p>
        </w:tc>
        <w:tc>
          <w:tcPr>
            <w:tcW w:w="1701" w:type="dxa"/>
            <w:vAlign w:val="center"/>
          </w:tcPr>
          <w:p>
            <w:pPr>
              <w:pStyle w:val="55"/>
              <w:rPr>
                <w:color w:val="000000" w:themeColor="text1"/>
              </w:rPr>
            </w:pPr>
            <w:r>
              <w:rPr>
                <w:rFonts w:hint="eastAsia"/>
                <w:color w:val="000000" w:themeColor="text1"/>
              </w:rPr>
              <w:t>266</w:t>
            </w:r>
          </w:p>
        </w:tc>
        <w:tc>
          <w:tcPr>
            <w:tcW w:w="2602" w:type="dxa"/>
            <w:vAlign w:val="center"/>
          </w:tcPr>
          <w:p>
            <w:pPr>
              <w:pStyle w:val="55"/>
              <w:rPr>
                <w:color w:val="000000" w:themeColor="text1"/>
              </w:rPr>
            </w:pPr>
            <w:r>
              <w:rPr>
                <w:rFonts w:hint="eastAsia" w:ascii="Calibri" w:hAnsi="Calibri"/>
                <w:color w:val="000000" w:themeColor="text1"/>
                <w:szCs w:val="21"/>
              </w:rPr>
              <w:t>鸡血及心、肝、肠、胃</w:t>
            </w:r>
            <w:r>
              <w:rPr>
                <w:rFonts w:hint="eastAsia"/>
                <w:color w:val="000000" w:themeColor="text1"/>
              </w:rPr>
              <w:t>等可食内脏</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1" w:type="dxa"/>
            <w:vAlign w:val="center"/>
          </w:tcPr>
          <w:p>
            <w:pPr>
              <w:pStyle w:val="55"/>
              <w:rPr>
                <w:color w:val="000000" w:themeColor="text1"/>
              </w:rPr>
            </w:pPr>
            <w:r>
              <w:rPr>
                <w:rFonts w:hint="eastAsia"/>
                <w:color w:val="000000" w:themeColor="text1"/>
              </w:rPr>
              <w:t>3</w:t>
            </w:r>
          </w:p>
        </w:tc>
        <w:tc>
          <w:tcPr>
            <w:tcW w:w="1310" w:type="dxa"/>
            <w:vAlign w:val="center"/>
          </w:tcPr>
          <w:p>
            <w:pPr>
              <w:pStyle w:val="55"/>
              <w:rPr>
                <w:color w:val="000000" w:themeColor="text1"/>
              </w:rPr>
            </w:pPr>
            <w:r>
              <w:rPr>
                <w:rFonts w:hint="eastAsia"/>
                <w:color w:val="000000" w:themeColor="text1"/>
              </w:rPr>
              <w:t>鸡</w:t>
            </w:r>
            <w:r>
              <w:rPr>
                <w:color w:val="000000" w:themeColor="text1"/>
              </w:rPr>
              <w:t>毛</w:t>
            </w:r>
          </w:p>
        </w:tc>
        <w:tc>
          <w:tcPr>
            <w:tcW w:w="2268" w:type="dxa"/>
            <w:vAlign w:val="center"/>
          </w:tcPr>
          <w:p>
            <w:pPr>
              <w:pStyle w:val="55"/>
              <w:rPr>
                <w:color w:val="000000" w:themeColor="text1"/>
              </w:rPr>
            </w:pPr>
            <w:r>
              <w:rPr>
                <w:rFonts w:hint="eastAsia"/>
                <w:color w:val="000000" w:themeColor="text1"/>
              </w:rPr>
              <w:t>0.12</w:t>
            </w:r>
          </w:p>
        </w:tc>
        <w:tc>
          <w:tcPr>
            <w:tcW w:w="1701" w:type="dxa"/>
            <w:vAlign w:val="center"/>
          </w:tcPr>
          <w:p>
            <w:pPr>
              <w:pStyle w:val="55"/>
              <w:rPr>
                <w:color w:val="000000" w:themeColor="text1"/>
              </w:rPr>
            </w:pPr>
            <w:r>
              <w:rPr>
                <w:rFonts w:hint="eastAsia"/>
                <w:color w:val="000000" w:themeColor="text1"/>
              </w:rPr>
              <w:t>96</w:t>
            </w:r>
          </w:p>
        </w:tc>
        <w:tc>
          <w:tcPr>
            <w:tcW w:w="2602" w:type="dxa"/>
            <w:vAlign w:val="center"/>
          </w:tcPr>
          <w:p>
            <w:pPr>
              <w:pStyle w:val="55"/>
              <w:rPr>
                <w:rFonts w:ascii="Calibri" w:hAnsi="Calibri"/>
                <w:color w:val="000000" w:themeColor="text1"/>
                <w:szCs w:val="21"/>
              </w:rPr>
            </w:pP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1" w:type="dxa"/>
            <w:vAlign w:val="center"/>
          </w:tcPr>
          <w:p>
            <w:pPr>
              <w:pStyle w:val="55"/>
              <w:rPr>
                <w:color w:val="000000" w:themeColor="text1"/>
              </w:rPr>
            </w:pPr>
            <w:r>
              <w:rPr>
                <w:rFonts w:hint="eastAsia"/>
                <w:color w:val="000000" w:themeColor="text1"/>
              </w:rPr>
              <w:t>4</w:t>
            </w:r>
          </w:p>
        </w:tc>
        <w:tc>
          <w:tcPr>
            <w:tcW w:w="1310" w:type="dxa"/>
            <w:vAlign w:val="center"/>
          </w:tcPr>
          <w:p>
            <w:pPr>
              <w:pStyle w:val="55"/>
              <w:rPr>
                <w:color w:val="000000" w:themeColor="text1"/>
              </w:rPr>
            </w:pPr>
            <w:r>
              <w:rPr>
                <w:color w:val="000000" w:themeColor="text1"/>
              </w:rPr>
              <w:t>合计</w:t>
            </w:r>
          </w:p>
        </w:tc>
        <w:tc>
          <w:tcPr>
            <w:tcW w:w="2268" w:type="dxa"/>
            <w:vAlign w:val="center"/>
          </w:tcPr>
          <w:p>
            <w:pPr>
              <w:pStyle w:val="55"/>
              <w:rPr>
                <w:color w:val="000000" w:themeColor="text1"/>
              </w:rPr>
            </w:pPr>
            <w:r>
              <w:rPr>
                <w:rFonts w:hint="eastAsia"/>
                <w:color w:val="000000" w:themeColor="text1"/>
              </w:rPr>
              <w:t>2.853</w:t>
            </w:r>
          </w:p>
        </w:tc>
        <w:tc>
          <w:tcPr>
            <w:tcW w:w="1701" w:type="dxa"/>
            <w:vAlign w:val="center"/>
          </w:tcPr>
          <w:p>
            <w:pPr>
              <w:pStyle w:val="55"/>
              <w:rPr>
                <w:color w:val="000000" w:themeColor="text1"/>
              </w:rPr>
            </w:pPr>
            <w:r>
              <w:rPr>
                <w:rFonts w:hint="eastAsia"/>
                <w:color w:val="000000" w:themeColor="text1"/>
              </w:rPr>
              <w:t>2282</w:t>
            </w:r>
          </w:p>
        </w:tc>
        <w:tc>
          <w:tcPr>
            <w:tcW w:w="2602" w:type="dxa"/>
            <w:vAlign w:val="center"/>
          </w:tcPr>
          <w:p>
            <w:pPr>
              <w:pStyle w:val="55"/>
              <w:rPr>
                <w:color w:val="000000" w:themeColor="text1"/>
              </w:rPr>
            </w:pPr>
          </w:p>
        </w:tc>
      </w:tr>
    </w:tbl>
    <w:p>
      <w:pPr>
        <w:pStyle w:val="3"/>
        <w:rPr>
          <w:color w:val="000000" w:themeColor="text1"/>
        </w:rPr>
      </w:pPr>
      <w:bookmarkStart w:id="38" w:name="_Toc47375800"/>
      <w:r>
        <w:rPr>
          <w:rFonts w:hint="eastAsia"/>
          <w:color w:val="000000" w:themeColor="text1"/>
        </w:rPr>
        <w:t>2.4主要原辅料、能耗及主要生产设备</w:t>
      </w:r>
      <w:bookmarkEnd w:id="38"/>
    </w:p>
    <w:p>
      <w:pPr>
        <w:ind w:firstLine="480"/>
        <w:rPr>
          <w:color w:val="000000" w:themeColor="text1"/>
        </w:rPr>
      </w:pPr>
      <w:r>
        <w:rPr>
          <w:rFonts w:hint="eastAsia"/>
          <w:color w:val="000000" w:themeColor="text1"/>
        </w:rPr>
        <w:t>主要原辅材料及能源消耗见表2.4-1。</w:t>
      </w:r>
    </w:p>
    <w:p>
      <w:pPr>
        <w:pStyle w:val="54"/>
        <w:rPr>
          <w:color w:val="000000" w:themeColor="text1"/>
        </w:rPr>
      </w:pPr>
      <w:r>
        <w:rPr>
          <w:rFonts w:hint="eastAsia"/>
          <w:color w:val="000000" w:themeColor="text1"/>
        </w:rPr>
        <w:t>表2.4-1  项目原辅材料及能源消耗一览表</w:t>
      </w:r>
    </w:p>
    <w:tbl>
      <w:tblPr>
        <w:tblStyle w:val="43"/>
        <w:tblW w:w="8472" w:type="dxa"/>
        <w:tblInd w:w="0" w:type="dxa"/>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75"/>
        <w:gridCol w:w="1701"/>
        <w:gridCol w:w="2977"/>
        <w:gridCol w:w="3119"/>
      </w:tblGrid>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pStyle w:val="55"/>
              <w:rPr>
                <w:color w:val="000000" w:themeColor="text1"/>
              </w:rPr>
            </w:pPr>
            <w:r>
              <w:rPr>
                <w:color w:val="000000" w:themeColor="text1"/>
              </w:rPr>
              <w:t>序号</w:t>
            </w:r>
          </w:p>
        </w:tc>
        <w:tc>
          <w:tcPr>
            <w:tcW w:w="1701" w:type="dxa"/>
            <w:vAlign w:val="center"/>
          </w:tcPr>
          <w:p>
            <w:pPr>
              <w:pStyle w:val="55"/>
              <w:rPr>
                <w:color w:val="000000" w:themeColor="text1"/>
              </w:rPr>
            </w:pPr>
            <w:r>
              <w:rPr>
                <w:color w:val="000000" w:themeColor="text1"/>
              </w:rPr>
              <w:t>物料名称</w:t>
            </w:r>
          </w:p>
        </w:tc>
        <w:tc>
          <w:tcPr>
            <w:tcW w:w="2977" w:type="dxa"/>
            <w:vAlign w:val="center"/>
          </w:tcPr>
          <w:p>
            <w:pPr>
              <w:pStyle w:val="55"/>
              <w:rPr>
                <w:color w:val="000000" w:themeColor="text1"/>
              </w:rPr>
            </w:pPr>
            <w:r>
              <w:rPr>
                <w:color w:val="000000" w:themeColor="text1"/>
              </w:rPr>
              <w:t>年用量</w:t>
            </w:r>
          </w:p>
        </w:tc>
        <w:tc>
          <w:tcPr>
            <w:tcW w:w="3119" w:type="dxa"/>
            <w:vAlign w:val="center"/>
          </w:tcPr>
          <w:p>
            <w:pPr>
              <w:pStyle w:val="55"/>
              <w:rPr>
                <w:color w:val="000000" w:themeColor="text1"/>
              </w:rPr>
            </w:pPr>
            <w:r>
              <w:rPr>
                <w:color w:val="000000" w:themeColor="text1"/>
              </w:rPr>
              <w:t>来源</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pStyle w:val="55"/>
              <w:rPr>
                <w:color w:val="000000" w:themeColor="text1"/>
              </w:rPr>
            </w:pPr>
            <w:r>
              <w:rPr>
                <w:rFonts w:hint="eastAsia"/>
                <w:color w:val="000000" w:themeColor="text1"/>
              </w:rPr>
              <w:t>1</w:t>
            </w:r>
          </w:p>
        </w:tc>
        <w:tc>
          <w:tcPr>
            <w:tcW w:w="1701" w:type="dxa"/>
            <w:vAlign w:val="center"/>
          </w:tcPr>
          <w:p>
            <w:pPr>
              <w:pStyle w:val="55"/>
              <w:rPr>
                <w:color w:val="000000" w:themeColor="text1"/>
              </w:rPr>
            </w:pPr>
            <w:r>
              <w:rPr>
                <w:color w:val="000000" w:themeColor="text1"/>
              </w:rPr>
              <w:t>生猪</w:t>
            </w:r>
          </w:p>
        </w:tc>
        <w:tc>
          <w:tcPr>
            <w:tcW w:w="2977" w:type="dxa"/>
            <w:vAlign w:val="center"/>
          </w:tcPr>
          <w:p>
            <w:pPr>
              <w:pStyle w:val="55"/>
              <w:rPr>
                <w:color w:val="000000" w:themeColor="text1"/>
              </w:rPr>
            </w:pPr>
            <w:r>
              <w:rPr>
                <w:rFonts w:hint="eastAsia"/>
                <w:color w:val="000000" w:themeColor="text1"/>
              </w:rPr>
              <w:t>15万头（按100kg/头计）</w:t>
            </w:r>
          </w:p>
        </w:tc>
        <w:tc>
          <w:tcPr>
            <w:tcW w:w="3119" w:type="dxa"/>
            <w:vAlign w:val="center"/>
          </w:tcPr>
          <w:p>
            <w:pPr>
              <w:pStyle w:val="55"/>
              <w:rPr>
                <w:color w:val="000000" w:themeColor="text1"/>
              </w:rPr>
            </w:pPr>
            <w:r>
              <w:rPr>
                <w:color w:val="000000" w:themeColor="text1"/>
              </w:rPr>
              <w:t>本地养殖场</w:t>
            </w:r>
            <w:r>
              <w:rPr>
                <w:rFonts w:hint="eastAsia"/>
                <w:color w:val="000000" w:themeColor="text1"/>
              </w:rPr>
              <w:t>、</w:t>
            </w:r>
            <w:r>
              <w:rPr>
                <w:color w:val="000000" w:themeColor="text1"/>
              </w:rPr>
              <w:t>养殖户</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pStyle w:val="55"/>
              <w:rPr>
                <w:color w:val="000000" w:themeColor="text1"/>
              </w:rPr>
            </w:pPr>
            <w:r>
              <w:rPr>
                <w:rFonts w:hint="eastAsia"/>
                <w:color w:val="000000" w:themeColor="text1"/>
              </w:rPr>
              <w:t>2</w:t>
            </w:r>
          </w:p>
        </w:tc>
        <w:tc>
          <w:tcPr>
            <w:tcW w:w="1701" w:type="dxa"/>
            <w:vAlign w:val="center"/>
          </w:tcPr>
          <w:p>
            <w:pPr>
              <w:pStyle w:val="55"/>
              <w:rPr>
                <w:color w:val="000000" w:themeColor="text1"/>
              </w:rPr>
            </w:pPr>
            <w:r>
              <w:rPr>
                <w:color w:val="000000" w:themeColor="text1"/>
              </w:rPr>
              <w:t>生鸡</w:t>
            </w:r>
          </w:p>
        </w:tc>
        <w:tc>
          <w:tcPr>
            <w:tcW w:w="2977" w:type="dxa"/>
            <w:vAlign w:val="center"/>
          </w:tcPr>
          <w:p>
            <w:pPr>
              <w:pStyle w:val="55"/>
              <w:rPr>
                <w:color w:val="000000" w:themeColor="text1"/>
              </w:rPr>
            </w:pPr>
            <w:r>
              <w:rPr>
                <w:rFonts w:hint="eastAsia"/>
                <w:color w:val="000000" w:themeColor="text1"/>
              </w:rPr>
              <w:t>80万只（按3kg/只计）</w:t>
            </w:r>
          </w:p>
        </w:tc>
        <w:tc>
          <w:tcPr>
            <w:tcW w:w="3119" w:type="dxa"/>
            <w:vAlign w:val="center"/>
          </w:tcPr>
          <w:p>
            <w:pPr>
              <w:pStyle w:val="55"/>
              <w:rPr>
                <w:color w:val="000000" w:themeColor="text1"/>
              </w:rPr>
            </w:pPr>
            <w:r>
              <w:rPr>
                <w:color w:val="000000" w:themeColor="text1"/>
              </w:rPr>
              <w:t>本地养殖场</w:t>
            </w:r>
            <w:r>
              <w:rPr>
                <w:rFonts w:hint="eastAsia"/>
                <w:color w:val="000000" w:themeColor="text1"/>
              </w:rPr>
              <w:t>、</w:t>
            </w:r>
            <w:r>
              <w:rPr>
                <w:color w:val="000000" w:themeColor="text1"/>
              </w:rPr>
              <w:t>养殖户</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pStyle w:val="55"/>
              <w:rPr>
                <w:color w:val="000000" w:themeColor="text1"/>
              </w:rPr>
            </w:pPr>
            <w:r>
              <w:rPr>
                <w:rFonts w:hint="eastAsia"/>
                <w:color w:val="000000" w:themeColor="text1"/>
              </w:rPr>
              <w:t>3</w:t>
            </w:r>
          </w:p>
        </w:tc>
        <w:tc>
          <w:tcPr>
            <w:tcW w:w="1701" w:type="dxa"/>
            <w:vAlign w:val="center"/>
          </w:tcPr>
          <w:p>
            <w:pPr>
              <w:pStyle w:val="55"/>
              <w:rPr>
                <w:color w:val="000000" w:themeColor="text1"/>
              </w:rPr>
            </w:pPr>
            <w:r>
              <w:rPr>
                <w:color w:val="000000" w:themeColor="text1"/>
              </w:rPr>
              <w:t>生物质燃料</w:t>
            </w:r>
          </w:p>
        </w:tc>
        <w:tc>
          <w:tcPr>
            <w:tcW w:w="2977" w:type="dxa"/>
            <w:vAlign w:val="center"/>
          </w:tcPr>
          <w:p>
            <w:pPr>
              <w:pStyle w:val="55"/>
              <w:rPr>
                <w:color w:val="000000" w:themeColor="text1"/>
              </w:rPr>
            </w:pPr>
            <w:r>
              <w:rPr>
                <w:rFonts w:hint="eastAsia"/>
                <w:color w:val="000000" w:themeColor="text1"/>
              </w:rPr>
              <w:t>21.6t/a（按180天计，120kg/d）</w:t>
            </w:r>
          </w:p>
        </w:tc>
        <w:tc>
          <w:tcPr>
            <w:tcW w:w="3119" w:type="dxa"/>
            <w:vAlign w:val="center"/>
          </w:tcPr>
          <w:p>
            <w:pPr>
              <w:pStyle w:val="55"/>
              <w:rPr>
                <w:color w:val="000000" w:themeColor="text1"/>
              </w:rPr>
            </w:pPr>
            <w:r>
              <w:rPr>
                <w:color w:val="000000" w:themeColor="text1"/>
              </w:rPr>
              <w:t>外购</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pStyle w:val="55"/>
              <w:rPr>
                <w:color w:val="000000" w:themeColor="text1"/>
              </w:rPr>
            </w:pPr>
            <w:r>
              <w:rPr>
                <w:rFonts w:hint="eastAsia"/>
                <w:color w:val="000000" w:themeColor="text1"/>
              </w:rPr>
              <w:t>4</w:t>
            </w:r>
          </w:p>
        </w:tc>
        <w:tc>
          <w:tcPr>
            <w:tcW w:w="1701" w:type="dxa"/>
            <w:vAlign w:val="center"/>
          </w:tcPr>
          <w:p>
            <w:pPr>
              <w:pStyle w:val="55"/>
              <w:rPr>
                <w:color w:val="000000" w:themeColor="text1"/>
              </w:rPr>
            </w:pPr>
            <w:r>
              <w:rPr>
                <w:rFonts w:hint="eastAsia"/>
                <w:color w:val="000000" w:themeColor="text1"/>
              </w:rPr>
              <w:t>氟利昂-22</w:t>
            </w:r>
          </w:p>
        </w:tc>
        <w:tc>
          <w:tcPr>
            <w:tcW w:w="2977" w:type="dxa"/>
            <w:vAlign w:val="center"/>
          </w:tcPr>
          <w:p>
            <w:pPr>
              <w:pStyle w:val="55"/>
              <w:rPr>
                <w:color w:val="000000" w:themeColor="text1"/>
              </w:rPr>
            </w:pPr>
            <w:r>
              <w:rPr>
                <w:rFonts w:hint="eastAsia"/>
                <w:color w:val="000000" w:themeColor="text1"/>
              </w:rPr>
              <w:t>0.5t/a</w:t>
            </w:r>
          </w:p>
        </w:tc>
        <w:tc>
          <w:tcPr>
            <w:tcW w:w="3119" w:type="dxa"/>
            <w:vAlign w:val="center"/>
          </w:tcPr>
          <w:p>
            <w:pPr>
              <w:pStyle w:val="55"/>
              <w:rPr>
                <w:color w:val="000000" w:themeColor="text1"/>
              </w:rPr>
            </w:pPr>
            <w:r>
              <w:rPr>
                <w:color w:val="000000" w:themeColor="text1"/>
              </w:rPr>
              <w:t>外购</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pStyle w:val="55"/>
              <w:rPr>
                <w:color w:val="000000" w:themeColor="text1"/>
              </w:rPr>
            </w:pPr>
            <w:r>
              <w:rPr>
                <w:rFonts w:hint="eastAsia"/>
                <w:color w:val="000000" w:themeColor="text1"/>
              </w:rPr>
              <w:t>5</w:t>
            </w:r>
          </w:p>
        </w:tc>
        <w:tc>
          <w:tcPr>
            <w:tcW w:w="1701" w:type="dxa"/>
            <w:vAlign w:val="center"/>
          </w:tcPr>
          <w:p>
            <w:pPr>
              <w:pStyle w:val="55"/>
              <w:rPr>
                <w:color w:val="000000" w:themeColor="text1"/>
              </w:rPr>
            </w:pPr>
            <w:r>
              <w:rPr>
                <w:color w:val="000000" w:themeColor="text1"/>
              </w:rPr>
              <w:t>次氯酸钠</w:t>
            </w:r>
          </w:p>
        </w:tc>
        <w:tc>
          <w:tcPr>
            <w:tcW w:w="2977" w:type="dxa"/>
            <w:vAlign w:val="center"/>
          </w:tcPr>
          <w:p>
            <w:pPr>
              <w:pStyle w:val="55"/>
              <w:rPr>
                <w:color w:val="000000" w:themeColor="text1"/>
              </w:rPr>
            </w:pPr>
            <w:r>
              <w:rPr>
                <w:rFonts w:hint="eastAsia"/>
                <w:color w:val="000000" w:themeColor="text1"/>
              </w:rPr>
              <w:t>10t/a</w:t>
            </w:r>
          </w:p>
        </w:tc>
        <w:tc>
          <w:tcPr>
            <w:tcW w:w="3119" w:type="dxa"/>
            <w:vAlign w:val="center"/>
          </w:tcPr>
          <w:p>
            <w:pPr>
              <w:pStyle w:val="55"/>
              <w:rPr>
                <w:color w:val="000000" w:themeColor="text1"/>
              </w:rPr>
            </w:pPr>
            <w:r>
              <w:rPr>
                <w:color w:val="000000" w:themeColor="text1"/>
              </w:rPr>
              <w:t>外购</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pStyle w:val="55"/>
              <w:rPr>
                <w:color w:val="000000" w:themeColor="text1"/>
              </w:rPr>
            </w:pPr>
            <w:r>
              <w:rPr>
                <w:rFonts w:hint="eastAsia"/>
                <w:color w:val="000000" w:themeColor="text1"/>
              </w:rPr>
              <w:t>6</w:t>
            </w:r>
          </w:p>
        </w:tc>
        <w:tc>
          <w:tcPr>
            <w:tcW w:w="1701" w:type="dxa"/>
            <w:vAlign w:val="center"/>
          </w:tcPr>
          <w:p>
            <w:pPr>
              <w:pStyle w:val="55"/>
              <w:rPr>
                <w:color w:val="000000" w:themeColor="text1"/>
              </w:rPr>
            </w:pPr>
            <w:r>
              <w:rPr>
                <w:color w:val="000000" w:themeColor="text1"/>
              </w:rPr>
              <w:t>柴油</w:t>
            </w:r>
          </w:p>
        </w:tc>
        <w:tc>
          <w:tcPr>
            <w:tcW w:w="2977" w:type="dxa"/>
            <w:vAlign w:val="center"/>
          </w:tcPr>
          <w:p>
            <w:pPr>
              <w:pStyle w:val="55"/>
              <w:rPr>
                <w:color w:val="000000" w:themeColor="text1"/>
              </w:rPr>
            </w:pPr>
            <w:r>
              <w:rPr>
                <w:rFonts w:hint="eastAsia"/>
                <w:color w:val="000000" w:themeColor="text1"/>
              </w:rPr>
              <w:t>20L/a</w:t>
            </w:r>
          </w:p>
        </w:tc>
        <w:tc>
          <w:tcPr>
            <w:tcW w:w="3119" w:type="dxa"/>
            <w:vAlign w:val="center"/>
          </w:tcPr>
          <w:p>
            <w:pPr>
              <w:pStyle w:val="55"/>
              <w:rPr>
                <w:color w:val="000000" w:themeColor="text1"/>
              </w:rPr>
            </w:pPr>
            <w:r>
              <w:rPr>
                <w:color w:val="000000" w:themeColor="text1"/>
              </w:rPr>
              <w:t>厂区内不储存</w:t>
            </w:r>
            <w:r>
              <w:rPr>
                <w:rFonts w:hint="eastAsia"/>
                <w:color w:val="000000" w:themeColor="text1"/>
              </w:rPr>
              <w:t>，</w:t>
            </w:r>
            <w:r>
              <w:rPr>
                <w:color w:val="000000" w:themeColor="text1"/>
              </w:rPr>
              <w:t>有需要时外购</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pStyle w:val="55"/>
              <w:rPr>
                <w:color w:val="000000" w:themeColor="text1"/>
              </w:rPr>
            </w:pPr>
            <w:r>
              <w:rPr>
                <w:rFonts w:hint="eastAsia"/>
                <w:color w:val="000000" w:themeColor="text1"/>
              </w:rPr>
              <w:t>7</w:t>
            </w:r>
          </w:p>
        </w:tc>
        <w:tc>
          <w:tcPr>
            <w:tcW w:w="1701" w:type="dxa"/>
            <w:vAlign w:val="center"/>
          </w:tcPr>
          <w:p>
            <w:pPr>
              <w:pStyle w:val="55"/>
              <w:rPr>
                <w:color w:val="000000" w:themeColor="text1"/>
              </w:rPr>
            </w:pPr>
            <w:r>
              <w:rPr>
                <w:color w:val="000000" w:themeColor="text1"/>
              </w:rPr>
              <w:t>电</w:t>
            </w:r>
          </w:p>
        </w:tc>
        <w:tc>
          <w:tcPr>
            <w:tcW w:w="2977" w:type="dxa"/>
            <w:vAlign w:val="center"/>
          </w:tcPr>
          <w:p>
            <w:pPr>
              <w:pStyle w:val="55"/>
              <w:rPr>
                <w:color w:val="000000" w:themeColor="text1"/>
              </w:rPr>
            </w:pPr>
            <w:r>
              <w:rPr>
                <w:rFonts w:hint="eastAsia"/>
                <w:color w:val="000000" w:themeColor="text1"/>
              </w:rPr>
              <w:t>1.8万千瓦时</w:t>
            </w:r>
          </w:p>
        </w:tc>
        <w:tc>
          <w:tcPr>
            <w:tcW w:w="3119" w:type="dxa"/>
            <w:vAlign w:val="center"/>
          </w:tcPr>
          <w:p>
            <w:pPr>
              <w:pStyle w:val="55"/>
              <w:rPr>
                <w:color w:val="000000" w:themeColor="text1"/>
              </w:rPr>
            </w:pPr>
            <w:r>
              <w:rPr>
                <w:color w:val="000000" w:themeColor="text1"/>
              </w:rPr>
              <w:t>当地供电系统</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pStyle w:val="55"/>
              <w:rPr>
                <w:color w:val="000000" w:themeColor="text1"/>
              </w:rPr>
            </w:pPr>
            <w:r>
              <w:rPr>
                <w:rFonts w:hint="eastAsia"/>
                <w:color w:val="000000" w:themeColor="text1"/>
              </w:rPr>
              <w:t>8</w:t>
            </w:r>
          </w:p>
        </w:tc>
        <w:tc>
          <w:tcPr>
            <w:tcW w:w="1701" w:type="dxa"/>
            <w:vAlign w:val="center"/>
          </w:tcPr>
          <w:p>
            <w:pPr>
              <w:pStyle w:val="55"/>
              <w:rPr>
                <w:color w:val="000000" w:themeColor="text1"/>
              </w:rPr>
            </w:pPr>
            <w:r>
              <w:rPr>
                <w:color w:val="000000" w:themeColor="text1"/>
              </w:rPr>
              <w:t>水</w:t>
            </w:r>
          </w:p>
        </w:tc>
        <w:tc>
          <w:tcPr>
            <w:tcW w:w="2977" w:type="dxa"/>
            <w:vAlign w:val="center"/>
          </w:tcPr>
          <w:p>
            <w:pPr>
              <w:pStyle w:val="55"/>
              <w:rPr>
                <w:color w:val="000000" w:themeColor="text1"/>
              </w:rPr>
            </w:pPr>
            <w:r>
              <w:rPr>
                <w:rFonts w:hint="eastAsia"/>
                <w:color w:val="000000" w:themeColor="text1"/>
              </w:rPr>
              <w:t>107152.6</w:t>
            </w:r>
            <w:r>
              <w:rPr>
                <w:color w:val="000000" w:themeColor="text1"/>
              </w:rPr>
              <w:t>m</w:t>
            </w:r>
            <w:r>
              <w:rPr>
                <w:color w:val="000000" w:themeColor="text1"/>
                <w:vertAlign w:val="superscript"/>
              </w:rPr>
              <w:t>3</w:t>
            </w:r>
          </w:p>
        </w:tc>
        <w:tc>
          <w:tcPr>
            <w:tcW w:w="3119" w:type="dxa"/>
            <w:vAlign w:val="center"/>
          </w:tcPr>
          <w:p>
            <w:pPr>
              <w:pStyle w:val="55"/>
              <w:rPr>
                <w:color w:val="000000" w:themeColor="text1"/>
              </w:rPr>
            </w:pPr>
            <w:r>
              <w:rPr>
                <w:color w:val="000000" w:themeColor="text1"/>
              </w:rPr>
              <w:t>当地自来水管</w:t>
            </w:r>
          </w:p>
        </w:tc>
      </w:tr>
    </w:tbl>
    <w:p>
      <w:pPr>
        <w:ind w:firstLine="480"/>
        <w:rPr>
          <w:color w:val="000000" w:themeColor="text1"/>
        </w:rPr>
      </w:pPr>
      <w:r>
        <w:rPr>
          <w:color w:val="000000" w:themeColor="text1"/>
        </w:rPr>
        <w:t>项目投入营运后</w:t>
      </w:r>
      <w:r>
        <w:rPr>
          <w:rFonts w:hint="eastAsia"/>
          <w:color w:val="000000" w:themeColor="text1"/>
        </w:rPr>
        <w:t>，</w:t>
      </w:r>
      <w:r>
        <w:rPr>
          <w:color w:val="000000" w:themeColor="text1"/>
        </w:rPr>
        <w:t>主要设备使用情况详见表</w:t>
      </w:r>
      <w:r>
        <w:rPr>
          <w:rFonts w:hint="eastAsia"/>
          <w:color w:val="000000" w:themeColor="text1"/>
        </w:rPr>
        <w:t>2.4-2。</w:t>
      </w:r>
    </w:p>
    <w:p>
      <w:pPr>
        <w:pStyle w:val="54"/>
        <w:rPr>
          <w:color w:val="000000" w:themeColor="text1"/>
        </w:rPr>
      </w:pPr>
      <w:r>
        <w:rPr>
          <w:rFonts w:hint="eastAsia"/>
          <w:color w:val="000000" w:themeColor="text1"/>
        </w:rPr>
        <w:t>表2.4-2  主要设备一览表</w:t>
      </w:r>
    </w:p>
    <w:tbl>
      <w:tblPr>
        <w:tblStyle w:val="42"/>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1843"/>
        <w:gridCol w:w="141"/>
        <w:gridCol w:w="1418"/>
        <w:gridCol w:w="283"/>
        <w:gridCol w:w="993"/>
        <w:gridCol w:w="1275"/>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6" w:type="dxa"/>
            <w:gridSpan w:val="8"/>
            <w:tcBorders>
              <w:top w:val="single" w:color="auto" w:sz="4" w:space="0"/>
              <w:left w:val="single" w:color="auto" w:sz="4" w:space="0"/>
              <w:bottom w:val="single" w:color="auto" w:sz="4" w:space="0"/>
              <w:right w:val="single" w:color="auto" w:sz="4" w:space="0"/>
            </w:tcBorders>
            <w:vAlign w:val="center"/>
          </w:tcPr>
          <w:p>
            <w:pPr>
              <w:pStyle w:val="55"/>
              <w:jc w:val="left"/>
              <w:rPr>
                <w:b/>
                <w:color w:val="000000" w:themeColor="text1"/>
              </w:rPr>
            </w:pPr>
            <w:r>
              <w:rPr>
                <w:rFonts w:hint="eastAsia"/>
                <w:b/>
                <w:color w:val="000000" w:themeColor="text1"/>
              </w:rPr>
              <w:t>一、生猪屠宰加工生产线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b/>
                <w:color w:val="000000" w:themeColor="text1"/>
              </w:rPr>
            </w:pPr>
            <w:r>
              <w:rPr>
                <w:rFonts w:hint="eastAsia"/>
                <w:b/>
                <w:color w:val="000000" w:themeColor="text1"/>
              </w:rPr>
              <w:t>序号</w:t>
            </w:r>
          </w:p>
        </w:tc>
        <w:tc>
          <w:tcPr>
            <w:tcW w:w="1984" w:type="dxa"/>
            <w:gridSpan w:val="2"/>
            <w:tcBorders>
              <w:top w:val="single" w:color="auto" w:sz="4" w:space="0"/>
              <w:left w:val="single" w:color="auto" w:sz="4" w:space="0"/>
              <w:bottom w:val="single" w:color="auto" w:sz="4" w:space="0"/>
              <w:right w:val="single" w:color="auto" w:sz="4" w:space="0"/>
            </w:tcBorders>
            <w:vAlign w:val="center"/>
          </w:tcPr>
          <w:p>
            <w:pPr>
              <w:pStyle w:val="55"/>
              <w:rPr>
                <w:b/>
                <w:color w:val="000000" w:themeColor="text1"/>
              </w:rPr>
            </w:pPr>
            <w:r>
              <w:rPr>
                <w:rFonts w:hint="eastAsia"/>
                <w:b/>
                <w:color w:val="000000" w:themeColor="text1"/>
              </w:rPr>
              <w:t>产品名称</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55"/>
              <w:rPr>
                <w:b/>
                <w:color w:val="000000" w:themeColor="text1"/>
              </w:rPr>
            </w:pPr>
            <w:r>
              <w:rPr>
                <w:rFonts w:hint="eastAsia"/>
                <w:b/>
                <w:color w:val="000000" w:themeColor="text1"/>
              </w:rPr>
              <w:t>规格型号</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b/>
                <w:color w:val="000000" w:themeColor="text1"/>
              </w:rPr>
            </w:pPr>
            <w:r>
              <w:rPr>
                <w:rFonts w:hint="eastAsia"/>
                <w:b/>
                <w:color w:val="000000" w:themeColor="text1"/>
              </w:rPr>
              <w:t>数量</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b/>
                <w:color w:val="000000" w:themeColor="text1"/>
              </w:rPr>
            </w:pPr>
            <w:r>
              <w:rPr>
                <w:rFonts w:hint="eastAsia"/>
                <w:b/>
                <w:color w:val="000000" w:themeColor="text1"/>
              </w:rPr>
              <w:t>单位</w:t>
            </w:r>
          </w:p>
        </w:tc>
        <w:tc>
          <w:tcPr>
            <w:tcW w:w="1701" w:type="dxa"/>
            <w:tcBorders>
              <w:top w:val="single" w:color="auto" w:sz="4" w:space="0"/>
              <w:left w:val="single" w:color="auto" w:sz="4" w:space="0"/>
              <w:bottom w:val="single" w:color="auto" w:sz="4" w:space="0"/>
              <w:right w:val="single" w:color="auto" w:sz="4" w:space="0"/>
            </w:tcBorders>
            <w:vAlign w:val="center"/>
          </w:tcPr>
          <w:p>
            <w:pPr>
              <w:pStyle w:val="55"/>
              <w:rPr>
                <w:b/>
                <w:color w:val="000000" w:themeColor="text1"/>
              </w:rPr>
            </w:pPr>
            <w:r>
              <w:rPr>
                <w:rFonts w:hint="eastAsia"/>
                <w:b/>
                <w:color w:val="000000" w:themeColor="text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w:t>
            </w:r>
          </w:p>
        </w:tc>
        <w:tc>
          <w:tcPr>
            <w:tcW w:w="198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猪扣脚链</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L=600</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80</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根</w:t>
            </w:r>
          </w:p>
        </w:tc>
        <w:tc>
          <w:tcPr>
            <w:tcW w:w="170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w:t>
            </w:r>
          </w:p>
        </w:tc>
        <w:tc>
          <w:tcPr>
            <w:tcW w:w="198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赶猪道</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台</w:t>
            </w:r>
          </w:p>
        </w:tc>
        <w:tc>
          <w:tcPr>
            <w:tcW w:w="170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3</w:t>
            </w:r>
          </w:p>
        </w:tc>
        <w:tc>
          <w:tcPr>
            <w:tcW w:w="198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电麻器</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台</w:t>
            </w:r>
          </w:p>
        </w:tc>
        <w:tc>
          <w:tcPr>
            <w:tcW w:w="170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w:t>
            </w:r>
          </w:p>
        </w:tc>
        <w:tc>
          <w:tcPr>
            <w:tcW w:w="198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活挂输送机</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台</w:t>
            </w:r>
          </w:p>
        </w:tc>
        <w:tc>
          <w:tcPr>
            <w:tcW w:w="170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5</w:t>
            </w:r>
          </w:p>
        </w:tc>
        <w:tc>
          <w:tcPr>
            <w:tcW w:w="198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猪放血线</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FXT-100</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65</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米</w:t>
            </w:r>
          </w:p>
        </w:tc>
        <w:tc>
          <w:tcPr>
            <w:tcW w:w="170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6</w:t>
            </w:r>
          </w:p>
        </w:tc>
        <w:tc>
          <w:tcPr>
            <w:tcW w:w="198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沥血槽</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口</w:t>
            </w:r>
          </w:p>
        </w:tc>
        <w:tc>
          <w:tcPr>
            <w:tcW w:w="170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7</w:t>
            </w:r>
          </w:p>
        </w:tc>
        <w:tc>
          <w:tcPr>
            <w:tcW w:w="198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立式洗猪机</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台</w:t>
            </w:r>
          </w:p>
        </w:tc>
        <w:tc>
          <w:tcPr>
            <w:tcW w:w="170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8</w:t>
            </w:r>
          </w:p>
        </w:tc>
        <w:tc>
          <w:tcPr>
            <w:tcW w:w="198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卸猪器</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套</w:t>
            </w:r>
          </w:p>
        </w:tc>
        <w:tc>
          <w:tcPr>
            <w:tcW w:w="170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9</w:t>
            </w:r>
          </w:p>
        </w:tc>
        <w:tc>
          <w:tcPr>
            <w:tcW w:w="198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烫池</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口</w:t>
            </w:r>
          </w:p>
        </w:tc>
        <w:tc>
          <w:tcPr>
            <w:tcW w:w="170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10</w:t>
            </w:r>
          </w:p>
        </w:tc>
        <w:tc>
          <w:tcPr>
            <w:tcW w:w="198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猪打毛机</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300</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台</w:t>
            </w:r>
          </w:p>
        </w:tc>
        <w:tc>
          <w:tcPr>
            <w:tcW w:w="170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11</w:t>
            </w:r>
          </w:p>
        </w:tc>
        <w:tc>
          <w:tcPr>
            <w:tcW w:w="198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清水池</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口</w:t>
            </w:r>
          </w:p>
        </w:tc>
        <w:tc>
          <w:tcPr>
            <w:tcW w:w="170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12</w:t>
            </w:r>
          </w:p>
        </w:tc>
        <w:tc>
          <w:tcPr>
            <w:tcW w:w="198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提升机</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TSG180</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台</w:t>
            </w:r>
          </w:p>
        </w:tc>
        <w:tc>
          <w:tcPr>
            <w:tcW w:w="170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13</w:t>
            </w:r>
          </w:p>
        </w:tc>
        <w:tc>
          <w:tcPr>
            <w:tcW w:w="198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解剖自动线</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JXT100</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33</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米</w:t>
            </w:r>
          </w:p>
        </w:tc>
        <w:tc>
          <w:tcPr>
            <w:tcW w:w="170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14</w:t>
            </w:r>
          </w:p>
        </w:tc>
        <w:tc>
          <w:tcPr>
            <w:tcW w:w="198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同步卫检线</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WXT100</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24</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米</w:t>
            </w:r>
          </w:p>
        </w:tc>
        <w:tc>
          <w:tcPr>
            <w:tcW w:w="170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15</w:t>
            </w:r>
          </w:p>
        </w:tc>
        <w:tc>
          <w:tcPr>
            <w:tcW w:w="198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内脏滑槽</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张</w:t>
            </w:r>
          </w:p>
        </w:tc>
        <w:tc>
          <w:tcPr>
            <w:tcW w:w="170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16</w:t>
            </w:r>
          </w:p>
        </w:tc>
        <w:tc>
          <w:tcPr>
            <w:tcW w:w="198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往复开边机</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台</w:t>
            </w:r>
          </w:p>
        </w:tc>
        <w:tc>
          <w:tcPr>
            <w:tcW w:w="170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17</w:t>
            </w:r>
          </w:p>
        </w:tc>
        <w:tc>
          <w:tcPr>
            <w:tcW w:w="198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双轨手推线</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352</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米</w:t>
            </w:r>
          </w:p>
        </w:tc>
        <w:tc>
          <w:tcPr>
            <w:tcW w:w="170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18</w:t>
            </w:r>
          </w:p>
        </w:tc>
        <w:tc>
          <w:tcPr>
            <w:tcW w:w="198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电控柜</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台</w:t>
            </w:r>
          </w:p>
        </w:tc>
        <w:tc>
          <w:tcPr>
            <w:tcW w:w="170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19</w:t>
            </w:r>
          </w:p>
        </w:tc>
        <w:tc>
          <w:tcPr>
            <w:tcW w:w="198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下降机</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台</w:t>
            </w:r>
          </w:p>
        </w:tc>
        <w:tc>
          <w:tcPr>
            <w:tcW w:w="170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20</w:t>
            </w:r>
          </w:p>
        </w:tc>
        <w:tc>
          <w:tcPr>
            <w:tcW w:w="198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接肉台</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张</w:t>
            </w:r>
          </w:p>
        </w:tc>
        <w:tc>
          <w:tcPr>
            <w:tcW w:w="170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21</w:t>
            </w:r>
          </w:p>
        </w:tc>
        <w:tc>
          <w:tcPr>
            <w:tcW w:w="198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分段锯</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台</w:t>
            </w:r>
          </w:p>
        </w:tc>
        <w:tc>
          <w:tcPr>
            <w:tcW w:w="170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22</w:t>
            </w:r>
          </w:p>
        </w:tc>
        <w:tc>
          <w:tcPr>
            <w:tcW w:w="198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肥膘输送线</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台</w:t>
            </w:r>
          </w:p>
        </w:tc>
        <w:tc>
          <w:tcPr>
            <w:tcW w:w="170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23</w:t>
            </w:r>
          </w:p>
        </w:tc>
        <w:tc>
          <w:tcPr>
            <w:tcW w:w="198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分割输送线</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台</w:t>
            </w:r>
          </w:p>
        </w:tc>
        <w:tc>
          <w:tcPr>
            <w:tcW w:w="170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24</w:t>
            </w:r>
          </w:p>
        </w:tc>
        <w:tc>
          <w:tcPr>
            <w:tcW w:w="198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分割操作台</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20</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张</w:t>
            </w:r>
          </w:p>
        </w:tc>
        <w:tc>
          <w:tcPr>
            <w:tcW w:w="170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25</w:t>
            </w:r>
          </w:p>
        </w:tc>
        <w:tc>
          <w:tcPr>
            <w:tcW w:w="198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分检台</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台</w:t>
            </w:r>
          </w:p>
        </w:tc>
        <w:tc>
          <w:tcPr>
            <w:tcW w:w="170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26</w:t>
            </w:r>
          </w:p>
        </w:tc>
        <w:tc>
          <w:tcPr>
            <w:tcW w:w="198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包装工作台</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张</w:t>
            </w:r>
          </w:p>
        </w:tc>
        <w:tc>
          <w:tcPr>
            <w:tcW w:w="170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27</w:t>
            </w:r>
          </w:p>
        </w:tc>
        <w:tc>
          <w:tcPr>
            <w:tcW w:w="198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电控柜</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台</w:t>
            </w:r>
          </w:p>
        </w:tc>
        <w:tc>
          <w:tcPr>
            <w:tcW w:w="170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28</w:t>
            </w:r>
          </w:p>
        </w:tc>
        <w:tc>
          <w:tcPr>
            <w:tcW w:w="198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刀具消毒器</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6</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个</w:t>
            </w:r>
          </w:p>
        </w:tc>
        <w:tc>
          <w:tcPr>
            <w:tcW w:w="170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29</w:t>
            </w:r>
          </w:p>
        </w:tc>
        <w:tc>
          <w:tcPr>
            <w:tcW w:w="198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不锈钢小推车</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10</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辆</w:t>
            </w:r>
          </w:p>
        </w:tc>
        <w:tc>
          <w:tcPr>
            <w:tcW w:w="170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6" w:type="dxa"/>
            <w:gridSpan w:val="8"/>
            <w:tcBorders>
              <w:top w:val="single" w:color="auto" w:sz="4" w:space="0"/>
              <w:left w:val="single" w:color="auto" w:sz="4" w:space="0"/>
              <w:bottom w:val="single" w:color="auto" w:sz="4" w:space="0"/>
              <w:right w:val="single" w:color="auto" w:sz="4" w:space="0"/>
            </w:tcBorders>
            <w:vAlign w:val="center"/>
          </w:tcPr>
          <w:p>
            <w:pPr>
              <w:pStyle w:val="55"/>
              <w:jc w:val="left"/>
              <w:rPr>
                <w:b/>
                <w:color w:val="000000" w:themeColor="text1"/>
              </w:rPr>
            </w:pPr>
            <w:r>
              <w:rPr>
                <w:rFonts w:hint="eastAsia"/>
                <w:b/>
                <w:color w:val="000000" w:themeColor="text1"/>
              </w:rPr>
              <w:t>二、</w:t>
            </w:r>
            <w:r>
              <w:rPr>
                <w:rFonts w:hint="eastAsia"/>
                <w:b/>
                <w:color w:val="FF0000"/>
              </w:rPr>
              <w:t>家禽屠宰生产线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b/>
                <w:color w:val="000000" w:themeColor="text1"/>
              </w:rPr>
            </w:pPr>
            <w:r>
              <w:rPr>
                <w:rFonts w:hint="eastAsia"/>
                <w:b/>
                <w:color w:val="000000" w:themeColor="text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pStyle w:val="55"/>
              <w:rPr>
                <w:b/>
                <w:color w:val="000000" w:themeColor="text1"/>
              </w:rPr>
            </w:pPr>
            <w:r>
              <w:rPr>
                <w:rFonts w:hint="eastAsia"/>
                <w:b/>
                <w:color w:val="000000" w:themeColor="text1"/>
              </w:rPr>
              <w:t>产品名称</w:t>
            </w:r>
          </w:p>
        </w:tc>
        <w:tc>
          <w:tcPr>
            <w:tcW w:w="1559" w:type="dxa"/>
            <w:gridSpan w:val="2"/>
            <w:tcBorders>
              <w:top w:val="single" w:color="auto" w:sz="4" w:space="0"/>
              <w:left w:val="single" w:color="auto" w:sz="4" w:space="0"/>
              <w:bottom w:val="single" w:color="auto" w:sz="4" w:space="0"/>
              <w:right w:val="single" w:color="auto" w:sz="4" w:space="0"/>
            </w:tcBorders>
            <w:vAlign w:val="center"/>
          </w:tcPr>
          <w:p>
            <w:pPr>
              <w:pStyle w:val="55"/>
              <w:rPr>
                <w:b/>
                <w:color w:val="000000" w:themeColor="text1"/>
              </w:rPr>
            </w:pPr>
            <w:r>
              <w:rPr>
                <w:rFonts w:hint="eastAsia"/>
                <w:b/>
                <w:color w:val="000000" w:themeColor="text1"/>
              </w:rPr>
              <w:t>规格型号</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pStyle w:val="55"/>
              <w:rPr>
                <w:b/>
                <w:color w:val="000000" w:themeColor="text1"/>
              </w:rPr>
            </w:pPr>
            <w:r>
              <w:rPr>
                <w:rFonts w:hint="eastAsia"/>
                <w:b/>
                <w:color w:val="000000" w:themeColor="text1"/>
              </w:rPr>
              <w:t>数量</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b/>
                <w:color w:val="000000" w:themeColor="text1"/>
              </w:rPr>
            </w:pPr>
            <w:r>
              <w:rPr>
                <w:rFonts w:hint="eastAsia"/>
                <w:b/>
                <w:color w:val="000000" w:themeColor="text1"/>
              </w:rPr>
              <w:t>单位</w:t>
            </w:r>
          </w:p>
        </w:tc>
        <w:tc>
          <w:tcPr>
            <w:tcW w:w="1701" w:type="dxa"/>
            <w:tcBorders>
              <w:top w:val="single" w:color="auto" w:sz="4" w:space="0"/>
              <w:left w:val="single" w:color="auto" w:sz="4" w:space="0"/>
              <w:bottom w:val="single" w:color="auto" w:sz="4" w:space="0"/>
              <w:right w:val="single" w:color="auto" w:sz="4" w:space="0"/>
            </w:tcBorders>
            <w:vAlign w:val="center"/>
          </w:tcPr>
          <w:p>
            <w:pPr>
              <w:pStyle w:val="55"/>
              <w:rPr>
                <w:b/>
                <w:color w:val="000000" w:themeColor="text1"/>
              </w:rPr>
            </w:pPr>
            <w:r>
              <w:rPr>
                <w:rFonts w:hint="eastAsia"/>
                <w:b/>
                <w:color w:val="000000" w:themeColor="text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w:t>
            </w:r>
          </w:p>
        </w:tc>
        <w:tc>
          <w:tcPr>
            <w:tcW w:w="184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带式禽笼输送机</w:t>
            </w:r>
          </w:p>
        </w:tc>
        <w:tc>
          <w:tcPr>
            <w:tcW w:w="1559"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670-600-5</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5</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套</w:t>
            </w:r>
          </w:p>
        </w:tc>
        <w:tc>
          <w:tcPr>
            <w:tcW w:w="170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w:t>
            </w:r>
          </w:p>
        </w:tc>
        <w:tc>
          <w:tcPr>
            <w:tcW w:w="184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 xml:space="preserve">击晕机  </w:t>
            </w:r>
          </w:p>
        </w:tc>
        <w:tc>
          <w:tcPr>
            <w:tcW w:w="1559"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HFS2010型</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台</w:t>
            </w:r>
          </w:p>
        </w:tc>
        <w:tc>
          <w:tcPr>
            <w:tcW w:w="170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3</w:t>
            </w:r>
          </w:p>
        </w:tc>
        <w:tc>
          <w:tcPr>
            <w:tcW w:w="184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宰杀机</w:t>
            </w:r>
          </w:p>
        </w:tc>
        <w:tc>
          <w:tcPr>
            <w:tcW w:w="1559"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台</w:t>
            </w:r>
          </w:p>
        </w:tc>
        <w:tc>
          <w:tcPr>
            <w:tcW w:w="170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w:t>
            </w:r>
          </w:p>
        </w:tc>
        <w:tc>
          <w:tcPr>
            <w:tcW w:w="184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放血槽</w:t>
            </w:r>
          </w:p>
        </w:tc>
        <w:tc>
          <w:tcPr>
            <w:tcW w:w="1559"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个</w:t>
            </w:r>
          </w:p>
        </w:tc>
        <w:tc>
          <w:tcPr>
            <w:tcW w:w="170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5</w:t>
            </w:r>
          </w:p>
        </w:tc>
        <w:tc>
          <w:tcPr>
            <w:tcW w:w="184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烫毛机</w:t>
            </w:r>
          </w:p>
        </w:tc>
        <w:tc>
          <w:tcPr>
            <w:tcW w:w="1559"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3</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台</w:t>
            </w:r>
          </w:p>
        </w:tc>
        <w:tc>
          <w:tcPr>
            <w:tcW w:w="170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6</w:t>
            </w:r>
          </w:p>
        </w:tc>
        <w:tc>
          <w:tcPr>
            <w:tcW w:w="184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脱羽机</w:t>
            </w:r>
          </w:p>
        </w:tc>
        <w:tc>
          <w:tcPr>
            <w:tcW w:w="1559"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24型</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3</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台</w:t>
            </w:r>
          </w:p>
        </w:tc>
        <w:tc>
          <w:tcPr>
            <w:tcW w:w="170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7</w:t>
            </w:r>
          </w:p>
        </w:tc>
        <w:tc>
          <w:tcPr>
            <w:tcW w:w="184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自动转挂机</w:t>
            </w:r>
          </w:p>
        </w:tc>
        <w:tc>
          <w:tcPr>
            <w:tcW w:w="1559"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台</w:t>
            </w:r>
          </w:p>
        </w:tc>
        <w:tc>
          <w:tcPr>
            <w:tcW w:w="170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8</w:t>
            </w:r>
          </w:p>
        </w:tc>
        <w:tc>
          <w:tcPr>
            <w:tcW w:w="184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开膛机</w:t>
            </w:r>
          </w:p>
        </w:tc>
        <w:tc>
          <w:tcPr>
            <w:tcW w:w="1559"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台</w:t>
            </w:r>
          </w:p>
        </w:tc>
        <w:tc>
          <w:tcPr>
            <w:tcW w:w="170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9</w:t>
            </w:r>
          </w:p>
        </w:tc>
        <w:tc>
          <w:tcPr>
            <w:tcW w:w="184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掏膛机</w:t>
            </w:r>
          </w:p>
        </w:tc>
        <w:tc>
          <w:tcPr>
            <w:tcW w:w="1559"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台</w:t>
            </w:r>
          </w:p>
        </w:tc>
        <w:tc>
          <w:tcPr>
            <w:tcW w:w="170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10</w:t>
            </w:r>
          </w:p>
        </w:tc>
        <w:tc>
          <w:tcPr>
            <w:tcW w:w="184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清洗箱</w:t>
            </w:r>
          </w:p>
        </w:tc>
        <w:tc>
          <w:tcPr>
            <w:tcW w:w="1559"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个</w:t>
            </w:r>
          </w:p>
        </w:tc>
        <w:tc>
          <w:tcPr>
            <w:tcW w:w="170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11</w:t>
            </w:r>
          </w:p>
        </w:tc>
        <w:tc>
          <w:tcPr>
            <w:tcW w:w="184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胴体内外清洗机</w:t>
            </w:r>
          </w:p>
        </w:tc>
        <w:tc>
          <w:tcPr>
            <w:tcW w:w="1559"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496-150</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台</w:t>
            </w:r>
          </w:p>
        </w:tc>
        <w:tc>
          <w:tcPr>
            <w:tcW w:w="170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12</w:t>
            </w:r>
          </w:p>
        </w:tc>
        <w:tc>
          <w:tcPr>
            <w:tcW w:w="184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刀具消毒器</w:t>
            </w:r>
          </w:p>
        </w:tc>
        <w:tc>
          <w:tcPr>
            <w:tcW w:w="1559"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个</w:t>
            </w:r>
          </w:p>
        </w:tc>
        <w:tc>
          <w:tcPr>
            <w:tcW w:w="170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13</w:t>
            </w:r>
          </w:p>
        </w:tc>
        <w:tc>
          <w:tcPr>
            <w:tcW w:w="184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不锈钢小推车</w:t>
            </w:r>
          </w:p>
        </w:tc>
        <w:tc>
          <w:tcPr>
            <w:tcW w:w="1559"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w:t>
            </w:r>
          </w:p>
        </w:tc>
        <w:tc>
          <w:tcPr>
            <w:tcW w:w="12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辆</w:t>
            </w:r>
          </w:p>
        </w:tc>
        <w:tc>
          <w:tcPr>
            <w:tcW w:w="170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color w:val="000000" w:themeColor="text1"/>
              </w:rPr>
              <w:t>新建</w:t>
            </w:r>
          </w:p>
        </w:tc>
      </w:tr>
    </w:tbl>
    <w:p>
      <w:pPr>
        <w:pStyle w:val="3"/>
        <w:rPr>
          <w:color w:val="000000" w:themeColor="text1"/>
        </w:rPr>
      </w:pPr>
      <w:bookmarkStart w:id="39" w:name="_Toc47375801"/>
      <w:r>
        <w:rPr>
          <w:rFonts w:hint="eastAsia"/>
          <w:color w:val="000000" w:themeColor="text1"/>
        </w:rPr>
        <w:t>2.5公用工程</w:t>
      </w:r>
      <w:bookmarkEnd w:id="39"/>
    </w:p>
    <w:p>
      <w:pPr>
        <w:pStyle w:val="38"/>
        <w:ind w:firstLine="281"/>
        <w:rPr>
          <w:color w:val="000000" w:themeColor="text1"/>
        </w:rPr>
      </w:pPr>
      <w:bookmarkStart w:id="40" w:name="_Toc47375802"/>
      <w:r>
        <w:rPr>
          <w:rFonts w:hint="eastAsia"/>
          <w:color w:val="000000" w:themeColor="text1"/>
        </w:rPr>
        <w:t>2.5.1给、排水</w:t>
      </w:r>
      <w:bookmarkEnd w:id="40"/>
    </w:p>
    <w:p>
      <w:pPr>
        <w:pStyle w:val="57"/>
        <w:ind w:firstLine="482"/>
        <w:rPr>
          <w:color w:val="000000" w:themeColor="text1"/>
        </w:rPr>
      </w:pPr>
      <w:r>
        <w:rPr>
          <w:rFonts w:hint="eastAsia"/>
          <w:color w:val="000000" w:themeColor="text1"/>
        </w:rPr>
        <w:t>2.5.1.1给水</w:t>
      </w:r>
    </w:p>
    <w:p>
      <w:pPr>
        <w:ind w:firstLine="480"/>
        <w:rPr>
          <w:color w:val="000000" w:themeColor="text1"/>
        </w:rPr>
      </w:pPr>
      <w:r>
        <w:rPr>
          <w:rFonts w:hint="eastAsia"/>
          <w:color w:val="000000" w:themeColor="text1"/>
        </w:rPr>
        <w:t>（1）给水水源</w:t>
      </w:r>
    </w:p>
    <w:p>
      <w:pPr>
        <w:ind w:firstLine="480"/>
        <w:rPr>
          <w:color w:val="000000" w:themeColor="text1"/>
        </w:rPr>
      </w:pPr>
      <w:r>
        <w:rPr>
          <w:rFonts w:hint="eastAsia"/>
          <w:color w:val="000000" w:themeColor="text1"/>
        </w:rPr>
        <w:t>供水包括屠宰生产用水、职工办公用水等。项目所在地已有自来水管网分布，只需自行铺设管道入厂即可。此外项目拟在厂区开挖一眼井水，在停水时也可满足生产、生活所需，供水有保障。</w:t>
      </w:r>
    </w:p>
    <w:p>
      <w:pPr>
        <w:ind w:firstLine="480"/>
        <w:rPr>
          <w:color w:val="000000" w:themeColor="text1"/>
        </w:rPr>
      </w:pPr>
      <w:r>
        <w:rPr>
          <w:rFonts w:hint="eastAsia"/>
          <w:color w:val="000000" w:themeColor="text1"/>
        </w:rPr>
        <w:t>（2）需水量</w:t>
      </w:r>
    </w:p>
    <w:p>
      <w:pPr>
        <w:ind w:firstLine="480"/>
        <w:rPr>
          <w:color w:val="000000" w:themeColor="text1"/>
        </w:rPr>
      </w:pPr>
      <w:r>
        <w:rPr>
          <w:rFonts w:hint="eastAsia"/>
          <w:color w:val="000000" w:themeColor="text1"/>
        </w:rPr>
        <w:t>本项目建成后，屠宰生产用水量为：285m</w:t>
      </w:r>
      <w:r>
        <w:rPr>
          <w:rFonts w:hint="eastAsia"/>
          <w:color w:val="000000" w:themeColor="text1"/>
          <w:vertAlign w:val="superscript"/>
        </w:rPr>
        <w:t>3</w:t>
      </w:r>
      <w:r>
        <w:rPr>
          <w:rFonts w:hint="eastAsia"/>
          <w:color w:val="000000" w:themeColor="text1"/>
        </w:rPr>
        <w:t>/d(103750m</w:t>
      </w:r>
      <w:r>
        <w:rPr>
          <w:rFonts w:hint="eastAsia"/>
          <w:color w:val="000000" w:themeColor="text1"/>
          <w:vertAlign w:val="superscript"/>
        </w:rPr>
        <w:t>3</w:t>
      </w:r>
      <w:r>
        <w:rPr>
          <w:rFonts w:hint="eastAsia"/>
          <w:color w:val="000000" w:themeColor="text1"/>
        </w:rPr>
        <w:t>/a)；生活用水量为0.9 m</w:t>
      </w:r>
      <w:r>
        <w:rPr>
          <w:rFonts w:hint="eastAsia"/>
          <w:color w:val="000000" w:themeColor="text1"/>
          <w:vertAlign w:val="superscript"/>
        </w:rPr>
        <w:t>3</w:t>
      </w:r>
      <w:r>
        <w:rPr>
          <w:rFonts w:hint="eastAsia"/>
          <w:color w:val="000000" w:themeColor="text1"/>
        </w:rPr>
        <w:t>/d(327.6m</w:t>
      </w:r>
      <w:r>
        <w:rPr>
          <w:rFonts w:hint="eastAsia"/>
          <w:color w:val="000000" w:themeColor="text1"/>
          <w:vertAlign w:val="superscript"/>
        </w:rPr>
        <w:t>3</w:t>
      </w:r>
      <w:r>
        <w:rPr>
          <w:rFonts w:hint="eastAsia"/>
          <w:color w:val="000000" w:themeColor="text1"/>
        </w:rPr>
        <w:t>/a)；车辆消毒冲洗用水为6.59m</w:t>
      </w:r>
      <w:r>
        <w:rPr>
          <w:rFonts w:hint="eastAsia"/>
          <w:color w:val="000000" w:themeColor="text1"/>
          <w:vertAlign w:val="superscript"/>
        </w:rPr>
        <w:t>3</w:t>
      </w:r>
      <w:r>
        <w:rPr>
          <w:rFonts w:hint="eastAsia"/>
          <w:color w:val="000000" w:themeColor="text1"/>
        </w:rPr>
        <w:t>/d(2400m</w:t>
      </w:r>
      <w:r>
        <w:rPr>
          <w:rFonts w:hint="eastAsia"/>
          <w:color w:val="000000" w:themeColor="text1"/>
          <w:vertAlign w:val="superscript"/>
        </w:rPr>
        <w:t>3</w:t>
      </w:r>
      <w:r>
        <w:rPr>
          <w:rFonts w:hint="eastAsia"/>
          <w:color w:val="000000" w:themeColor="text1"/>
        </w:rPr>
        <w:t>/a)；锅炉用水为1.65m</w:t>
      </w:r>
      <w:r>
        <w:rPr>
          <w:rFonts w:hint="eastAsia"/>
          <w:color w:val="000000" w:themeColor="text1"/>
          <w:vertAlign w:val="superscript"/>
        </w:rPr>
        <w:t>3</w:t>
      </w:r>
      <w:r>
        <w:rPr>
          <w:rFonts w:hint="eastAsia"/>
          <w:color w:val="000000" w:themeColor="text1"/>
        </w:rPr>
        <w:t>/d(600m</w:t>
      </w:r>
      <w:r>
        <w:rPr>
          <w:rFonts w:hint="eastAsia"/>
          <w:color w:val="000000" w:themeColor="text1"/>
          <w:vertAlign w:val="superscript"/>
        </w:rPr>
        <w:t>3</w:t>
      </w:r>
      <w:r>
        <w:rPr>
          <w:rFonts w:hint="eastAsia"/>
          <w:color w:val="000000" w:themeColor="text1"/>
        </w:rPr>
        <w:t>/a)；水膜除尘补充用水为0.206m</w:t>
      </w:r>
      <w:r>
        <w:rPr>
          <w:rFonts w:hint="eastAsia"/>
          <w:color w:val="000000" w:themeColor="text1"/>
          <w:vertAlign w:val="superscript"/>
        </w:rPr>
        <w:t>3</w:t>
      </w:r>
      <w:r>
        <w:rPr>
          <w:rFonts w:hint="eastAsia"/>
          <w:color w:val="000000" w:themeColor="text1"/>
        </w:rPr>
        <w:t>/d(75m</w:t>
      </w:r>
      <w:r>
        <w:rPr>
          <w:rFonts w:hint="eastAsia"/>
          <w:color w:val="000000" w:themeColor="text1"/>
          <w:vertAlign w:val="superscript"/>
        </w:rPr>
        <w:t>3</w:t>
      </w:r>
      <w:r>
        <w:rPr>
          <w:rFonts w:hint="eastAsia"/>
          <w:color w:val="000000" w:themeColor="text1"/>
        </w:rPr>
        <w:t>/a)。</w:t>
      </w:r>
    </w:p>
    <w:p>
      <w:pPr>
        <w:ind w:firstLine="480"/>
        <w:rPr>
          <w:color w:val="000000" w:themeColor="text1"/>
        </w:rPr>
      </w:pPr>
      <w:r>
        <w:rPr>
          <w:rFonts w:hint="eastAsia"/>
          <w:color w:val="000000" w:themeColor="text1"/>
        </w:rPr>
        <w:t>项目总用水量为294.346m</w:t>
      </w:r>
      <w:r>
        <w:rPr>
          <w:rFonts w:hint="eastAsia"/>
          <w:color w:val="000000" w:themeColor="text1"/>
          <w:vertAlign w:val="superscript"/>
        </w:rPr>
        <w:t>3</w:t>
      </w:r>
      <w:r>
        <w:rPr>
          <w:rFonts w:hint="eastAsia"/>
          <w:color w:val="000000" w:themeColor="text1"/>
        </w:rPr>
        <w:t>/d(107152.6 m</w:t>
      </w:r>
      <w:r>
        <w:rPr>
          <w:rFonts w:hint="eastAsia"/>
          <w:color w:val="000000" w:themeColor="text1"/>
          <w:vertAlign w:val="superscript"/>
        </w:rPr>
        <w:t>3</w:t>
      </w:r>
      <w:r>
        <w:rPr>
          <w:rFonts w:hint="eastAsia"/>
          <w:color w:val="000000" w:themeColor="text1"/>
        </w:rPr>
        <w:t>/a)。</w:t>
      </w:r>
    </w:p>
    <w:p>
      <w:pPr>
        <w:pStyle w:val="57"/>
        <w:ind w:firstLine="482"/>
        <w:rPr>
          <w:color w:val="000000" w:themeColor="text1"/>
        </w:rPr>
      </w:pPr>
      <w:r>
        <w:rPr>
          <w:rFonts w:hint="eastAsia"/>
          <w:color w:val="000000" w:themeColor="text1"/>
        </w:rPr>
        <w:t>2.5.1.2排水</w:t>
      </w:r>
    </w:p>
    <w:p>
      <w:pPr>
        <w:ind w:firstLine="480"/>
        <w:rPr>
          <w:color w:val="000000" w:themeColor="text1"/>
        </w:rPr>
      </w:pPr>
      <w:r>
        <w:rPr>
          <w:rFonts w:hint="eastAsia"/>
          <w:color w:val="000000" w:themeColor="text1"/>
        </w:rPr>
        <w:t>（1）排水方式</w:t>
      </w:r>
    </w:p>
    <w:p>
      <w:pPr>
        <w:ind w:firstLine="480"/>
        <w:rPr>
          <w:color w:val="000000" w:themeColor="text1"/>
        </w:rPr>
      </w:pPr>
      <w:r>
        <w:rPr>
          <w:rFonts w:cs="Times New Roman"/>
          <w:color w:val="000000" w:themeColor="text1"/>
        </w:rPr>
        <w:t>项目采取雨污分流制，雨水通过雨水沟</w:t>
      </w:r>
      <w:r>
        <w:rPr>
          <w:rFonts w:hint="eastAsia" w:cs="Times New Roman"/>
          <w:color w:val="000000" w:themeColor="text1"/>
        </w:rPr>
        <w:t>收集后</w:t>
      </w:r>
      <w:r>
        <w:rPr>
          <w:rFonts w:cs="Times New Roman"/>
          <w:color w:val="000000" w:themeColor="text1"/>
        </w:rPr>
        <w:t>外排；屠宰废水</w:t>
      </w:r>
      <w:r>
        <w:rPr>
          <w:rFonts w:hint="eastAsia" w:cs="Times New Roman"/>
          <w:color w:val="000000" w:themeColor="text1"/>
        </w:rPr>
        <w:t>及生活</w:t>
      </w:r>
      <w:r>
        <w:rPr>
          <w:rFonts w:cs="Times New Roman"/>
          <w:color w:val="000000" w:themeColor="text1"/>
        </w:rPr>
        <w:t>污水</w:t>
      </w:r>
      <w:r>
        <w:rPr>
          <w:rFonts w:hint="eastAsia" w:cs="Times New Roman"/>
          <w:color w:val="000000" w:themeColor="text1"/>
        </w:rPr>
        <w:t>都</w:t>
      </w:r>
      <w:r>
        <w:rPr>
          <w:rFonts w:cs="Times New Roman"/>
          <w:color w:val="000000" w:themeColor="text1"/>
        </w:rPr>
        <w:t>排入自建的污水处理站处理</w:t>
      </w:r>
      <w:r>
        <w:rPr>
          <w:rFonts w:hint="eastAsia" w:cs="Times New Roman"/>
          <w:color w:val="000000" w:themeColor="text1"/>
        </w:rPr>
        <w:t>，项目将向南自行铺设长度约1200m的污水管道接入砚山县城市污水管网，</w:t>
      </w:r>
      <w:r>
        <w:rPr>
          <w:rFonts w:cs="Times New Roman"/>
          <w:color w:val="000000" w:themeColor="text1"/>
        </w:rPr>
        <w:t>经过污水处理站处理后的废水排入砚山县城市污水管网</w:t>
      </w:r>
      <w:r>
        <w:rPr>
          <w:rFonts w:hint="eastAsia" w:cs="Times New Roman"/>
          <w:color w:val="000000" w:themeColor="text1"/>
        </w:rPr>
        <w:t>，最终进入</w:t>
      </w:r>
      <w:r>
        <w:rPr>
          <w:rFonts w:cs="Times New Roman"/>
          <w:color w:val="000000" w:themeColor="text1"/>
        </w:rPr>
        <w:t>砚山县污水处理厂进一步处理达标后</w:t>
      </w:r>
      <w:r>
        <w:rPr>
          <w:rFonts w:hint="eastAsia"/>
          <w:color w:val="000000" w:themeColor="text1"/>
        </w:rPr>
        <w:t>，排入听湖水库。</w:t>
      </w:r>
    </w:p>
    <w:p>
      <w:pPr>
        <w:ind w:firstLine="480"/>
        <w:rPr>
          <w:color w:val="000000" w:themeColor="text1"/>
        </w:rPr>
      </w:pPr>
      <w:r>
        <w:rPr>
          <w:rFonts w:hint="eastAsia"/>
          <w:color w:val="000000" w:themeColor="text1"/>
        </w:rPr>
        <w:t>（2）排水量</w:t>
      </w:r>
    </w:p>
    <w:p>
      <w:pPr>
        <w:ind w:firstLine="480"/>
        <w:rPr>
          <w:color w:val="000000" w:themeColor="text1"/>
        </w:rPr>
      </w:pPr>
      <w:r>
        <w:rPr>
          <w:rFonts w:hint="eastAsia"/>
          <w:color w:val="000000" w:themeColor="text1"/>
        </w:rPr>
        <w:t>①生活废水：该项目劳动定员20人，生活污水按用水量的80%计，生活污水产生量为0.72m</w:t>
      </w:r>
      <w:r>
        <w:rPr>
          <w:rFonts w:hint="eastAsia"/>
          <w:color w:val="000000" w:themeColor="text1"/>
          <w:vertAlign w:val="superscript"/>
        </w:rPr>
        <w:t>3</w:t>
      </w:r>
      <w:r>
        <w:rPr>
          <w:rFonts w:hint="eastAsia"/>
          <w:color w:val="000000" w:themeColor="text1"/>
        </w:rPr>
        <w:t>/d。</w:t>
      </w:r>
    </w:p>
    <w:p>
      <w:pPr>
        <w:ind w:firstLine="480"/>
        <w:rPr>
          <w:color w:val="000000" w:themeColor="text1"/>
        </w:rPr>
      </w:pPr>
      <w:r>
        <w:rPr>
          <w:rFonts w:hint="eastAsia"/>
          <w:color w:val="000000" w:themeColor="text1"/>
        </w:rPr>
        <w:t>②生产废水：根据《</w:t>
      </w:r>
      <w:r>
        <w:rPr>
          <w:rFonts w:hint="eastAsia"/>
          <w:color w:val="000000" w:themeColor="text1"/>
          <w:kern w:val="0"/>
        </w:rPr>
        <w:t>屠宰与肉类加工废水治理工程技术规范》（</w:t>
      </w:r>
      <w:r>
        <w:rPr>
          <w:color w:val="000000" w:themeColor="text1"/>
          <w:kern w:val="0"/>
        </w:rPr>
        <w:t>HJ2004-2010</w:t>
      </w:r>
      <w:r>
        <w:rPr>
          <w:rFonts w:hint="eastAsia"/>
          <w:color w:val="000000" w:themeColor="text1"/>
          <w:kern w:val="0"/>
        </w:rPr>
        <w:t>）中3.3及3.4可知，屠宰废水是指屠宰过程中产生的废水，屠宰过程包括了圈栏冲洗、宰前冲淋、宰后烫毛或剥皮、开腔、劈半、解体、内脏洗涤及车间冲洗等过程。</w:t>
      </w:r>
      <w:r>
        <w:rPr>
          <w:rFonts w:cs="Times New Roman"/>
          <w:color w:val="000000" w:themeColor="text1"/>
        </w:rPr>
        <w:t>根据</w:t>
      </w:r>
      <w:r>
        <w:rPr>
          <w:rFonts w:hint="eastAsia"/>
          <w:color w:val="000000" w:themeColor="text1"/>
        </w:rPr>
        <w:t>《</w:t>
      </w:r>
      <w:r>
        <w:rPr>
          <w:rFonts w:hint="eastAsia"/>
          <w:color w:val="000000" w:themeColor="text1"/>
          <w:kern w:val="0"/>
        </w:rPr>
        <w:t>屠宰与肉类加工废水治理工程技术规范》（</w:t>
      </w:r>
      <w:r>
        <w:rPr>
          <w:color w:val="000000" w:themeColor="text1"/>
          <w:kern w:val="0"/>
        </w:rPr>
        <w:t>HJ2004-2010</w:t>
      </w:r>
      <w:r>
        <w:rPr>
          <w:rFonts w:hint="eastAsia"/>
          <w:color w:val="000000" w:themeColor="text1"/>
          <w:kern w:val="0"/>
        </w:rPr>
        <w:t>）中4.2.1</w:t>
      </w:r>
      <w:r>
        <w:rPr>
          <w:rFonts w:hint="eastAsia"/>
          <w:color w:val="000000" w:themeColor="text1"/>
        </w:rPr>
        <w:t>，屠宰生猪的废水产生量为0.5~0.7</w:t>
      </w:r>
      <w:r>
        <w:rPr>
          <w:color w:val="000000" w:themeColor="text1"/>
        </w:rPr>
        <w:t>m</w:t>
      </w:r>
      <w:r>
        <w:rPr>
          <w:color w:val="000000" w:themeColor="text1"/>
          <w:vertAlign w:val="superscript"/>
        </w:rPr>
        <w:t>3</w:t>
      </w:r>
      <w:r>
        <w:rPr>
          <w:color w:val="000000" w:themeColor="text1"/>
        </w:rPr>
        <w:t>/</w:t>
      </w:r>
      <w:r>
        <w:rPr>
          <w:rFonts w:hint="eastAsia"/>
          <w:color w:val="000000" w:themeColor="text1"/>
        </w:rPr>
        <w:t>头，本项目取0.5</w:t>
      </w:r>
      <w:r>
        <w:rPr>
          <w:color w:val="000000" w:themeColor="text1"/>
        </w:rPr>
        <w:t>m</w:t>
      </w:r>
      <w:r>
        <w:rPr>
          <w:color w:val="000000" w:themeColor="text1"/>
          <w:vertAlign w:val="superscript"/>
        </w:rPr>
        <w:t>3</w:t>
      </w:r>
      <w:r>
        <w:rPr>
          <w:color w:val="000000" w:themeColor="text1"/>
        </w:rPr>
        <w:t>/</w:t>
      </w:r>
      <w:r>
        <w:rPr>
          <w:rFonts w:hint="eastAsia"/>
          <w:color w:val="000000" w:themeColor="text1"/>
        </w:rPr>
        <w:t>头；屠宰生鸡的废水产生量为1.0~1.5</w:t>
      </w:r>
      <w:r>
        <w:rPr>
          <w:color w:val="000000" w:themeColor="text1"/>
        </w:rPr>
        <w:t>m</w:t>
      </w:r>
      <w:r>
        <w:rPr>
          <w:color w:val="000000" w:themeColor="text1"/>
          <w:vertAlign w:val="superscript"/>
        </w:rPr>
        <w:t>3</w:t>
      </w:r>
      <w:r>
        <w:rPr>
          <w:color w:val="000000" w:themeColor="text1"/>
        </w:rPr>
        <w:t>/</w:t>
      </w:r>
      <w:r>
        <w:rPr>
          <w:rFonts w:hint="eastAsia"/>
          <w:color w:val="000000" w:themeColor="text1"/>
        </w:rPr>
        <w:t>百只，本项目取1.0</w:t>
      </w:r>
      <w:r>
        <w:rPr>
          <w:color w:val="000000" w:themeColor="text1"/>
        </w:rPr>
        <w:t>m</w:t>
      </w:r>
      <w:r>
        <w:rPr>
          <w:color w:val="000000" w:themeColor="text1"/>
          <w:vertAlign w:val="superscript"/>
        </w:rPr>
        <w:t>3</w:t>
      </w:r>
      <w:r>
        <w:rPr>
          <w:color w:val="000000" w:themeColor="text1"/>
        </w:rPr>
        <w:t>/</w:t>
      </w:r>
      <w:r>
        <w:rPr>
          <w:rFonts w:hint="eastAsia"/>
          <w:color w:val="000000" w:themeColor="text1"/>
        </w:rPr>
        <w:t>百只。由此可计算出本项目生猪屠宰废水产生量为75000</w:t>
      </w:r>
      <w:r>
        <w:rPr>
          <w:color w:val="000000" w:themeColor="text1"/>
        </w:rPr>
        <w:t xml:space="preserve"> m</w:t>
      </w:r>
      <w:r>
        <w:rPr>
          <w:color w:val="000000" w:themeColor="text1"/>
          <w:vertAlign w:val="superscript"/>
        </w:rPr>
        <w:t>3</w:t>
      </w:r>
      <w:r>
        <w:rPr>
          <w:color w:val="000000" w:themeColor="text1"/>
        </w:rPr>
        <w:t>/</w:t>
      </w:r>
      <w:r>
        <w:rPr>
          <w:rFonts w:hint="eastAsia"/>
          <w:color w:val="000000" w:themeColor="text1"/>
        </w:rPr>
        <w:t>a，生鸡屠宰废水产生量为8000</w:t>
      </w:r>
      <w:r>
        <w:rPr>
          <w:color w:val="000000" w:themeColor="text1"/>
        </w:rPr>
        <w:t>m</w:t>
      </w:r>
      <w:r>
        <w:rPr>
          <w:color w:val="000000" w:themeColor="text1"/>
          <w:vertAlign w:val="superscript"/>
        </w:rPr>
        <w:t>3</w:t>
      </w:r>
      <w:r>
        <w:rPr>
          <w:color w:val="000000" w:themeColor="text1"/>
        </w:rPr>
        <w:t>/</w:t>
      </w:r>
      <w:r>
        <w:rPr>
          <w:rFonts w:hint="eastAsia"/>
          <w:color w:val="000000" w:themeColor="text1"/>
        </w:rPr>
        <w:t>a，全厂屠宰废水产生总量为83000</w:t>
      </w:r>
      <w:r>
        <w:rPr>
          <w:color w:val="000000" w:themeColor="text1"/>
        </w:rPr>
        <w:t>m</w:t>
      </w:r>
      <w:r>
        <w:rPr>
          <w:color w:val="000000" w:themeColor="text1"/>
          <w:vertAlign w:val="superscript"/>
        </w:rPr>
        <w:t>3</w:t>
      </w:r>
      <w:r>
        <w:rPr>
          <w:color w:val="000000" w:themeColor="text1"/>
        </w:rPr>
        <w:t>/</w:t>
      </w:r>
      <w:r>
        <w:rPr>
          <w:rFonts w:hint="eastAsia"/>
          <w:color w:val="000000" w:themeColor="text1"/>
        </w:rPr>
        <w:t>a（228m³/d，</w:t>
      </w:r>
      <w:r>
        <w:rPr>
          <w:rFonts w:hint="eastAsia" w:hAnsi="宋体"/>
          <w:color w:val="000000" w:themeColor="text1"/>
        </w:rPr>
        <w:t>按一年</w:t>
      </w:r>
      <w:r>
        <w:rPr>
          <w:rFonts w:hAnsi="宋体"/>
          <w:color w:val="000000" w:themeColor="text1"/>
        </w:rPr>
        <w:t>3</w:t>
      </w:r>
      <w:r>
        <w:rPr>
          <w:rFonts w:hint="eastAsia" w:hAnsi="宋体"/>
          <w:color w:val="000000" w:themeColor="text1"/>
        </w:rPr>
        <w:t>64天计</w:t>
      </w:r>
      <w:r>
        <w:rPr>
          <w:rFonts w:hint="eastAsia"/>
          <w:color w:val="000000" w:themeColor="text1"/>
        </w:rPr>
        <w:t>）。</w:t>
      </w:r>
    </w:p>
    <w:p>
      <w:pPr>
        <w:ind w:firstLine="480"/>
        <w:rPr>
          <w:color w:val="000000" w:themeColor="text1"/>
        </w:rPr>
      </w:pPr>
      <w:r>
        <w:rPr>
          <w:rFonts w:hint="eastAsia"/>
          <w:bCs/>
          <w:color w:val="000000" w:themeColor="text1"/>
        </w:rPr>
        <w:t>车辆清洗消毒废水产生量为5.27</w:t>
      </w:r>
      <w:r>
        <w:rPr>
          <w:bCs/>
          <w:color w:val="000000" w:themeColor="text1"/>
        </w:rPr>
        <w:t>m</w:t>
      </w:r>
      <w:r>
        <w:rPr>
          <w:bCs/>
          <w:color w:val="000000" w:themeColor="text1"/>
          <w:vertAlign w:val="superscript"/>
        </w:rPr>
        <w:t>3</w:t>
      </w:r>
      <w:r>
        <w:rPr>
          <w:bCs/>
          <w:color w:val="000000" w:themeColor="text1"/>
        </w:rPr>
        <w:t>/d</w:t>
      </w:r>
      <w:r>
        <w:rPr>
          <w:rFonts w:hint="eastAsia"/>
          <w:bCs/>
          <w:color w:val="000000" w:themeColor="text1"/>
        </w:rPr>
        <w:t>，1920</w:t>
      </w:r>
      <w:r>
        <w:rPr>
          <w:bCs/>
          <w:color w:val="000000" w:themeColor="text1"/>
        </w:rPr>
        <w:t>m</w:t>
      </w:r>
      <w:r>
        <w:rPr>
          <w:bCs/>
          <w:color w:val="000000" w:themeColor="text1"/>
          <w:vertAlign w:val="superscript"/>
        </w:rPr>
        <w:t>3</w:t>
      </w:r>
      <w:r>
        <w:rPr>
          <w:bCs/>
          <w:color w:val="000000" w:themeColor="text1"/>
        </w:rPr>
        <w:t>/a</w:t>
      </w:r>
      <w:r>
        <w:rPr>
          <w:rFonts w:hint="eastAsia"/>
          <w:bCs/>
          <w:color w:val="000000" w:themeColor="text1"/>
        </w:rPr>
        <w:t>。</w:t>
      </w:r>
    </w:p>
    <w:p>
      <w:pPr>
        <w:pStyle w:val="38"/>
        <w:ind w:firstLine="281"/>
        <w:rPr>
          <w:color w:val="000000" w:themeColor="text1"/>
        </w:rPr>
      </w:pPr>
      <w:bookmarkStart w:id="41" w:name="_Toc47375803"/>
      <w:r>
        <w:rPr>
          <w:rFonts w:hint="eastAsia"/>
          <w:color w:val="000000" w:themeColor="text1"/>
        </w:rPr>
        <w:t>2.5.2供电</w:t>
      </w:r>
      <w:bookmarkEnd w:id="41"/>
    </w:p>
    <w:p>
      <w:pPr>
        <w:ind w:firstLine="480"/>
        <w:rPr>
          <w:color w:val="000000" w:themeColor="text1"/>
        </w:rPr>
      </w:pPr>
      <w:r>
        <w:rPr>
          <w:rFonts w:hint="eastAsia"/>
          <w:color w:val="000000" w:themeColor="text1"/>
        </w:rPr>
        <w:t>屠宰场电源由砚山县市政电网提供，由当地供电系统接入，供电有保障。</w:t>
      </w:r>
    </w:p>
    <w:p>
      <w:pPr>
        <w:pStyle w:val="38"/>
        <w:ind w:firstLine="281"/>
        <w:rPr>
          <w:color w:val="000000" w:themeColor="text1"/>
        </w:rPr>
      </w:pPr>
      <w:bookmarkStart w:id="42" w:name="_Toc47375804"/>
      <w:r>
        <w:rPr>
          <w:rFonts w:hint="eastAsia"/>
          <w:color w:val="000000" w:themeColor="text1"/>
        </w:rPr>
        <w:t>2.5.3供热</w:t>
      </w:r>
      <w:bookmarkEnd w:id="42"/>
    </w:p>
    <w:p>
      <w:pPr>
        <w:ind w:firstLine="480"/>
        <w:rPr>
          <w:color w:val="000000" w:themeColor="text1"/>
        </w:rPr>
      </w:pPr>
      <w:r>
        <w:rPr>
          <w:rFonts w:hint="eastAsia"/>
          <w:color w:val="000000" w:themeColor="text1"/>
        </w:rPr>
        <w:t>本项目烫毛工序需要用到60℃的热水，其他生产工序用水不需加热，烫毛工序热水主要由太阳能加热提供。此外项目拟配备一台0.25t/h的生物质蒸汽锅炉，在冬季或天气恶劣时使用锅炉供热。</w:t>
      </w:r>
    </w:p>
    <w:p>
      <w:pPr>
        <w:pStyle w:val="38"/>
        <w:ind w:firstLine="281"/>
        <w:rPr>
          <w:color w:val="000000" w:themeColor="text1"/>
        </w:rPr>
      </w:pPr>
      <w:bookmarkStart w:id="43" w:name="_Toc47375805"/>
      <w:r>
        <w:rPr>
          <w:rFonts w:hint="eastAsia"/>
          <w:color w:val="000000" w:themeColor="text1"/>
        </w:rPr>
        <w:t>2.5.4制冷</w:t>
      </w:r>
      <w:bookmarkEnd w:id="43"/>
    </w:p>
    <w:p>
      <w:pPr>
        <w:ind w:firstLine="480"/>
        <w:rPr>
          <w:color w:val="000000" w:themeColor="text1"/>
        </w:rPr>
      </w:pPr>
      <w:r>
        <w:rPr>
          <w:rFonts w:hint="eastAsia"/>
          <w:color w:val="000000" w:themeColor="text1"/>
        </w:rPr>
        <w:t xml:space="preserve"> （1）全厂用冷负荷</w:t>
      </w:r>
    </w:p>
    <w:p>
      <w:pPr>
        <w:ind w:firstLine="480"/>
        <w:rPr>
          <w:color w:val="000000" w:themeColor="text1"/>
        </w:rPr>
      </w:pPr>
      <w:r>
        <w:rPr>
          <w:rFonts w:hint="eastAsia"/>
          <w:color w:val="000000" w:themeColor="text1"/>
        </w:rPr>
        <w:t>①屠宰加工车间空调冷负荷约900kW，空调冷负荷合计2410kW。</w:t>
      </w:r>
    </w:p>
    <w:p>
      <w:pPr>
        <w:ind w:firstLine="480"/>
        <w:rPr>
          <w:color w:val="000000" w:themeColor="text1"/>
        </w:rPr>
      </w:pPr>
      <w:r>
        <w:rPr>
          <w:rFonts w:hint="eastAsia"/>
          <w:color w:val="000000" w:themeColor="text1"/>
        </w:rPr>
        <w:t>②预冷间冷负荷约250kW。</w:t>
      </w:r>
    </w:p>
    <w:p>
      <w:pPr>
        <w:ind w:firstLine="480"/>
        <w:rPr>
          <w:color w:val="000000" w:themeColor="text1"/>
        </w:rPr>
      </w:pPr>
      <w:r>
        <w:rPr>
          <w:rFonts w:hint="eastAsia"/>
          <w:color w:val="000000" w:themeColor="text1"/>
        </w:rPr>
        <w:t>③屠宰加工车间速冻间冷负荷约990kW。</w:t>
      </w:r>
    </w:p>
    <w:p>
      <w:pPr>
        <w:ind w:firstLine="480"/>
        <w:rPr>
          <w:color w:val="000000" w:themeColor="text1"/>
        </w:rPr>
      </w:pPr>
      <w:r>
        <w:rPr>
          <w:rFonts w:hint="eastAsia"/>
          <w:color w:val="000000" w:themeColor="text1"/>
        </w:rPr>
        <w:t>④该项目冷负荷共计约为4550kW。</w:t>
      </w:r>
    </w:p>
    <w:p>
      <w:pPr>
        <w:ind w:firstLine="480"/>
        <w:rPr>
          <w:color w:val="000000" w:themeColor="text1"/>
        </w:rPr>
      </w:pPr>
      <w:r>
        <w:rPr>
          <w:rFonts w:hint="eastAsia"/>
          <w:color w:val="000000" w:themeColor="text1"/>
        </w:rPr>
        <w:t>（2）制冷机组的组成</w:t>
      </w:r>
    </w:p>
    <w:p>
      <w:pPr>
        <w:ind w:firstLine="480"/>
        <w:rPr>
          <w:color w:val="000000" w:themeColor="text1"/>
        </w:rPr>
      </w:pPr>
      <w:r>
        <w:rPr>
          <w:rFonts w:hint="eastAsia"/>
          <w:color w:val="000000" w:themeColor="text1"/>
        </w:rPr>
        <w:t>压缩机、冷凝器、膨胀阀，蒸发器(制冷系统四大件)等。</w:t>
      </w:r>
    </w:p>
    <w:p>
      <w:pPr>
        <w:ind w:firstLine="480"/>
        <w:rPr>
          <w:color w:val="000000" w:themeColor="text1"/>
        </w:rPr>
      </w:pPr>
      <w:r>
        <w:rPr>
          <w:rFonts w:hint="eastAsia"/>
          <w:color w:val="000000" w:themeColor="text1"/>
        </w:rPr>
        <w:t>①压缩机：</w:t>
      </w:r>
    </w:p>
    <w:p>
      <w:pPr>
        <w:ind w:firstLine="480"/>
        <w:rPr>
          <w:color w:val="000000" w:themeColor="text1"/>
        </w:rPr>
      </w:pPr>
      <w:r>
        <w:rPr>
          <w:rFonts w:hint="eastAsia"/>
          <w:color w:val="000000" w:themeColor="text1"/>
        </w:rPr>
        <w:t>制冷压缩机是制冷装置中最主要的设备，通常称为制冷装置中的主机。制冷剂蒸气从低压提高为高压以及汽体的不断流动、输送，都是借助于制冷压缩机的工作来完成的，也就是说，制冷压缩机的作用是：</w:t>
      </w:r>
    </w:p>
    <w:p>
      <w:pPr>
        <w:ind w:firstLine="480"/>
        <w:rPr>
          <w:color w:val="000000" w:themeColor="text1"/>
        </w:rPr>
      </w:pPr>
      <w:r>
        <w:rPr>
          <w:rFonts w:hint="eastAsia"/>
          <w:color w:val="000000" w:themeColor="text1"/>
        </w:rPr>
        <w:t>从蒸发器中吸取制冷剂蒸气，以保证蒸发器内一定的蒸发压力；提高压力，将低压低温的制冷剂蒸气压缩成为高压高温的过热蒸气，以创造在较高温度(如夏季35℃左右的气温)下冷凝的条件；输送并推动制冷剂在系统内流动，完成制冷循环。</w:t>
      </w:r>
    </w:p>
    <w:p>
      <w:pPr>
        <w:ind w:firstLine="480"/>
        <w:rPr>
          <w:color w:val="000000" w:themeColor="text1"/>
        </w:rPr>
      </w:pPr>
      <w:r>
        <w:rPr>
          <w:rFonts w:hint="eastAsia"/>
          <w:color w:val="000000" w:themeColor="text1"/>
        </w:rPr>
        <w:t>②冷凝器</w:t>
      </w:r>
    </w:p>
    <w:p>
      <w:pPr>
        <w:ind w:firstLine="480"/>
        <w:rPr>
          <w:color w:val="000000" w:themeColor="text1"/>
        </w:rPr>
      </w:pPr>
      <w:r>
        <w:rPr>
          <w:rFonts w:hint="eastAsia"/>
          <w:color w:val="000000" w:themeColor="text1"/>
        </w:rPr>
        <w:t>项目冷凝器采用空气冷却，制冷剂放出的热量被空气带走。空气可以是自然对流，也可以利用风机作强制流动。</w:t>
      </w:r>
    </w:p>
    <w:p>
      <w:pPr>
        <w:ind w:firstLine="480"/>
        <w:rPr>
          <w:color w:val="000000" w:themeColor="text1"/>
        </w:rPr>
      </w:pPr>
      <w:r>
        <w:rPr>
          <w:rFonts w:hint="eastAsia"/>
          <w:color w:val="000000" w:themeColor="text1"/>
        </w:rPr>
        <w:t>③膨胀阀</w:t>
      </w:r>
    </w:p>
    <w:p>
      <w:pPr>
        <w:ind w:firstLine="480"/>
        <w:rPr>
          <w:color w:val="000000" w:themeColor="text1"/>
        </w:rPr>
      </w:pPr>
      <w:r>
        <w:rPr>
          <w:rFonts w:hint="eastAsia"/>
          <w:color w:val="000000" w:themeColor="text1"/>
        </w:rPr>
        <w:t>膨胀阀起节流降压的作用，经冷凝器冷凝后的高压制冷剂液体经过节流阀时，因受阻而使压力下降，导致部分制冷剂液体气化，同时吸收气化潜热，其本身温度也相应降低，成为低温低压的湿蒸汽，然后进入蒸发器。</w:t>
      </w:r>
    </w:p>
    <w:p>
      <w:pPr>
        <w:ind w:firstLine="480"/>
        <w:rPr>
          <w:color w:val="000000" w:themeColor="text1"/>
        </w:rPr>
      </w:pPr>
      <w:r>
        <w:rPr>
          <w:rFonts w:hint="eastAsia"/>
          <w:color w:val="000000" w:themeColor="text1"/>
        </w:rPr>
        <w:t>④蒸发器</w:t>
      </w:r>
    </w:p>
    <w:p>
      <w:pPr>
        <w:ind w:firstLine="480"/>
        <w:rPr>
          <w:color w:val="000000" w:themeColor="text1"/>
        </w:rPr>
      </w:pPr>
      <w:r>
        <w:rPr>
          <w:rFonts w:hint="eastAsia"/>
          <w:color w:val="000000" w:themeColor="text1"/>
        </w:rPr>
        <w:t>蒸发器也是一种热交换器，是使低压、低温制冷剂液体在沸腾过程中吸收被冷却介质的热量，从而达到制冷的目的。</w:t>
      </w:r>
    </w:p>
    <w:p>
      <w:pPr>
        <w:ind w:firstLine="480"/>
        <w:rPr>
          <w:color w:val="000000" w:themeColor="text1"/>
        </w:rPr>
      </w:pPr>
      <w:r>
        <w:rPr>
          <w:rFonts w:hint="eastAsia"/>
          <w:color w:val="000000" w:themeColor="text1"/>
        </w:rPr>
        <w:t>（3）制冷原理</w:t>
      </w:r>
    </w:p>
    <w:p>
      <w:pPr>
        <w:ind w:firstLine="480"/>
        <w:rPr>
          <w:color w:val="000000" w:themeColor="text1"/>
        </w:rPr>
      </w:pPr>
      <w:r>
        <w:rPr>
          <w:rFonts w:hint="eastAsia"/>
          <w:color w:val="000000" w:themeColor="text1"/>
        </w:rPr>
        <w:t>压缩机将气态的R22制冷剂压缩为高温高压的气态R22制冷剂，然后送到冷凝机(室外机)，散热后成为常温常压的液态R22制冷剂，所以室外机吹出的是热风。然后到毛细管，进入蒸发器(室内机)。由于R22制冷剂经毛细管后空间突然增大，压力减小，液态的R22制冷剂就汽化，变成气态低温的R22制冷剂，从而吸收大量的热量，室内机吹出的是冷风。空气中的水蒸汽遇到冷的蒸发器后就会凝结成水滴，顺着水管流出。然后气态的R22制冷剂回到压缩机继续压缩，继续循环。</w:t>
      </w:r>
    </w:p>
    <w:p>
      <w:pPr>
        <w:ind w:firstLine="480"/>
        <w:rPr>
          <w:color w:val="000000" w:themeColor="text1"/>
        </w:rPr>
      </w:pPr>
      <w:r>
        <w:rPr>
          <w:rFonts w:hint="eastAsia"/>
          <w:color w:val="000000" w:themeColor="text1"/>
        </w:rPr>
        <w:t>（5）制冷机房布置</w:t>
      </w:r>
    </w:p>
    <w:p>
      <w:pPr>
        <w:ind w:firstLine="480"/>
        <w:rPr>
          <w:color w:val="000000" w:themeColor="text1"/>
        </w:rPr>
      </w:pPr>
      <w:r>
        <w:rPr>
          <w:rFonts w:hint="eastAsia"/>
          <w:color w:val="000000" w:themeColor="text1"/>
        </w:rPr>
        <w:t>压缩机、蒸发器、冷凝机等均放置在机房内。项目R22制冷剂的年用量约为0.5t，定期补充。</w:t>
      </w:r>
    </w:p>
    <w:p>
      <w:pPr>
        <w:pStyle w:val="38"/>
        <w:ind w:firstLine="281"/>
        <w:rPr>
          <w:color w:val="000000" w:themeColor="text1"/>
        </w:rPr>
      </w:pPr>
      <w:bookmarkStart w:id="44" w:name="_Toc47375806"/>
      <w:r>
        <w:rPr>
          <w:rFonts w:hint="eastAsia"/>
          <w:color w:val="000000" w:themeColor="text1"/>
        </w:rPr>
        <w:t>2.5.5厂区消毒</w:t>
      </w:r>
      <w:bookmarkEnd w:id="44"/>
    </w:p>
    <w:p>
      <w:pPr>
        <w:ind w:firstLine="480"/>
        <w:rPr>
          <w:color w:val="000000" w:themeColor="text1"/>
        </w:rPr>
      </w:pPr>
      <w:r>
        <w:rPr>
          <w:rFonts w:hint="eastAsia"/>
          <w:color w:val="000000" w:themeColor="text1"/>
        </w:rPr>
        <w:t>生猪、生鸡进厂入口处设置地下式长5m、深0.3m的消毒池(南、北大门各一个)，禽畜接收后运输车辆轮胎及时消毒。使用次氯酸钠溶液对运输车辆、屠宰器具及车间地面进行浸泡、冲洗消毒。厂内污水处理厂废水外排前也要投加次氯酸钠进行消毒。</w:t>
      </w:r>
    </w:p>
    <w:p>
      <w:pPr>
        <w:pStyle w:val="3"/>
        <w:rPr>
          <w:color w:val="000000" w:themeColor="text1"/>
        </w:rPr>
      </w:pPr>
      <w:bookmarkStart w:id="45" w:name="_Toc47375807"/>
      <w:r>
        <w:rPr>
          <w:rFonts w:hint="eastAsia"/>
          <w:color w:val="000000" w:themeColor="text1"/>
        </w:rPr>
        <w:t>2.6项目运营期生产工艺及产污环节分析</w:t>
      </w:r>
      <w:bookmarkEnd w:id="45"/>
    </w:p>
    <w:p>
      <w:pPr>
        <w:pStyle w:val="38"/>
        <w:ind w:firstLine="281"/>
        <w:rPr>
          <w:color w:val="000000" w:themeColor="text1"/>
        </w:rPr>
      </w:pPr>
      <w:bookmarkStart w:id="46" w:name="_Toc47375808"/>
      <w:r>
        <w:rPr>
          <w:rFonts w:hint="eastAsia"/>
          <w:color w:val="000000" w:themeColor="text1"/>
        </w:rPr>
        <w:t>2.6.1屠宰生产工艺流程分析</w:t>
      </w:r>
      <w:bookmarkEnd w:id="46"/>
    </w:p>
    <w:p>
      <w:pPr>
        <w:ind w:firstLine="480"/>
        <w:rPr>
          <w:color w:val="000000" w:themeColor="text1"/>
        </w:rPr>
      </w:pPr>
      <w:r>
        <w:rPr>
          <w:rFonts w:hint="eastAsia"/>
          <w:color w:val="000000" w:themeColor="text1"/>
        </w:rPr>
        <w:t>本项目建成正常运行后，年屠宰能力为生猪15万头/年，生鸡80万只/年。</w:t>
      </w:r>
    </w:p>
    <w:p>
      <w:pPr>
        <w:ind w:firstLine="482"/>
        <w:rPr>
          <w:b/>
          <w:color w:val="000000" w:themeColor="text1"/>
        </w:rPr>
      </w:pPr>
      <w:r>
        <w:rPr>
          <w:rFonts w:hint="eastAsia"/>
          <w:b/>
          <w:color w:val="000000" w:themeColor="text1"/>
        </w:rPr>
        <w:t>1、生猪屠宰生产工艺流程简述</w:t>
      </w:r>
    </w:p>
    <w:p>
      <w:pPr>
        <w:ind w:firstLine="480"/>
        <w:rPr>
          <w:color w:val="000000" w:themeColor="text1"/>
        </w:rPr>
      </w:pPr>
      <w:r>
        <w:rPr>
          <w:rFonts w:hint="eastAsia"/>
          <w:color w:val="000000" w:themeColor="text1"/>
        </w:rPr>
        <w:t>本项目工艺流程及产污环节示意图见图2.6.1-1。</w:t>
      </w:r>
    </w:p>
    <w:p>
      <w:pPr>
        <w:pStyle w:val="54"/>
        <w:rPr>
          <w:color w:val="000000" w:themeColor="text1"/>
        </w:rPr>
      </w:pPr>
      <w:r>
        <w:rPr>
          <w:rFonts w:ascii="Calibri" w:hAnsi="Calibri"/>
          <w:color w:val="000000" w:themeColor="text1"/>
          <w:sz w:val="24"/>
        </w:rPr>
        <w:pict>
          <v:group id="_x0000_s1026" o:spid="_x0000_s1026" o:spt="203" style="height:659pt;width:447.25pt;" coordorigin="1639,1440" coordsize="8945,13180" editas="canvas">
            <o:lock v:ext="edit"/>
            <v:shape id="_x0000_s1027" o:spid="_x0000_s1027" o:spt="75" type="#_x0000_t75" style="position:absolute;left:1639;top:1440;height:13180;width:8945;" filled="f" o:preferrelative="f" stroked="f" coordsize="21600,21600">
              <v:path/>
              <v:fill on="f" focussize="0,0"/>
              <v:stroke on="f" joinstyle="miter"/>
              <v:imagedata o:title=""/>
              <o:lock v:ext="edit" aspectratio="t"/>
            </v:shape>
            <v:shape id="_x0000_s1028" o:spid="_x0000_s1028" o:spt="202" type="#_x0000_t202" style="position:absolute;left:3346;top:1615;height:449;width:1315;" filled="f" coordsize="21600,21600">
              <v:path/>
              <v:fill on="f" focussize="0,0"/>
              <v:stroke joinstyle="miter"/>
              <v:imagedata o:title=""/>
              <o:lock v:ext="edit"/>
              <v:textbox>
                <w:txbxContent>
                  <w:p>
                    <w:pPr>
                      <w:spacing w:line="240" w:lineRule="auto"/>
                      <w:ind w:firstLine="0" w:firstLineChars="0"/>
                      <w:jc w:val="center"/>
                      <w:rPr>
                        <w:sz w:val="18"/>
                        <w:szCs w:val="18"/>
                      </w:rPr>
                    </w:pPr>
                    <w:r>
                      <w:rPr>
                        <w:rFonts w:hint="eastAsia"/>
                        <w:sz w:val="18"/>
                        <w:szCs w:val="18"/>
                      </w:rPr>
                      <w:t>生猪进场</w:t>
                    </w:r>
                  </w:p>
                </w:txbxContent>
              </v:textbox>
            </v:shape>
            <v:shape id="_x0000_s1029" o:spid="_x0000_s1029" o:spt="32" type="#_x0000_t32" style="position:absolute;left:3980;top:2064;height:390;width:2;" o:connectortype="straight" filled="f" coordsize="21600,21600">
              <v:path arrowok="t"/>
              <v:fill on="f" focussize="0,0"/>
              <v:stroke endarrow="block"/>
              <v:imagedata o:title=""/>
              <o:lock v:ext="edit"/>
            </v:shape>
            <v:shape id="_x0000_s1030" o:spid="_x0000_s1030" o:spt="202" type="#_x0000_t202" style="position:absolute;left:3456;top:2454;height:449;width:1130;" filled="f" coordsize="21600,21600">
              <v:path/>
              <v:fill on="f" focussize="0,0"/>
              <v:stroke joinstyle="miter"/>
              <v:imagedata o:title=""/>
              <o:lock v:ext="edit"/>
              <v:textbox>
                <w:txbxContent>
                  <w:p>
                    <w:pPr>
                      <w:spacing w:line="240" w:lineRule="auto"/>
                      <w:ind w:firstLine="0" w:firstLineChars="0"/>
                      <w:jc w:val="center"/>
                      <w:rPr>
                        <w:sz w:val="18"/>
                        <w:szCs w:val="18"/>
                      </w:rPr>
                    </w:pPr>
                    <w:r>
                      <w:rPr>
                        <w:rFonts w:hint="eastAsia"/>
                        <w:sz w:val="18"/>
                        <w:szCs w:val="18"/>
                      </w:rPr>
                      <w:t>生猪检疫</w:t>
                    </w:r>
                  </w:p>
                </w:txbxContent>
              </v:textbox>
            </v:shape>
            <v:shape id="_x0000_s1031" o:spid="_x0000_s1031" o:spt="32" type="#_x0000_t32" style="position:absolute;left:3982;top:2903;height:390;width:1;" o:connectortype="straight" filled="f" coordsize="21600,21600">
              <v:path arrowok="t"/>
              <v:fill on="f" focussize="0,0"/>
              <v:stroke endarrow="block"/>
              <v:imagedata o:title=""/>
              <o:lock v:ext="edit"/>
            </v:shape>
            <v:shape id="_x0000_s1036" o:spid="_x0000_s1036" o:spt="32" type="#_x0000_t32" style="position:absolute;left:4566;top:2681;height:1;width:539;" o:connectortype="straight" filled="f" coordsize="21600,21600">
              <v:path arrowok="t"/>
              <v:fill on="f" focussize="0,0"/>
              <v:stroke dashstyle="dash" endarrow="block"/>
              <v:imagedata o:title=""/>
              <o:lock v:ext="edit"/>
            </v:shape>
            <v:shape id="_x0000_s1037" o:spid="_x0000_s1037" o:spt="202" type="#_x0000_t202" style="position:absolute;left:5126;top:2454;height:449;width:1150;" filled="f" stroked="f" coordsize="21600,21600">
              <v:path/>
              <v:fill on="f" focussize="0,0"/>
              <v:stroke on="f" joinstyle="miter"/>
              <v:imagedata o:title=""/>
              <o:lock v:ext="edit"/>
              <v:textbox>
                <w:txbxContent>
                  <w:p>
                    <w:pPr>
                      <w:spacing w:line="240" w:lineRule="auto"/>
                      <w:ind w:firstLine="0" w:firstLineChars="0"/>
                      <w:jc w:val="center"/>
                      <w:rPr>
                        <w:sz w:val="18"/>
                        <w:szCs w:val="18"/>
                      </w:rPr>
                    </w:pPr>
                    <w:r>
                      <w:rPr>
                        <w:sz w:val="18"/>
                        <w:szCs w:val="18"/>
                      </w:rPr>
                      <w:t>N1、 S1</w:t>
                    </w:r>
                  </w:p>
                </w:txbxContent>
              </v:textbox>
            </v:shape>
            <v:shape id="_x0000_s1040" o:spid="_x0000_s1040" o:spt="202" type="#_x0000_t202" style="position:absolute;left:3453;top:3293;height:449;width:991;" filled="f" coordsize="21600,21600">
              <v:path/>
              <v:fill on="f" focussize="0,0"/>
              <v:stroke joinstyle="miter"/>
              <v:imagedata o:title=""/>
              <o:lock v:ext="edit"/>
              <v:textbox>
                <w:txbxContent>
                  <w:p>
                    <w:pPr>
                      <w:spacing w:line="240" w:lineRule="auto"/>
                      <w:ind w:firstLine="0" w:firstLineChars="0"/>
                      <w:jc w:val="center"/>
                      <w:rPr>
                        <w:sz w:val="18"/>
                        <w:szCs w:val="18"/>
                      </w:rPr>
                    </w:pPr>
                    <w:r>
                      <w:rPr>
                        <w:rFonts w:hint="eastAsia"/>
                        <w:sz w:val="18"/>
                        <w:szCs w:val="18"/>
                      </w:rPr>
                      <w:t>待宰</w:t>
                    </w:r>
                  </w:p>
                </w:txbxContent>
              </v:textbox>
            </v:shape>
            <v:shape id="_x0000_s1041" o:spid="_x0000_s1041" o:spt="32" type="#_x0000_t32" style="position:absolute;left:3979;top:3742;height:390;width:1;" o:connectortype="straight" filled="f" coordsize="21600,21600">
              <v:path arrowok="t"/>
              <v:fill on="f" focussize="0,0"/>
              <v:stroke endarrow="block"/>
              <v:imagedata o:title=""/>
              <o:lock v:ext="edit"/>
            </v:shape>
            <v:shape id="_x0000_s1042" o:spid="_x0000_s1042" o:spt="202" type="#_x0000_t202" style="position:absolute;left:3457;top:4132;height:449;width:991;" filled="f" coordsize="21600,21600">
              <v:path/>
              <v:fill on="f" focussize="0,0"/>
              <v:stroke joinstyle="miter"/>
              <v:imagedata o:title=""/>
              <o:lock v:ext="edit"/>
              <v:textbox>
                <w:txbxContent>
                  <w:p>
                    <w:pPr>
                      <w:spacing w:line="240" w:lineRule="auto"/>
                      <w:ind w:firstLine="0" w:firstLineChars="0"/>
                      <w:jc w:val="center"/>
                      <w:rPr>
                        <w:sz w:val="18"/>
                        <w:szCs w:val="18"/>
                      </w:rPr>
                    </w:pPr>
                    <w:r>
                      <w:rPr>
                        <w:rFonts w:hint="eastAsia"/>
                        <w:sz w:val="18"/>
                        <w:szCs w:val="18"/>
                      </w:rPr>
                      <w:t>淋浴</w:t>
                    </w:r>
                  </w:p>
                </w:txbxContent>
              </v:textbox>
            </v:shape>
            <v:shape id="_x0000_s1043" o:spid="_x0000_s1043" o:spt="32" type="#_x0000_t32" style="position:absolute;left:3983;top:4581;height:390;width:1;" o:connectortype="straight" filled="f" coordsize="21600,21600">
              <v:path arrowok="t"/>
              <v:fill on="f" focussize="0,0"/>
              <v:stroke endarrow="block"/>
              <v:imagedata o:title=""/>
              <o:lock v:ext="edit"/>
            </v:shape>
            <v:shape id="_x0000_s1044" o:spid="_x0000_s1044" o:spt="202" type="#_x0000_t202" style="position:absolute;left:3458;top:4971;height:449;width:991;" filled="f" coordsize="21600,21600">
              <v:path/>
              <v:fill on="f" focussize="0,0"/>
              <v:stroke joinstyle="miter"/>
              <v:imagedata o:title=""/>
              <o:lock v:ext="edit"/>
              <v:textbox>
                <w:txbxContent>
                  <w:p>
                    <w:pPr>
                      <w:spacing w:line="240" w:lineRule="auto"/>
                      <w:ind w:firstLine="0" w:firstLineChars="0"/>
                      <w:jc w:val="center"/>
                      <w:rPr>
                        <w:sz w:val="18"/>
                        <w:szCs w:val="18"/>
                      </w:rPr>
                    </w:pPr>
                    <w:r>
                      <w:rPr>
                        <w:rFonts w:hint="eastAsia"/>
                        <w:sz w:val="18"/>
                        <w:szCs w:val="18"/>
                      </w:rPr>
                      <w:t>电击晕</w:t>
                    </w:r>
                  </w:p>
                </w:txbxContent>
              </v:textbox>
            </v:shape>
            <v:shape id="_x0000_s1045" o:spid="_x0000_s1045" o:spt="32" type="#_x0000_t32" style="position:absolute;left:3984;top:5420;height:390;width:1;" o:connectortype="straight" filled="f" coordsize="21600,21600">
              <v:path arrowok="t"/>
              <v:fill on="f" focussize="0,0"/>
              <v:stroke endarrow="block"/>
              <v:imagedata o:title=""/>
              <o:lock v:ext="edit"/>
            </v:shape>
            <v:shape id="_x0000_s1046" o:spid="_x0000_s1046" o:spt="202" type="#_x0000_t202" style="position:absolute;left:3346;top:5810;height:450;width:1104;" filled="f" coordsize="21600,21600">
              <v:path/>
              <v:fill on="f" focussize="0,0"/>
              <v:stroke joinstyle="miter"/>
              <v:imagedata o:title=""/>
              <o:lock v:ext="edit"/>
              <v:textbox>
                <w:txbxContent>
                  <w:p>
                    <w:pPr>
                      <w:spacing w:line="240" w:lineRule="auto"/>
                      <w:ind w:firstLine="0" w:firstLineChars="0"/>
                      <w:jc w:val="center"/>
                      <w:rPr>
                        <w:sz w:val="18"/>
                        <w:szCs w:val="18"/>
                      </w:rPr>
                    </w:pPr>
                    <w:r>
                      <w:rPr>
                        <w:rFonts w:hint="eastAsia"/>
                        <w:sz w:val="18"/>
                        <w:szCs w:val="18"/>
                      </w:rPr>
                      <w:t>刺杀放血</w:t>
                    </w:r>
                  </w:p>
                </w:txbxContent>
              </v:textbox>
            </v:shape>
            <v:shape id="_x0000_s1047" o:spid="_x0000_s1047" o:spt="32" type="#_x0000_t32" style="position:absolute;left:3985;top:6260;height:389;width:1;" o:connectortype="straight" filled="f" coordsize="21600,21600">
              <v:path arrowok="t"/>
              <v:fill on="f" focussize="0,0"/>
              <v:stroke endarrow="block"/>
              <v:imagedata o:title=""/>
              <o:lock v:ext="edit"/>
            </v:shape>
            <v:shape id="_x0000_s1048" o:spid="_x0000_s1048" o:spt="202" type="#_x0000_t202" style="position:absolute;left:3346;top:6649;height:449;width:1103;" filled="f" coordsize="21600,21600">
              <v:path/>
              <v:fill on="f" focussize="0,0"/>
              <v:stroke joinstyle="miter"/>
              <v:imagedata o:title=""/>
              <o:lock v:ext="edit"/>
              <v:textbox>
                <w:txbxContent>
                  <w:p>
                    <w:pPr>
                      <w:spacing w:line="240" w:lineRule="auto"/>
                      <w:ind w:firstLine="0" w:firstLineChars="0"/>
                      <w:jc w:val="center"/>
                      <w:rPr>
                        <w:sz w:val="18"/>
                        <w:szCs w:val="18"/>
                      </w:rPr>
                    </w:pPr>
                    <w:r>
                      <w:rPr>
                        <w:rFonts w:hint="eastAsia"/>
                        <w:sz w:val="18"/>
                        <w:szCs w:val="18"/>
                      </w:rPr>
                      <w:t>毛猪清洗</w:t>
                    </w:r>
                  </w:p>
                </w:txbxContent>
              </v:textbox>
            </v:shape>
            <v:shape id="_x0000_s1049" o:spid="_x0000_s1049" o:spt="32" type="#_x0000_t32" style="position:absolute;left:3984;top:7098;height:391;width:1;" o:connectortype="straight" filled="f" coordsize="21600,21600">
              <v:path arrowok="t"/>
              <v:fill on="f" focussize="0,0"/>
              <v:stroke endarrow="block"/>
              <v:imagedata o:title=""/>
              <o:lock v:ext="edit"/>
            </v:shape>
            <v:shape id="_x0000_s1050" o:spid="_x0000_s1050" o:spt="202" type="#_x0000_t202" style="position:absolute;left:3452;top:7489;height:449;width:991;" filled="f" coordsize="21600,21600">
              <v:path/>
              <v:fill on="f" focussize="0,0"/>
              <v:stroke joinstyle="miter"/>
              <v:imagedata o:title=""/>
              <o:lock v:ext="edit"/>
              <v:textbox>
                <w:txbxContent>
                  <w:p>
                    <w:pPr>
                      <w:spacing w:line="240" w:lineRule="auto"/>
                      <w:ind w:firstLine="0" w:firstLineChars="0"/>
                      <w:jc w:val="center"/>
                      <w:rPr>
                        <w:sz w:val="18"/>
                        <w:szCs w:val="18"/>
                      </w:rPr>
                    </w:pPr>
                    <w:r>
                      <w:rPr>
                        <w:rFonts w:hint="eastAsia"/>
                        <w:sz w:val="18"/>
                        <w:szCs w:val="18"/>
                      </w:rPr>
                      <w:t>烫毛</w:t>
                    </w:r>
                  </w:p>
                </w:txbxContent>
              </v:textbox>
            </v:shape>
            <v:shape id="_x0000_s1051" o:spid="_x0000_s1051" o:spt="32" type="#_x0000_t32" style="position:absolute;left:3978;top:7938;height:389;width:1;" o:connectortype="straight" filled="f" coordsize="21600,21600">
              <v:path arrowok="t"/>
              <v:fill on="f" focussize="0,0"/>
              <v:stroke endarrow="block"/>
              <v:imagedata o:title=""/>
              <o:lock v:ext="edit"/>
            </v:shape>
            <v:shape id="_x0000_s1052" o:spid="_x0000_s1052" o:spt="202" type="#_x0000_t202" style="position:absolute;left:3346;top:8327;height:449;width:1220;" filled="f" coordsize="21600,21600">
              <v:path/>
              <v:fill on="f" focussize="0,0"/>
              <v:stroke joinstyle="miter"/>
              <v:imagedata o:title=""/>
              <o:lock v:ext="edit"/>
              <v:textbox>
                <w:txbxContent>
                  <w:p>
                    <w:pPr>
                      <w:spacing w:line="240" w:lineRule="auto"/>
                      <w:ind w:firstLine="0" w:firstLineChars="0"/>
                      <w:jc w:val="center"/>
                      <w:rPr>
                        <w:sz w:val="18"/>
                        <w:szCs w:val="18"/>
                      </w:rPr>
                    </w:pPr>
                    <w:r>
                      <w:rPr>
                        <w:rFonts w:hint="eastAsia"/>
                        <w:sz w:val="18"/>
                        <w:szCs w:val="18"/>
                      </w:rPr>
                      <w:t>脱毛</w:t>
                    </w:r>
                  </w:p>
                </w:txbxContent>
              </v:textbox>
            </v:shape>
            <v:shape id="_x0000_s1053" o:spid="_x0000_s1053" o:spt="32" type="#_x0000_t32" style="position:absolute;left:3977;top:8776;height:391;width:1;" o:connectortype="straight" filled="f" coordsize="21600,21600">
              <v:path arrowok="t"/>
              <v:fill on="f" focussize="0,0"/>
              <v:stroke endarrow="block"/>
              <v:imagedata o:title=""/>
              <o:lock v:ext="edit"/>
            </v:shape>
            <v:shape id="_x0000_s1054" o:spid="_x0000_s1054" o:spt="202" type="#_x0000_t202" style="position:absolute;left:3456;top:9167;height:449;width:1205;" filled="f" coordsize="21600,21600">
              <v:path/>
              <v:fill on="f" focussize="0,0"/>
              <v:stroke joinstyle="miter"/>
              <v:imagedata o:title=""/>
              <o:lock v:ext="edit"/>
              <v:textbox>
                <w:txbxContent>
                  <w:p>
                    <w:pPr>
                      <w:spacing w:line="240" w:lineRule="auto"/>
                      <w:ind w:firstLine="0" w:firstLineChars="0"/>
                      <w:jc w:val="center"/>
                      <w:rPr>
                        <w:sz w:val="18"/>
                        <w:szCs w:val="18"/>
                      </w:rPr>
                    </w:pPr>
                    <w:r>
                      <w:rPr>
                        <w:rFonts w:hint="eastAsia"/>
                        <w:sz w:val="18"/>
                        <w:szCs w:val="18"/>
                      </w:rPr>
                      <w:t>去头去蹄</w:t>
                    </w:r>
                  </w:p>
                </w:txbxContent>
              </v:textbox>
            </v:shape>
            <v:shape id="_x0000_s1055" o:spid="_x0000_s1055" o:spt="32" type="#_x0000_t32" style="position:absolute;left:3982;top:9616;height:389;width:1;" o:connectortype="straight" filled="f" coordsize="21600,21600">
              <v:path arrowok="t"/>
              <v:fill on="f" focussize="0,0"/>
              <v:stroke endarrow="block"/>
              <v:imagedata o:title=""/>
              <o:lock v:ext="edit"/>
            </v:shape>
            <v:shape id="_x0000_s1056" o:spid="_x0000_s1056" o:spt="202" type="#_x0000_t202" style="position:absolute;left:3346;top:10005;height:449;width:1220;" filled="f" coordsize="21600,21600">
              <v:path/>
              <v:fill on="f" focussize="0,0"/>
              <v:stroke joinstyle="miter"/>
              <v:imagedata o:title=""/>
              <o:lock v:ext="edit"/>
              <v:textbox>
                <w:txbxContent>
                  <w:p>
                    <w:pPr>
                      <w:spacing w:line="240" w:lineRule="auto"/>
                      <w:ind w:firstLine="0" w:firstLineChars="0"/>
                      <w:jc w:val="center"/>
                      <w:rPr>
                        <w:sz w:val="18"/>
                        <w:szCs w:val="18"/>
                      </w:rPr>
                    </w:pPr>
                    <w:r>
                      <w:rPr>
                        <w:rFonts w:hint="eastAsia"/>
                        <w:sz w:val="18"/>
                        <w:szCs w:val="18"/>
                      </w:rPr>
                      <w:t>开肛、开膛</w:t>
                    </w:r>
                  </w:p>
                </w:txbxContent>
              </v:textbox>
            </v:shape>
            <v:shape id="_x0000_s1057" o:spid="_x0000_s1057" o:spt="32" type="#_x0000_t32" style="position:absolute;left:3982;top:10454;height:1107;width:1;" o:connectortype="straight" filled="f" coordsize="21600,21600">
              <v:path arrowok="t"/>
              <v:fill on="f" focussize="0,0"/>
              <v:stroke endarrow="block"/>
              <v:imagedata o:title=""/>
              <o:lock v:ext="edit"/>
            </v:shape>
            <v:shape id="_x0000_s1058" o:spid="_x0000_s1058" o:spt="202" type="#_x0000_t202" style="position:absolute;left:3460;top:11561;height:451;width:991;" filled="f" coordsize="21600,21600">
              <v:path/>
              <v:fill on="f" focussize="0,0"/>
              <v:stroke joinstyle="miter"/>
              <v:imagedata o:title=""/>
              <o:lock v:ext="edit"/>
              <v:textbox>
                <w:txbxContent>
                  <w:p>
                    <w:pPr>
                      <w:spacing w:line="240" w:lineRule="auto"/>
                      <w:ind w:firstLine="0" w:firstLineChars="0"/>
                      <w:jc w:val="center"/>
                      <w:rPr>
                        <w:sz w:val="18"/>
                        <w:szCs w:val="18"/>
                      </w:rPr>
                    </w:pPr>
                    <w:r>
                      <w:rPr>
                        <w:rFonts w:hint="eastAsia"/>
                        <w:sz w:val="18"/>
                        <w:szCs w:val="18"/>
                      </w:rPr>
                      <w:t>扒脏</w:t>
                    </w:r>
                  </w:p>
                </w:txbxContent>
              </v:textbox>
            </v:shape>
            <v:shape id="_x0000_s1059" o:spid="_x0000_s1059" o:spt="32" type="#_x0000_t32" style="position:absolute;left:3973;top:12012;height:389;width:2;" o:connectortype="straight" filled="f" coordsize="21600,21600">
              <v:path arrowok="t"/>
              <v:fill on="f" focussize="0,0"/>
              <v:stroke endarrow="block"/>
              <v:imagedata o:title=""/>
              <o:lock v:ext="edit"/>
            </v:shape>
            <v:shape id="_x0000_s1060" o:spid="_x0000_s1060" o:spt="32" type="#_x0000_t32" style="position:absolute;left:4433;top:3517;height:3;width:540;" o:connectortype="straight" filled="f" coordsize="21600,21600">
              <v:path arrowok="t"/>
              <v:fill on="f" focussize="0,0"/>
              <v:stroke dashstyle="dash" endarrow="block"/>
              <v:imagedata o:title=""/>
              <o:lock v:ext="edit"/>
            </v:shape>
            <v:shape id="_x0000_s1061" o:spid="_x0000_s1061" o:spt="202" type="#_x0000_t202" style="position:absolute;left:4973;top:3293;height:449;width:1855;" filled="f" stroked="f" coordsize="21600,21600">
              <v:path/>
              <v:fill on="f" focussize="0,0"/>
              <v:stroke on="f" joinstyle="miter"/>
              <v:imagedata o:title=""/>
              <o:lock v:ext="edit"/>
              <v:textbox>
                <w:txbxContent>
                  <w:p>
                    <w:pPr>
                      <w:spacing w:line="240" w:lineRule="auto"/>
                      <w:ind w:firstLine="0" w:firstLineChars="0"/>
                      <w:jc w:val="center"/>
                      <w:rPr>
                        <w:sz w:val="18"/>
                        <w:szCs w:val="18"/>
                      </w:rPr>
                    </w:pPr>
                    <w:r>
                      <w:rPr>
                        <w:sz w:val="18"/>
                        <w:szCs w:val="18"/>
                      </w:rPr>
                      <w:t>G1、W1、N2、S2</w:t>
                    </w:r>
                  </w:p>
                </w:txbxContent>
              </v:textbox>
            </v:shape>
            <v:shape id="_x0000_s1062" o:spid="_x0000_s1062" o:spt="32" type="#_x0000_t32" style="position:absolute;left:4448;top:4356;height:3;width:540;" o:connectortype="straight" filled="f" coordsize="21600,21600">
              <v:path arrowok="t"/>
              <v:fill on="f" focussize="0,0"/>
              <v:stroke dashstyle="dash" endarrow="block"/>
              <v:imagedata o:title=""/>
              <o:lock v:ext="edit"/>
            </v:shape>
            <v:shape id="_x0000_s1063" o:spid="_x0000_s1063" o:spt="202" type="#_x0000_t202" style="position:absolute;left:4988;top:4132;height:449;width:1528;" filled="f" stroked="f" coordsize="21600,21600">
              <v:path/>
              <v:fill on="f" focussize="0,0"/>
              <v:stroke on="f" joinstyle="miter"/>
              <v:imagedata o:title=""/>
              <o:lock v:ext="edit"/>
              <v:textbox>
                <w:txbxContent>
                  <w:p>
                    <w:pPr>
                      <w:spacing w:line="240" w:lineRule="auto"/>
                      <w:ind w:firstLine="0" w:firstLineChars="0"/>
                      <w:jc w:val="center"/>
                      <w:rPr>
                        <w:sz w:val="18"/>
                        <w:szCs w:val="18"/>
                      </w:rPr>
                    </w:pPr>
                    <w:r>
                      <w:rPr>
                        <w:sz w:val="18"/>
                        <w:szCs w:val="18"/>
                      </w:rPr>
                      <w:t>G</w:t>
                    </w:r>
                    <w:r>
                      <w:rPr>
                        <w:rFonts w:hint="eastAsia"/>
                        <w:sz w:val="18"/>
                        <w:szCs w:val="18"/>
                      </w:rPr>
                      <w:t>2</w:t>
                    </w:r>
                    <w:r>
                      <w:rPr>
                        <w:sz w:val="18"/>
                        <w:szCs w:val="18"/>
                      </w:rPr>
                      <w:t>、W</w:t>
                    </w:r>
                    <w:r>
                      <w:rPr>
                        <w:rFonts w:hint="eastAsia"/>
                        <w:sz w:val="18"/>
                        <w:szCs w:val="18"/>
                      </w:rPr>
                      <w:t>2</w:t>
                    </w:r>
                    <w:r>
                      <w:rPr>
                        <w:sz w:val="18"/>
                        <w:szCs w:val="18"/>
                      </w:rPr>
                      <w:t>、N</w:t>
                    </w:r>
                    <w:r>
                      <w:rPr>
                        <w:rFonts w:hint="eastAsia"/>
                        <w:sz w:val="18"/>
                        <w:szCs w:val="18"/>
                      </w:rPr>
                      <w:t>3</w:t>
                    </w:r>
                  </w:p>
                  <w:p>
                    <w:pPr>
                      <w:ind w:firstLine="480"/>
                      <w:rPr>
                        <w:szCs w:val="18"/>
                      </w:rPr>
                    </w:pPr>
                  </w:p>
                </w:txbxContent>
              </v:textbox>
            </v:shape>
            <v:shape id="_x0000_s1064" o:spid="_x0000_s1064" o:spt="32" type="#_x0000_t32" style="position:absolute;left:4451;top:5195;height:3;width:540;" o:connectortype="straight" filled="f" coordsize="21600,21600">
              <v:path arrowok="t"/>
              <v:fill on="f" focussize="0,0"/>
              <v:stroke dashstyle="dash" endarrow="block"/>
              <v:imagedata o:title=""/>
              <o:lock v:ext="edit"/>
            </v:shape>
            <v:shape id="_x0000_s1065" o:spid="_x0000_s1065" o:spt="202" type="#_x0000_t202" style="position:absolute;left:5126;top:4971;height:449;width:566;" filled="f" stroked="f" coordsize="21600,21600">
              <v:path/>
              <v:fill on="f" focussize="0,0"/>
              <v:stroke on="f" joinstyle="miter"/>
              <v:imagedata o:title=""/>
              <o:lock v:ext="edit"/>
              <v:textbox>
                <w:txbxContent>
                  <w:p>
                    <w:pPr>
                      <w:spacing w:line="240" w:lineRule="auto"/>
                      <w:ind w:firstLine="0" w:firstLineChars="0"/>
                      <w:rPr>
                        <w:sz w:val="18"/>
                        <w:szCs w:val="18"/>
                      </w:rPr>
                    </w:pPr>
                    <w:r>
                      <w:rPr>
                        <w:sz w:val="18"/>
                        <w:szCs w:val="18"/>
                      </w:rPr>
                      <w:t>N</w:t>
                    </w:r>
                    <w:r>
                      <w:rPr>
                        <w:rFonts w:hint="eastAsia"/>
                        <w:sz w:val="18"/>
                        <w:szCs w:val="18"/>
                      </w:rPr>
                      <w:t>3</w:t>
                    </w:r>
                  </w:p>
                </w:txbxContent>
              </v:textbox>
            </v:shape>
            <v:shape id="_x0000_s1067" o:spid="_x0000_s1067" o:spt="202" type="#_x0000_t202" style="position:absolute;left:4912;top:5810;height:450;width:1421;" filled="f" stroked="f" coordsize="21600,21600">
              <v:path/>
              <v:fill on="f" focussize="0,0"/>
              <v:stroke on="f" joinstyle="miter"/>
              <v:imagedata o:title=""/>
              <o:lock v:ext="edit"/>
              <v:textbox>
                <w:txbxContent>
                  <w:p>
                    <w:pPr>
                      <w:spacing w:line="240" w:lineRule="auto"/>
                      <w:ind w:firstLine="0" w:firstLineChars="0"/>
                      <w:jc w:val="center"/>
                      <w:rPr>
                        <w:sz w:val="18"/>
                        <w:szCs w:val="18"/>
                      </w:rPr>
                    </w:pPr>
                    <w:r>
                      <w:rPr>
                        <w:sz w:val="18"/>
                        <w:szCs w:val="18"/>
                      </w:rPr>
                      <w:t>N</w:t>
                    </w:r>
                    <w:r>
                      <w:rPr>
                        <w:rFonts w:hint="eastAsia"/>
                        <w:sz w:val="18"/>
                        <w:szCs w:val="18"/>
                      </w:rPr>
                      <w:t>3、猪血</w:t>
                    </w:r>
                  </w:p>
                </w:txbxContent>
              </v:textbox>
            </v:shape>
            <v:shape id="_x0000_s1068" o:spid="_x0000_s1068" o:spt="202" type="#_x0000_t202" style="position:absolute;left:1797;top:7453;height:539;width:1072;" filled="f" coordsize="21600,21600">
              <v:path/>
              <v:fill on="f" focussize="0,0"/>
              <v:stroke joinstyle="miter"/>
              <v:imagedata o:title=""/>
              <o:lock v:ext="edit"/>
              <v:textbox>
                <w:txbxContent>
                  <w:p>
                    <w:pPr>
                      <w:spacing w:line="240" w:lineRule="auto"/>
                      <w:ind w:firstLine="0" w:firstLineChars="0"/>
                      <w:jc w:val="center"/>
                      <w:rPr>
                        <w:sz w:val="18"/>
                        <w:szCs w:val="18"/>
                      </w:rPr>
                    </w:pPr>
                    <w:r>
                      <w:rPr>
                        <w:rFonts w:hint="eastAsia"/>
                        <w:sz w:val="18"/>
                        <w:szCs w:val="18"/>
                      </w:rPr>
                      <w:t>锅炉</w:t>
                    </w:r>
                  </w:p>
                </w:txbxContent>
              </v:textbox>
            </v:shape>
            <v:shape id="_x0000_s1069" o:spid="_x0000_s1069" o:spt="32" type="#_x0000_t32" style="position:absolute;left:2920;top:7686;height:1;width:540;" o:connectortype="straight" filled="f" coordsize="21600,21600">
              <v:path arrowok="t"/>
              <v:fill on="f" focussize="0,0"/>
              <v:stroke endarrow="block"/>
              <v:imagedata o:title=""/>
              <o:lock v:ext="edit"/>
            </v:shape>
            <v:shape id="_x0000_s1070" o:spid="_x0000_s1070" o:spt="32" type="#_x0000_t32" style="position:absolute;left:4433;top:7712;height:4;width:540;" o:connectortype="straight" filled="f" coordsize="21600,21600">
              <v:path arrowok="t"/>
              <v:fill on="f" focussize="0,0"/>
              <v:stroke dashstyle="dash" endarrow="block"/>
              <v:imagedata o:title=""/>
              <o:lock v:ext="edit"/>
            </v:shape>
            <v:shape id="_x0000_s1071" o:spid="_x0000_s1071" o:spt="202" type="#_x0000_t202" style="position:absolute;left:4973;top:7489;height:449;width:1468;" filled="f" stroked="f" coordsize="21600,21600">
              <v:path/>
              <v:fill on="f" focussize="0,0"/>
              <v:stroke on="f" joinstyle="miter"/>
              <v:imagedata o:title=""/>
              <o:lock v:ext="edit"/>
              <v:textbox>
                <w:txbxContent>
                  <w:p>
                    <w:pPr>
                      <w:spacing w:line="240" w:lineRule="auto"/>
                      <w:ind w:firstLine="0" w:firstLineChars="0"/>
                      <w:rPr>
                        <w:sz w:val="18"/>
                        <w:szCs w:val="18"/>
                      </w:rPr>
                    </w:pPr>
                    <w:r>
                      <w:rPr>
                        <w:sz w:val="18"/>
                        <w:szCs w:val="18"/>
                      </w:rPr>
                      <w:t>G</w:t>
                    </w:r>
                    <w:r>
                      <w:rPr>
                        <w:rFonts w:hint="eastAsia"/>
                        <w:sz w:val="18"/>
                        <w:szCs w:val="18"/>
                      </w:rPr>
                      <w:t>2、</w:t>
                    </w:r>
                    <w:r>
                      <w:rPr>
                        <w:sz w:val="18"/>
                        <w:szCs w:val="18"/>
                      </w:rPr>
                      <w:t>W2、N</w:t>
                    </w:r>
                    <w:r>
                      <w:rPr>
                        <w:rFonts w:hint="eastAsia"/>
                        <w:sz w:val="18"/>
                        <w:szCs w:val="18"/>
                      </w:rPr>
                      <w:t>3</w:t>
                    </w:r>
                  </w:p>
                  <w:p>
                    <w:pPr>
                      <w:ind w:firstLine="480"/>
                      <w:rPr>
                        <w:szCs w:val="18"/>
                      </w:rPr>
                    </w:pPr>
                  </w:p>
                </w:txbxContent>
              </v:textbox>
            </v:shape>
            <v:shape id="_x0000_s1073" o:spid="_x0000_s1073" o:spt="202" type="#_x0000_t202" style="position:absolute;left:4991;top:8327;height:449;width:2018;" filled="f" stroked="f" coordsize="21600,21600">
              <v:path/>
              <v:fill on="f" focussize="0,0"/>
              <v:stroke on="f" joinstyle="miter"/>
              <v:imagedata o:title=""/>
              <o:lock v:ext="edit"/>
              <v:textbox>
                <w:txbxContent>
                  <w:p>
                    <w:pPr>
                      <w:spacing w:line="240" w:lineRule="auto"/>
                      <w:ind w:firstLine="0" w:firstLineChars="0"/>
                      <w:rPr>
                        <w:sz w:val="18"/>
                        <w:szCs w:val="18"/>
                      </w:rPr>
                    </w:pPr>
                    <w:r>
                      <w:rPr>
                        <w:sz w:val="18"/>
                        <w:szCs w:val="18"/>
                      </w:rPr>
                      <w:t>G</w:t>
                    </w:r>
                    <w:r>
                      <w:rPr>
                        <w:rFonts w:hint="eastAsia"/>
                        <w:sz w:val="18"/>
                        <w:szCs w:val="18"/>
                      </w:rPr>
                      <w:t>2、</w:t>
                    </w:r>
                    <w:r>
                      <w:rPr>
                        <w:sz w:val="18"/>
                        <w:szCs w:val="18"/>
                      </w:rPr>
                      <w:t>W2、N</w:t>
                    </w:r>
                    <w:r>
                      <w:rPr>
                        <w:rFonts w:hint="eastAsia"/>
                        <w:sz w:val="18"/>
                        <w:szCs w:val="18"/>
                      </w:rPr>
                      <w:t>3、猪毛</w:t>
                    </w:r>
                  </w:p>
                </w:txbxContent>
              </v:textbox>
            </v:shape>
            <v:shape id="_x0000_s1074" o:spid="_x0000_s1074" o:spt="32" type="#_x0000_t32" style="position:absolute;left:4566;top:10231;height:1;width:315;" o:connectortype="straight" filled="f" coordsize="21600,21600">
              <v:path arrowok="t"/>
              <v:fill on="f" focussize="0,0"/>
              <v:stroke endarrow="block"/>
              <v:imagedata o:title=""/>
              <o:lock v:ext="edit"/>
            </v:shape>
            <v:shape id="_x0000_s1075" o:spid="_x0000_s1075" o:spt="202" type="#_x0000_t202" style="position:absolute;left:4881;top:10005;height:450;width:1158;" filled="f" coordsize="21600,21600">
              <v:path/>
              <v:fill on="f" focussize="0,0"/>
              <v:stroke joinstyle="miter"/>
              <v:imagedata o:title=""/>
              <o:lock v:ext="edit"/>
              <v:textbox>
                <w:txbxContent>
                  <w:p>
                    <w:pPr>
                      <w:spacing w:line="240" w:lineRule="auto"/>
                      <w:ind w:firstLine="0" w:firstLineChars="0"/>
                      <w:jc w:val="center"/>
                      <w:rPr>
                        <w:sz w:val="18"/>
                        <w:szCs w:val="18"/>
                      </w:rPr>
                    </w:pPr>
                    <w:r>
                      <w:rPr>
                        <w:rFonts w:hint="eastAsia"/>
                        <w:sz w:val="18"/>
                        <w:szCs w:val="18"/>
                      </w:rPr>
                      <w:t>头、蹄、尾</w:t>
                    </w:r>
                  </w:p>
                </w:txbxContent>
              </v:textbox>
            </v:shape>
            <v:shape id="_x0000_s1076" o:spid="_x0000_s1076" o:spt="32" type="#_x0000_t32" style="position:absolute;left:6039;top:10229;flip:y;height:1;width:294;" o:connectortype="straight" filled="f" coordsize="21600,21600">
              <v:path arrowok="t"/>
              <v:fill on="f" focussize="0,0"/>
              <v:stroke endarrow="block"/>
              <v:imagedata o:title=""/>
              <o:lock v:ext="edit"/>
            </v:shape>
            <v:shape id="_x0000_s1077" o:spid="_x0000_s1077" o:spt="202" type="#_x0000_t202" style="position:absolute;left:6320;top:10005;height:450;width:1131;" filled="f" coordsize="21600,21600">
              <v:path/>
              <v:fill on="f" focussize="0,0"/>
              <v:stroke joinstyle="miter"/>
              <v:imagedata o:title=""/>
              <o:lock v:ext="edit"/>
              <v:textbox>
                <w:txbxContent>
                  <w:p>
                    <w:pPr>
                      <w:spacing w:line="240" w:lineRule="auto"/>
                      <w:ind w:firstLine="0" w:firstLineChars="0"/>
                      <w:jc w:val="center"/>
                      <w:rPr>
                        <w:sz w:val="18"/>
                        <w:szCs w:val="18"/>
                      </w:rPr>
                    </w:pPr>
                    <w:r>
                      <w:rPr>
                        <w:rFonts w:hint="eastAsia"/>
                        <w:sz w:val="18"/>
                        <w:szCs w:val="18"/>
                      </w:rPr>
                      <w:t>清洗加工</w:t>
                    </w:r>
                  </w:p>
                </w:txbxContent>
              </v:textbox>
            </v:shape>
            <v:shape id="_x0000_s1078" o:spid="_x0000_s1078" o:spt="32" type="#_x0000_t32" style="position:absolute;left:7507;top:10228;flip:y;height:1;width:294;" o:connectortype="straight" filled="f" coordsize="21600,21600">
              <v:path arrowok="t"/>
              <v:fill on="f" focussize="0,0"/>
              <v:stroke endarrow="block"/>
              <v:imagedata o:title=""/>
              <o:lock v:ext="edit"/>
            </v:shape>
            <v:shape id="_x0000_s1079" o:spid="_x0000_s1079" o:spt="202" type="#_x0000_t202" style="position:absolute;left:7801;top:10005;height:450;width:1085;" filled="f" coordsize="21600,21600">
              <v:path/>
              <v:fill on="f" focussize="0,0"/>
              <v:stroke joinstyle="miter"/>
              <v:imagedata o:title=""/>
              <o:lock v:ext="edit"/>
              <v:textbox>
                <w:txbxContent>
                  <w:p>
                    <w:pPr>
                      <w:spacing w:line="240" w:lineRule="auto"/>
                      <w:ind w:firstLine="0" w:firstLineChars="0"/>
                      <w:jc w:val="center"/>
                      <w:rPr>
                        <w:sz w:val="18"/>
                        <w:szCs w:val="18"/>
                      </w:rPr>
                    </w:pPr>
                    <w:r>
                      <w:rPr>
                        <w:rFonts w:hint="eastAsia"/>
                        <w:sz w:val="18"/>
                        <w:szCs w:val="18"/>
                      </w:rPr>
                      <w:t>同步工检</w:t>
                    </w:r>
                  </w:p>
                </w:txbxContent>
              </v:textbox>
            </v:shape>
            <v:shape id="_x0000_s1080" o:spid="_x0000_s1080" o:spt="32" type="#_x0000_t32" style="position:absolute;left:8932;top:10233;flip:y;height:1;width:294;" o:connectortype="straight" filled="f" coordsize="21600,21600">
              <v:path arrowok="t"/>
              <v:fill on="f" focussize="0,0"/>
              <v:stroke endarrow="block"/>
              <v:imagedata o:title=""/>
              <o:lock v:ext="edit"/>
            </v:shape>
            <v:shape id="_x0000_s1081" o:spid="_x0000_s1081" o:spt="202" type="#_x0000_t202" style="position:absolute;left:9226;top:10005;height:450;width:1263;" filled="f" coordsize="21600,21600">
              <v:path/>
              <v:fill on="f" focussize="0,0"/>
              <v:stroke joinstyle="miter"/>
              <v:imagedata o:title=""/>
              <o:lock v:ext="edit"/>
              <v:textbox>
                <w:txbxContent>
                  <w:p>
                    <w:pPr>
                      <w:spacing w:line="240" w:lineRule="auto"/>
                      <w:ind w:firstLine="0" w:firstLineChars="0"/>
                      <w:jc w:val="center"/>
                      <w:rPr>
                        <w:sz w:val="18"/>
                        <w:szCs w:val="18"/>
                      </w:rPr>
                    </w:pPr>
                    <w:r>
                      <w:rPr>
                        <w:rFonts w:hint="eastAsia"/>
                        <w:sz w:val="18"/>
                        <w:szCs w:val="18"/>
                      </w:rPr>
                      <w:t>冷藏待售</w:t>
                    </w:r>
                  </w:p>
                </w:txbxContent>
              </v:textbox>
            </v:shape>
            <v:shape id="_x0000_s1082" o:spid="_x0000_s1082" o:spt="202" type="#_x0000_t202" style="position:absolute;left:6276;top:9167;height:449;width:991;" filled="f" stroked="f" coordsize="21600,21600">
              <v:path/>
              <v:fill on="f" focussize="0,0"/>
              <v:stroke on="f" joinstyle="miter"/>
              <v:imagedata o:title=""/>
              <o:lock v:ext="edit"/>
              <v:textbox>
                <w:txbxContent>
                  <w:p>
                    <w:pPr>
                      <w:spacing w:line="240" w:lineRule="auto"/>
                      <w:ind w:firstLine="0" w:firstLineChars="0"/>
                      <w:jc w:val="center"/>
                      <w:rPr>
                        <w:sz w:val="18"/>
                        <w:szCs w:val="18"/>
                      </w:rPr>
                    </w:pPr>
                    <w:r>
                      <w:rPr>
                        <w:rFonts w:hint="eastAsia"/>
                        <w:sz w:val="18"/>
                        <w:szCs w:val="18"/>
                      </w:rPr>
                      <w:t>新鲜水</w:t>
                    </w:r>
                  </w:p>
                </w:txbxContent>
              </v:textbox>
            </v:shape>
            <v:shape id="_x0000_s1083" o:spid="_x0000_s1083" o:spt="32" type="#_x0000_t32" style="position:absolute;left:6749;top:9616;height:389;width:2;" o:connectortype="straight" filled="f" coordsize="21600,21600">
              <v:path arrowok="t"/>
              <v:fill on="f" focussize="0,0"/>
              <v:stroke endarrow="block"/>
              <v:imagedata o:title=""/>
              <o:lock v:ext="edit"/>
            </v:shape>
            <v:shape id="_x0000_s1084" o:spid="_x0000_s1084" o:spt="32" type="#_x0000_t32" style="position:absolute;left:8359;top:9555;flip:y;height:449;width:2;" o:connectortype="straight" filled="f" coordsize="21600,21600">
              <v:path arrowok="t"/>
              <v:fill on="f" focussize="0,0"/>
              <v:stroke dashstyle="dash" endarrow="block"/>
              <v:imagedata o:title=""/>
              <o:lock v:ext="edit"/>
            </v:shape>
            <v:shape id="_x0000_s1085" o:spid="_x0000_s1085" o:spt="202" type="#_x0000_t202" style="position:absolute;left:7938;top:9132;height:423;width:798;" filled="f" stroked="f" coordsize="21600,21600">
              <v:path/>
              <v:fill on="f" focussize="0,0"/>
              <v:stroke on="f" joinstyle="miter"/>
              <v:imagedata o:title=""/>
              <o:lock v:ext="edit"/>
              <v:textbox>
                <w:txbxContent>
                  <w:p>
                    <w:pPr>
                      <w:spacing w:line="240" w:lineRule="auto"/>
                      <w:ind w:firstLine="0" w:firstLineChars="0"/>
                      <w:jc w:val="center"/>
                      <w:rPr>
                        <w:sz w:val="18"/>
                        <w:szCs w:val="18"/>
                      </w:rPr>
                    </w:pPr>
                    <w:r>
                      <w:rPr>
                        <w:rFonts w:hint="eastAsia"/>
                        <w:sz w:val="18"/>
                        <w:szCs w:val="18"/>
                      </w:rPr>
                      <w:t>N3、</w:t>
                    </w:r>
                    <w:r>
                      <w:rPr>
                        <w:sz w:val="18"/>
                        <w:szCs w:val="18"/>
                      </w:rPr>
                      <w:t>S</w:t>
                    </w:r>
                    <w:r>
                      <w:rPr>
                        <w:rFonts w:hint="eastAsia"/>
                        <w:sz w:val="18"/>
                        <w:szCs w:val="18"/>
                      </w:rPr>
                      <w:t>3</w:t>
                    </w:r>
                  </w:p>
                </w:txbxContent>
              </v:textbox>
            </v:shape>
            <v:shape id="_x0000_s1086" o:spid="_x0000_s1086" o:spt="32" type="#_x0000_t32" style="position:absolute;left:2764;top:10230;flip:x;height:4;width:582;" o:connectortype="straight" filled="f" coordsize="21600,21600">
              <v:path arrowok="t"/>
              <v:fill on="f" focussize="0,0"/>
              <v:stroke dashstyle="dash" endarrow="block"/>
              <v:imagedata o:title=""/>
              <o:lock v:ext="edit"/>
            </v:shape>
            <v:shape id="_x0000_s1087" o:spid="_x0000_s1087" o:spt="202" type="#_x0000_t202" style="position:absolute;left:6333;top:10820;height:449;width:952;" filled="f" stroked="f" coordsize="21600,21600">
              <v:path/>
              <v:fill on="f" focussize="0,0"/>
              <v:stroke on="f" joinstyle="miter"/>
              <v:imagedata o:title=""/>
              <o:lock v:ext="edit"/>
              <v:textbox>
                <w:txbxContent>
                  <w:p>
                    <w:pPr>
                      <w:spacing w:line="240" w:lineRule="auto"/>
                      <w:ind w:firstLine="0" w:firstLineChars="0"/>
                      <w:rPr>
                        <w:sz w:val="18"/>
                        <w:szCs w:val="18"/>
                      </w:rPr>
                    </w:pPr>
                    <w:r>
                      <w:rPr>
                        <w:sz w:val="18"/>
                        <w:szCs w:val="18"/>
                      </w:rPr>
                      <w:t>W</w:t>
                    </w:r>
                    <w:r>
                      <w:rPr>
                        <w:rFonts w:hint="eastAsia"/>
                        <w:sz w:val="18"/>
                        <w:szCs w:val="18"/>
                      </w:rPr>
                      <w:t>2、N3</w:t>
                    </w:r>
                  </w:p>
                </w:txbxContent>
              </v:textbox>
            </v:shape>
            <v:shape id="_x0000_s1088" o:spid="_x0000_s1088" o:spt="32" type="#_x0000_t32" style="position:absolute;left:4451;top:11787;height:1;width:315;" o:connectortype="straight" filled="f" coordsize="21600,21600">
              <v:path arrowok="t"/>
              <v:fill on="f" focussize="0,0"/>
              <v:stroke endarrow="block"/>
              <v:imagedata o:title=""/>
              <o:lock v:ext="edit"/>
            </v:shape>
            <v:shape id="_x0000_s1089" o:spid="_x0000_s1089" o:spt="202" type="#_x0000_t202" style="position:absolute;left:4766;top:11561;height:451;width:1096;" filled="f" coordsize="21600,21600">
              <v:path/>
              <v:fill on="f" focussize="0,0"/>
              <v:stroke joinstyle="miter"/>
              <v:imagedata o:title=""/>
              <o:lock v:ext="edit"/>
              <v:textbox>
                <w:txbxContent>
                  <w:p>
                    <w:pPr>
                      <w:spacing w:line="240" w:lineRule="auto"/>
                      <w:ind w:firstLine="0" w:firstLineChars="0"/>
                      <w:jc w:val="center"/>
                      <w:rPr>
                        <w:sz w:val="18"/>
                        <w:szCs w:val="18"/>
                      </w:rPr>
                    </w:pPr>
                    <w:r>
                      <w:rPr>
                        <w:rFonts w:hint="eastAsia"/>
                        <w:sz w:val="18"/>
                        <w:szCs w:val="18"/>
                      </w:rPr>
                      <w:t>红白内脏</w:t>
                    </w:r>
                  </w:p>
                </w:txbxContent>
              </v:textbox>
            </v:shape>
            <v:shape id="_x0000_s1090" o:spid="_x0000_s1090" o:spt="32" type="#_x0000_t32" style="position:absolute;left:5867;top:11787;flip:y;height:1;width:294;" o:connectortype="straight" filled="f" coordsize="21600,21600">
              <v:path arrowok="t"/>
              <v:fill on="f" focussize="0,0"/>
              <v:stroke endarrow="block"/>
              <v:imagedata o:title=""/>
              <o:lock v:ext="edit"/>
            </v:shape>
            <v:shape id="_x0000_s1091" o:spid="_x0000_s1091" o:spt="202" type="#_x0000_t202" style="position:absolute;left:6161;top:11561;height:451;width:1106;" filled="f" coordsize="21600,21600">
              <v:path/>
              <v:fill on="f" focussize="0,0"/>
              <v:stroke joinstyle="miter"/>
              <v:imagedata o:title=""/>
              <o:lock v:ext="edit"/>
              <v:textbox>
                <w:txbxContent>
                  <w:p>
                    <w:pPr>
                      <w:spacing w:line="240" w:lineRule="auto"/>
                      <w:ind w:firstLine="0" w:firstLineChars="0"/>
                      <w:rPr>
                        <w:sz w:val="18"/>
                        <w:szCs w:val="18"/>
                      </w:rPr>
                    </w:pPr>
                    <w:r>
                      <w:rPr>
                        <w:rFonts w:hint="eastAsia"/>
                        <w:sz w:val="18"/>
                        <w:szCs w:val="18"/>
                      </w:rPr>
                      <w:t>同步工检</w:t>
                    </w:r>
                  </w:p>
                </w:txbxContent>
              </v:textbox>
            </v:shape>
            <v:shape id="_x0000_s1092" o:spid="_x0000_s1092" o:spt="32" type="#_x0000_t32" style="position:absolute;left:7152;top:11787;flip:y;height:1;width:294;" o:connectortype="straight" filled="f" coordsize="21600,21600">
              <v:path arrowok="t"/>
              <v:fill on="f" focussize="0,0"/>
              <v:stroke endarrow="block"/>
              <v:imagedata o:title=""/>
              <o:lock v:ext="edit"/>
            </v:shape>
            <v:shape id="_x0000_s1093" o:spid="_x0000_s1093" o:spt="202" type="#_x0000_t202" style="position:absolute;left:7446;top:11560;height:450;width:1285;" filled="f" coordsize="21600,21600">
              <v:path/>
              <v:fill on="f" focussize="0,0"/>
              <v:stroke joinstyle="miter"/>
              <v:imagedata o:title=""/>
              <o:lock v:ext="edit"/>
              <v:textbox>
                <w:txbxContent>
                  <w:p>
                    <w:pPr>
                      <w:spacing w:line="240" w:lineRule="auto"/>
                      <w:ind w:firstLine="0" w:firstLineChars="0"/>
                      <w:jc w:val="center"/>
                      <w:rPr>
                        <w:sz w:val="18"/>
                        <w:szCs w:val="18"/>
                      </w:rPr>
                    </w:pPr>
                    <w:r>
                      <w:rPr>
                        <w:rFonts w:hint="eastAsia"/>
                        <w:sz w:val="18"/>
                        <w:szCs w:val="18"/>
                      </w:rPr>
                      <w:t>内脏处理间</w:t>
                    </w:r>
                  </w:p>
                </w:txbxContent>
              </v:textbox>
            </v:shape>
            <v:shape id="_x0000_s1094" o:spid="_x0000_s1094" o:spt="32" type="#_x0000_t32" style="position:absolute;left:8731;top:11786;flip:y;height:1;width:295;" o:connectortype="straight" filled="f" coordsize="21600,21600">
              <v:path arrowok="t"/>
              <v:fill on="f" focussize="0,0"/>
              <v:stroke endarrow="block"/>
              <v:imagedata o:title=""/>
              <o:lock v:ext="edit"/>
            </v:shape>
            <v:shape id="_x0000_s1095" o:spid="_x0000_s1095" o:spt="202" type="#_x0000_t202" style="position:absolute;left:9051;top:11561;height:451;width:1153;" filled="f" coordsize="21600,21600">
              <v:path/>
              <v:fill on="f" focussize="0,0"/>
              <v:stroke joinstyle="miter"/>
              <v:imagedata o:title=""/>
              <o:lock v:ext="edit"/>
              <v:textbox>
                <w:txbxContent>
                  <w:p>
                    <w:pPr>
                      <w:spacing w:line="240" w:lineRule="auto"/>
                      <w:ind w:firstLine="0" w:firstLineChars="0"/>
                      <w:jc w:val="center"/>
                      <w:rPr>
                        <w:sz w:val="18"/>
                        <w:szCs w:val="18"/>
                      </w:rPr>
                    </w:pPr>
                    <w:r>
                      <w:rPr>
                        <w:rFonts w:hint="eastAsia"/>
                        <w:sz w:val="18"/>
                        <w:szCs w:val="18"/>
                      </w:rPr>
                      <w:t>冷藏待售</w:t>
                    </w:r>
                  </w:p>
                </w:txbxContent>
              </v:textbox>
            </v:shape>
            <v:shape id="_x0000_s1096" o:spid="_x0000_s1096" o:spt="202" type="#_x0000_t202" style="position:absolute;left:7574;top:10721;height:451;width:991;" filled="f" stroked="f" coordsize="21600,21600">
              <v:path/>
              <v:fill on="f" focussize="0,0"/>
              <v:stroke on="f" joinstyle="miter"/>
              <v:imagedata o:title=""/>
              <o:lock v:ext="edit"/>
              <v:textbox>
                <w:txbxContent>
                  <w:p>
                    <w:pPr>
                      <w:spacing w:line="240" w:lineRule="auto"/>
                      <w:ind w:firstLine="0" w:firstLineChars="0"/>
                      <w:jc w:val="center"/>
                      <w:rPr>
                        <w:sz w:val="18"/>
                        <w:szCs w:val="18"/>
                      </w:rPr>
                    </w:pPr>
                    <w:r>
                      <w:rPr>
                        <w:rFonts w:hint="eastAsia"/>
                        <w:sz w:val="18"/>
                        <w:szCs w:val="18"/>
                      </w:rPr>
                      <w:t>新鲜水</w:t>
                    </w:r>
                  </w:p>
                </w:txbxContent>
              </v:textbox>
            </v:shape>
            <v:shape id="_x0000_s1097" o:spid="_x0000_s1097" o:spt="32" type="#_x0000_t32" style="position:absolute;left:8048;top:11172;height:388;width:2;" o:connectortype="straight" filled="f" coordsize="21600,21600">
              <v:path arrowok="t"/>
              <v:fill on="f" focussize="0,0"/>
              <v:stroke endarrow="block"/>
              <v:imagedata o:title=""/>
              <o:lock v:ext="edit"/>
            </v:shape>
            <v:shape id="_x0000_s1098" o:spid="_x0000_s1098" o:spt="32" type="#_x0000_t32" style="position:absolute;left:8085;top:12012;flip:y;height:450;width:1;rotation:-11796480f;" o:connectortype="straight" filled="f" coordsize="21600,21600">
              <v:path arrowok="t"/>
              <v:fill on="f" focussize="0,0"/>
              <v:stroke dashstyle="dash" endarrow="block"/>
              <v:imagedata o:title=""/>
              <o:lock v:ext="edit"/>
            </v:shape>
            <v:shape id="_x0000_s1099" o:spid="_x0000_s1099" o:spt="202" type="#_x0000_t202" style="position:absolute;left:7009;top:12401;height:450;width:2138;" filled="f" stroked="f" coordsize="21600,21600">
              <v:path/>
              <v:fill on="f" focussize="0,0"/>
              <v:stroke on="f" joinstyle="miter"/>
              <v:imagedata o:title=""/>
              <o:lock v:ext="edit"/>
              <v:textbox>
                <w:txbxContent>
                  <w:p>
                    <w:pPr>
                      <w:spacing w:line="240" w:lineRule="auto"/>
                      <w:ind w:firstLine="0" w:firstLineChars="0"/>
                      <w:jc w:val="center"/>
                      <w:rPr>
                        <w:sz w:val="18"/>
                        <w:szCs w:val="18"/>
                      </w:rPr>
                    </w:pPr>
                    <w:r>
                      <w:rPr>
                        <w:sz w:val="18"/>
                        <w:szCs w:val="18"/>
                      </w:rPr>
                      <w:t>W2</w:t>
                    </w:r>
                    <w:r>
                      <w:rPr>
                        <w:rFonts w:hint="eastAsia"/>
                        <w:sz w:val="18"/>
                        <w:szCs w:val="18"/>
                      </w:rPr>
                      <w:t>、</w:t>
                    </w:r>
                    <w:r>
                      <w:rPr>
                        <w:sz w:val="18"/>
                        <w:szCs w:val="18"/>
                      </w:rPr>
                      <w:t>G</w:t>
                    </w:r>
                    <w:r>
                      <w:rPr>
                        <w:rFonts w:hint="eastAsia"/>
                        <w:sz w:val="18"/>
                        <w:szCs w:val="18"/>
                      </w:rPr>
                      <w:t>2、N3、</w:t>
                    </w:r>
                    <w:r>
                      <w:rPr>
                        <w:sz w:val="18"/>
                        <w:szCs w:val="18"/>
                      </w:rPr>
                      <w:t>S2</w:t>
                    </w:r>
                    <w:r>
                      <w:rPr>
                        <w:rFonts w:hint="eastAsia"/>
                        <w:sz w:val="18"/>
                        <w:szCs w:val="18"/>
                      </w:rPr>
                      <w:t>、</w:t>
                    </w:r>
                    <w:r>
                      <w:rPr>
                        <w:sz w:val="18"/>
                        <w:szCs w:val="18"/>
                      </w:rPr>
                      <w:t>S3</w:t>
                    </w:r>
                  </w:p>
                </w:txbxContent>
              </v:textbox>
            </v:shape>
            <v:shape id="_x0000_s1100" o:spid="_x0000_s1100" o:spt="202" type="#_x0000_t202" style="position:absolute;left:3346;top:12401;height:450;width:1315;" filled="f" coordsize="21600,21600">
              <v:path/>
              <v:fill on="f" focussize="0,0"/>
              <v:stroke joinstyle="miter"/>
              <v:imagedata o:title=""/>
              <o:lock v:ext="edit"/>
              <v:textbox>
                <w:txbxContent>
                  <w:p>
                    <w:pPr>
                      <w:spacing w:line="240" w:lineRule="auto"/>
                      <w:ind w:firstLine="0" w:firstLineChars="0"/>
                      <w:jc w:val="center"/>
                      <w:rPr>
                        <w:sz w:val="18"/>
                        <w:szCs w:val="18"/>
                      </w:rPr>
                    </w:pPr>
                    <w:r>
                      <w:rPr>
                        <w:rFonts w:hint="eastAsia"/>
                        <w:sz w:val="18"/>
                        <w:szCs w:val="18"/>
                      </w:rPr>
                      <w:t>锯半机劈半</w:t>
                    </w:r>
                  </w:p>
                </w:txbxContent>
              </v:textbox>
            </v:shape>
            <v:shape id="_x0000_s1101" o:spid="_x0000_s1101" o:spt="32" type="#_x0000_t32" style="position:absolute;left:3955;top:12851;height:391;width:2;" o:connectortype="straight" filled="f" coordsize="21600,21600">
              <v:path arrowok="t"/>
              <v:fill on="f" focussize="0,0"/>
              <v:stroke endarrow="block"/>
              <v:imagedata o:title=""/>
              <o:lock v:ext="edit"/>
            </v:shape>
            <v:shape id="_x0000_s1102" o:spid="_x0000_s1102" o:spt="32" type="#_x0000_t32" style="position:absolute;left:3985;top:13691;height:390;width:1;" o:connectortype="straight" filled="f" coordsize="21600,21600">
              <v:path arrowok="t"/>
              <v:fill on="f" focussize="0,0"/>
              <v:stroke endarrow="block"/>
              <v:imagedata o:title=""/>
              <o:lock v:ext="edit"/>
            </v:shape>
            <v:shape id="_x0000_s1103" o:spid="_x0000_s1103" o:spt="202" type="#_x0000_t202" style="position:absolute;left:3434;top:13242;height:449;width:1227;" filled="f" coordsize="21600,21600">
              <v:path/>
              <v:fill on="f" focussize="0,0"/>
              <v:stroke joinstyle="miter"/>
              <v:imagedata o:title=""/>
              <o:lock v:ext="edit"/>
              <v:textbox>
                <w:txbxContent>
                  <w:p>
                    <w:pPr>
                      <w:spacing w:line="240" w:lineRule="auto"/>
                      <w:ind w:firstLine="0" w:firstLineChars="0"/>
                      <w:jc w:val="center"/>
                      <w:rPr>
                        <w:sz w:val="18"/>
                        <w:szCs w:val="18"/>
                      </w:rPr>
                    </w:pPr>
                    <w:r>
                      <w:rPr>
                        <w:rFonts w:hint="eastAsia"/>
                        <w:sz w:val="18"/>
                        <w:szCs w:val="18"/>
                      </w:rPr>
                      <w:t>肉尸修整</w:t>
                    </w:r>
                  </w:p>
                </w:txbxContent>
              </v:textbox>
            </v:shape>
            <v:shape id="_x0000_s1104" o:spid="_x0000_s1104" o:spt="32" type="#_x0000_t32" style="position:absolute;left:4661;top:13469;height:3;width:540;" o:connectortype="straight" filled="f" coordsize="21600,21600">
              <v:path arrowok="t"/>
              <v:fill on="f" focussize="0,0"/>
              <v:stroke dashstyle="dash" endarrow="block"/>
              <v:imagedata o:title=""/>
              <o:lock v:ext="edit"/>
            </v:shape>
            <v:shape id="_x0000_s1105" o:spid="_x0000_s1105" o:spt="202" type="#_x0000_t202" style="position:absolute;left:4996;top:13242;height:449;width:1280;" filled="f" stroked="f" coordsize="21600,21600">
              <v:path/>
              <v:fill on="f" focussize="0,0"/>
              <v:stroke on="f" joinstyle="miter"/>
              <v:imagedata o:title=""/>
              <o:lock v:ext="edit"/>
              <v:textbox>
                <w:txbxContent>
                  <w:p>
                    <w:pPr>
                      <w:spacing w:line="240" w:lineRule="auto"/>
                      <w:ind w:firstLine="0" w:firstLineChars="0"/>
                      <w:jc w:val="center"/>
                      <w:rPr>
                        <w:sz w:val="18"/>
                        <w:szCs w:val="18"/>
                      </w:rPr>
                    </w:pPr>
                    <w:r>
                      <w:rPr>
                        <w:sz w:val="18"/>
                        <w:szCs w:val="18"/>
                      </w:rPr>
                      <w:t>G</w:t>
                    </w:r>
                    <w:r>
                      <w:rPr>
                        <w:rFonts w:hint="eastAsia"/>
                        <w:sz w:val="18"/>
                        <w:szCs w:val="18"/>
                      </w:rPr>
                      <w:t>2、</w:t>
                    </w:r>
                    <w:r>
                      <w:rPr>
                        <w:sz w:val="18"/>
                        <w:szCs w:val="18"/>
                      </w:rPr>
                      <w:t>S</w:t>
                    </w:r>
                    <w:r>
                      <w:rPr>
                        <w:rFonts w:hint="eastAsia"/>
                        <w:sz w:val="18"/>
                        <w:szCs w:val="18"/>
                      </w:rPr>
                      <w:t>3</w:t>
                    </w:r>
                  </w:p>
                </w:txbxContent>
              </v:textbox>
            </v:shape>
            <v:shape id="_x0000_s1106" o:spid="_x0000_s1106" o:spt="202" type="#_x0000_t202" style="position:absolute;left:3465;top:14081;height:451;width:991;" filled="f" coordsize="21600,21600">
              <v:path/>
              <v:fill on="f" focussize="0,0"/>
              <v:stroke joinstyle="miter"/>
              <v:imagedata o:title=""/>
              <o:lock v:ext="edit"/>
              <v:textbox>
                <w:txbxContent>
                  <w:p>
                    <w:pPr>
                      <w:spacing w:line="240" w:lineRule="auto"/>
                      <w:ind w:firstLine="0" w:firstLineChars="0"/>
                      <w:jc w:val="center"/>
                      <w:rPr>
                        <w:sz w:val="18"/>
                        <w:szCs w:val="18"/>
                      </w:rPr>
                    </w:pPr>
                    <w:r>
                      <w:rPr>
                        <w:rFonts w:hint="eastAsia"/>
                        <w:sz w:val="18"/>
                        <w:szCs w:val="18"/>
                      </w:rPr>
                      <w:t>清洗</w:t>
                    </w:r>
                  </w:p>
                </w:txbxContent>
              </v:textbox>
            </v:shape>
            <v:shape id="_x0000_s1107" o:spid="_x0000_s1107" o:spt="32" type="#_x0000_t32" style="position:absolute;left:4456;top:14308;height:2;width:315;" o:connectortype="straight" filled="f" coordsize="21600,21600">
              <v:path arrowok="t"/>
              <v:fill on="f" focussize="0,0"/>
              <v:stroke endarrow="block"/>
              <v:imagedata o:title=""/>
              <o:lock v:ext="edit"/>
            </v:shape>
            <v:shape id="_x0000_s1108" o:spid="_x0000_s1108" o:spt="202" type="#_x0000_t202" style="position:absolute;left:4771;top:14083;height:450;width:1096;" filled="f" coordsize="21600,21600">
              <v:path/>
              <v:fill on="f" focussize="0,0"/>
              <v:stroke joinstyle="miter"/>
              <v:imagedata o:title=""/>
              <o:lock v:ext="edit"/>
              <v:textbox>
                <w:txbxContent>
                  <w:p>
                    <w:pPr>
                      <w:spacing w:line="240" w:lineRule="auto"/>
                      <w:ind w:firstLine="0" w:firstLineChars="0"/>
                      <w:jc w:val="center"/>
                      <w:rPr>
                        <w:sz w:val="18"/>
                        <w:szCs w:val="18"/>
                      </w:rPr>
                    </w:pPr>
                    <w:r>
                      <w:rPr>
                        <w:rFonts w:hint="eastAsia"/>
                        <w:sz w:val="18"/>
                        <w:szCs w:val="18"/>
                      </w:rPr>
                      <w:t>冷却排酸</w:t>
                    </w:r>
                  </w:p>
                </w:txbxContent>
              </v:textbox>
            </v:shape>
            <v:shape id="_x0000_s1109" o:spid="_x0000_s1109" o:spt="32" type="#_x0000_t32" style="position:absolute;left:5872;top:14308;flip:y;height:2;width:294;" o:connectortype="straight" filled="f" coordsize="21600,21600">
              <v:path arrowok="t"/>
              <v:fill on="f" focussize="0,0"/>
              <v:stroke endarrow="block"/>
              <v:imagedata o:title=""/>
              <o:lock v:ext="edit"/>
            </v:shape>
            <v:shape id="_x0000_s1110" o:spid="_x0000_s1110" o:spt="202" type="#_x0000_t202" style="position:absolute;left:6166;top:14083;height:450;width:991;" filled="f" coordsize="21600,21600">
              <v:path/>
              <v:fill on="f" focussize="0,0"/>
              <v:stroke joinstyle="miter"/>
              <v:imagedata o:title=""/>
              <o:lock v:ext="edit"/>
              <v:textbox>
                <w:txbxContent>
                  <w:p>
                    <w:pPr>
                      <w:spacing w:line="240" w:lineRule="auto"/>
                      <w:ind w:firstLine="0" w:firstLineChars="0"/>
                      <w:jc w:val="center"/>
                      <w:rPr>
                        <w:sz w:val="18"/>
                        <w:szCs w:val="18"/>
                      </w:rPr>
                    </w:pPr>
                    <w:r>
                      <w:rPr>
                        <w:rFonts w:hint="eastAsia"/>
                        <w:sz w:val="18"/>
                        <w:szCs w:val="18"/>
                      </w:rPr>
                      <w:t>白条猪</w:t>
                    </w:r>
                  </w:p>
                </w:txbxContent>
              </v:textbox>
            </v:shape>
            <v:shape id="_x0000_s1111" o:spid="_x0000_s1111" o:spt="32" type="#_x0000_t32" style="position:absolute;left:7157;top:14308;flip:y;height:2;width:294;" o:connectortype="straight" filled="f" coordsize="21600,21600">
              <v:path arrowok="t"/>
              <v:fill on="f" focussize="0,0"/>
              <v:stroke endarrow="block"/>
              <v:imagedata o:title=""/>
              <o:lock v:ext="edit"/>
            </v:shape>
            <v:shape id="_x0000_s1112" o:spid="_x0000_s1112" o:spt="202" type="#_x0000_t202" style="position:absolute;left:7451;top:14081;height:451;width:1285;" filled="f" coordsize="21600,21600">
              <v:path/>
              <v:fill on="f" focussize="0,0"/>
              <v:stroke joinstyle="miter"/>
              <v:imagedata o:title=""/>
              <o:lock v:ext="edit"/>
              <v:textbox>
                <w:txbxContent>
                  <w:p>
                    <w:pPr>
                      <w:spacing w:line="240" w:lineRule="auto"/>
                      <w:ind w:firstLine="0" w:firstLineChars="0"/>
                      <w:jc w:val="center"/>
                      <w:rPr>
                        <w:sz w:val="18"/>
                        <w:szCs w:val="18"/>
                      </w:rPr>
                    </w:pPr>
                    <w:r>
                      <w:rPr>
                        <w:rFonts w:hint="eastAsia"/>
                        <w:sz w:val="18"/>
                        <w:szCs w:val="18"/>
                      </w:rPr>
                      <w:t>冷藏待售</w:t>
                    </w:r>
                  </w:p>
                </w:txbxContent>
              </v:textbox>
            </v:shape>
            <v:shape id="_x0000_s1113" o:spid="_x0000_s1113" o:spt="32" type="#_x0000_t32" style="position:absolute;left:2995;top:14308;flip:x;height:2;width:457;" o:connectortype="straight" filled="f" coordsize="21600,21600">
              <v:path arrowok="t"/>
              <v:fill on="f" focussize="0,0"/>
              <v:stroke dashstyle="dash" endarrow="block"/>
              <v:imagedata o:title=""/>
              <o:lock v:ext="edit"/>
            </v:shape>
            <v:shape id="_x0000_s1114" o:spid="_x0000_s1114" o:spt="202" type="#_x0000_t202" style="position:absolute;left:2333;top:14084;height:449;width:669;" filled="f" stroked="f" coordsize="21600,21600">
              <v:path/>
              <v:fill on="f" focussize="0,0"/>
              <v:stroke on="f" joinstyle="miter"/>
              <v:imagedata o:title=""/>
              <o:lock v:ext="edit"/>
              <v:textbox>
                <w:txbxContent>
                  <w:p>
                    <w:pPr>
                      <w:spacing w:line="240" w:lineRule="auto"/>
                      <w:ind w:firstLine="0" w:firstLineChars="0"/>
                      <w:jc w:val="center"/>
                      <w:rPr>
                        <w:sz w:val="18"/>
                        <w:szCs w:val="18"/>
                      </w:rPr>
                    </w:pPr>
                    <w:r>
                      <w:rPr>
                        <w:sz w:val="18"/>
                        <w:szCs w:val="18"/>
                      </w:rPr>
                      <w:t>W</w:t>
                    </w:r>
                    <w:r>
                      <w:rPr>
                        <w:rFonts w:hint="eastAsia"/>
                        <w:sz w:val="18"/>
                        <w:szCs w:val="18"/>
                      </w:rPr>
                      <w:t>2</w:t>
                    </w:r>
                  </w:p>
                </w:txbxContent>
              </v:textbox>
            </v:shape>
            <v:shape id="_x0000_s1115" o:spid="_x0000_s1115" o:spt="32" type="#_x0000_t32" style="position:absolute;left:2333;top:6762;flip:y;height:691;width:5;" o:connectortype="straight" filled="f" coordsize="21600,21600">
              <v:path arrowok="t"/>
              <v:fill on="f" focussize="0,0"/>
              <v:stroke dashstyle="dash" endarrow="block"/>
              <v:imagedata o:title=""/>
              <o:lock v:ext="edit"/>
            </v:shape>
            <v:shape id="_x0000_s1116" o:spid="_x0000_s1116" o:spt="202" type="#_x0000_t202" style="position:absolute;left:2012;top:6313;height:449;width:692;" filled="f" stroked="f" coordsize="21600,21600">
              <v:path/>
              <v:fill on="f" focussize="0,0"/>
              <v:stroke on="f" joinstyle="miter"/>
              <v:imagedata o:title=""/>
              <o:lock v:ext="edit"/>
              <v:textbox>
                <w:txbxContent>
                  <w:p>
                    <w:pPr>
                      <w:spacing w:line="240" w:lineRule="auto"/>
                      <w:ind w:firstLine="0" w:firstLineChars="0"/>
                      <w:jc w:val="center"/>
                      <w:rPr>
                        <w:sz w:val="18"/>
                        <w:szCs w:val="18"/>
                      </w:rPr>
                    </w:pPr>
                    <w:r>
                      <w:rPr>
                        <w:rFonts w:hint="eastAsia"/>
                        <w:sz w:val="18"/>
                        <w:szCs w:val="18"/>
                      </w:rPr>
                      <w:t>G3</w:t>
                    </w:r>
                  </w:p>
                </w:txbxContent>
              </v:textbox>
            </v:shape>
            <v:shape id="_x0000_s1117" o:spid="_x0000_s1117" o:spt="32" type="#_x0000_t32" style="position:absolute;left:4456;top:6913;height:4;width:540;" o:connectortype="straight" filled="f" coordsize="21600,21600">
              <v:path arrowok="t"/>
              <v:fill on="f" focussize="0,0"/>
              <v:stroke dashstyle="dash" endarrow="block"/>
              <v:imagedata o:title=""/>
              <o:lock v:ext="edit"/>
            </v:shape>
            <v:shape id="_x0000_s1118" o:spid="_x0000_s1118" o:spt="202" type="#_x0000_t202" style="position:absolute;left:5088;top:6702;height:396;width:1353;" filled="f" stroked="f" coordsize="21600,21600">
              <v:path/>
              <v:fill on="f" focussize="0,0"/>
              <v:stroke on="f" joinstyle="miter"/>
              <v:imagedata o:title=""/>
              <o:lock v:ext="edit"/>
              <v:textbox>
                <w:txbxContent>
                  <w:p>
                    <w:pPr>
                      <w:spacing w:line="240" w:lineRule="auto"/>
                      <w:ind w:firstLine="0" w:firstLineChars="0"/>
                      <w:rPr>
                        <w:sz w:val="18"/>
                        <w:szCs w:val="18"/>
                      </w:rPr>
                    </w:pPr>
                    <w:r>
                      <w:rPr>
                        <w:sz w:val="18"/>
                        <w:szCs w:val="18"/>
                      </w:rPr>
                      <w:t>G</w:t>
                    </w:r>
                    <w:r>
                      <w:rPr>
                        <w:rFonts w:hint="eastAsia"/>
                        <w:sz w:val="18"/>
                        <w:szCs w:val="18"/>
                      </w:rPr>
                      <w:t>2、</w:t>
                    </w:r>
                    <w:r>
                      <w:rPr>
                        <w:sz w:val="18"/>
                        <w:szCs w:val="18"/>
                      </w:rPr>
                      <w:t>W2、N</w:t>
                    </w:r>
                    <w:r>
                      <w:rPr>
                        <w:rFonts w:hint="eastAsia"/>
                        <w:sz w:val="18"/>
                        <w:szCs w:val="18"/>
                      </w:rPr>
                      <w:t>3</w:t>
                    </w:r>
                  </w:p>
                </w:txbxContent>
              </v:textbox>
            </v:shape>
            <v:shape id="_x0000_s1306" o:spid="_x0000_s1306" o:spt="32" type="#_x0000_t32" style="position:absolute;left:4450;top:6024;flip:y;height:11;width:638;" o:connectortype="straight" filled="f" coordsize="21600,21600">
              <v:path arrowok="t"/>
              <v:fill on="f" focussize="0,0"/>
              <v:stroke dashstyle="dash" endarrow="block"/>
              <v:imagedata o:title=""/>
              <o:lock v:ext="edit"/>
            </v:shape>
            <v:shape id="_x0000_s1307" o:spid="_x0000_s1307" o:spt="32" type="#_x0000_t32" style="position:absolute;left:4586;top:8540;height:4;width:540;" o:connectortype="straight" filled="f" coordsize="21600,21600">
              <v:path arrowok="t"/>
              <v:fill on="f" focussize="0,0"/>
              <v:stroke dashstyle="dash" endarrow="block"/>
              <v:imagedata o:title=""/>
              <o:lock v:ext="edit"/>
            </v:shape>
            <v:shape id="_x0000_s1308" o:spid="_x0000_s1308" o:spt="32" type="#_x0000_t32" style="position:absolute;left:2920;top:9392;flip:x;height:1;width:536;" o:connectortype="straight" filled="f" coordsize="21600,21600">
              <v:path arrowok="t"/>
              <v:fill on="f" focussize="0,0"/>
              <v:stroke dashstyle="dash" endarrow="block"/>
              <v:imagedata o:title=""/>
              <o:lock v:ext="edit"/>
            </v:shape>
            <v:shape id="_x0000_s1309" o:spid="_x0000_s1309" o:spt="202" type="#_x0000_t202" style="position:absolute;left:2012;top:9167;height:449;width:990;" filled="f" stroked="f" coordsize="21600,21600">
              <v:path/>
              <v:fill on="f" focussize="0,0"/>
              <v:stroke on="f" joinstyle="miter"/>
              <v:imagedata o:title=""/>
              <o:lock v:ext="edit"/>
              <v:textbox>
                <w:txbxContent>
                  <w:p>
                    <w:pPr>
                      <w:spacing w:line="240" w:lineRule="auto"/>
                      <w:ind w:firstLine="0" w:firstLineChars="0"/>
                      <w:rPr>
                        <w:sz w:val="18"/>
                        <w:szCs w:val="18"/>
                      </w:rPr>
                    </w:pPr>
                    <w:r>
                      <w:rPr>
                        <w:sz w:val="18"/>
                        <w:szCs w:val="18"/>
                      </w:rPr>
                      <w:t>G</w:t>
                    </w:r>
                    <w:r>
                      <w:rPr>
                        <w:rFonts w:hint="eastAsia"/>
                        <w:sz w:val="18"/>
                        <w:szCs w:val="18"/>
                      </w:rPr>
                      <w:t>2、</w:t>
                    </w:r>
                    <w:r>
                      <w:rPr>
                        <w:sz w:val="18"/>
                        <w:szCs w:val="18"/>
                      </w:rPr>
                      <w:t>N</w:t>
                    </w:r>
                    <w:r>
                      <w:rPr>
                        <w:rFonts w:hint="eastAsia"/>
                        <w:sz w:val="18"/>
                        <w:szCs w:val="18"/>
                      </w:rPr>
                      <w:t>3</w:t>
                    </w:r>
                  </w:p>
                </w:txbxContent>
              </v:textbox>
            </v:shape>
            <v:shape id="_x0000_s1310" o:spid="_x0000_s1310" o:spt="32" type="#_x0000_t32" style="position:absolute;left:6828;top:10455;flip:y;height:451;width:1;rotation:-11796480f;" o:connectortype="straight" filled="f" coordsize="21600,21600">
              <v:path arrowok="t"/>
              <v:fill on="f" focussize="0,0"/>
              <v:stroke dashstyle="dash" endarrow="block"/>
              <v:imagedata o:title=""/>
              <o:lock v:ext="edit"/>
            </v:shape>
            <v:shape id="_x0000_s1311" o:spid="_x0000_s1311" o:spt="202" type="#_x0000_t202" style="position:absolute;left:2247;top:10006;height:449;width:517;" filled="f" stroked="f" coordsize="21600,21600">
              <v:path/>
              <v:fill on="f" focussize="0,0"/>
              <v:stroke on="f" joinstyle="miter"/>
              <v:imagedata o:title=""/>
              <o:lock v:ext="edit"/>
              <v:textbox>
                <w:txbxContent>
                  <w:p>
                    <w:pPr>
                      <w:spacing w:line="240" w:lineRule="auto"/>
                      <w:ind w:firstLine="0" w:firstLineChars="0"/>
                      <w:rPr>
                        <w:sz w:val="18"/>
                        <w:szCs w:val="18"/>
                      </w:rPr>
                    </w:pPr>
                    <w:r>
                      <w:rPr>
                        <w:rFonts w:hint="eastAsia"/>
                        <w:sz w:val="18"/>
                        <w:szCs w:val="18"/>
                      </w:rPr>
                      <w:t>N3</w:t>
                    </w:r>
                  </w:p>
                </w:txbxContent>
              </v:textbox>
            </v:shape>
            <v:shape id="_x0000_s1312" o:spid="_x0000_s1312" o:spt="32" type="#_x0000_t32" style="position:absolute;left:4661;top:12617;height:3;width:540;" o:connectortype="straight" filled="f" coordsize="21600,21600">
              <v:path arrowok="t"/>
              <v:fill on="f" focussize="0,0"/>
              <v:stroke dashstyle="dash" endarrow="block"/>
              <v:imagedata o:title=""/>
              <o:lock v:ext="edit"/>
            </v:shape>
            <v:shape id="_x0000_s1313" o:spid="_x0000_s1313" o:spt="202" type="#_x0000_t202" style="position:absolute;left:5088;top:12401;height:449;width:1073;" filled="f" stroked="f" coordsize="21600,21600">
              <v:path/>
              <v:fill on="f" focussize="0,0"/>
              <v:stroke on="f" joinstyle="miter"/>
              <v:imagedata o:title=""/>
              <o:lock v:ext="edit"/>
              <v:textbox>
                <w:txbxContent>
                  <w:p>
                    <w:pPr>
                      <w:spacing w:line="240" w:lineRule="auto"/>
                      <w:ind w:firstLine="0" w:firstLineChars="0"/>
                      <w:jc w:val="center"/>
                      <w:rPr>
                        <w:sz w:val="18"/>
                        <w:szCs w:val="18"/>
                      </w:rPr>
                    </w:pPr>
                    <w:r>
                      <w:rPr>
                        <w:rFonts w:hint="eastAsia"/>
                        <w:sz w:val="18"/>
                        <w:szCs w:val="18"/>
                      </w:rPr>
                      <w:t>W2、N3</w:t>
                    </w:r>
                  </w:p>
                </w:txbxContent>
              </v:textbox>
            </v:shape>
            <w10:wrap type="none"/>
            <w10:anchorlock/>
          </v:group>
        </w:pict>
      </w:r>
    </w:p>
    <w:p>
      <w:pPr>
        <w:pStyle w:val="54"/>
        <w:rPr>
          <w:color w:val="000000" w:themeColor="text1"/>
        </w:rPr>
      </w:pPr>
      <w:r>
        <w:rPr>
          <w:rFonts w:hint="eastAsia"/>
          <w:color w:val="000000" w:themeColor="text1"/>
        </w:rPr>
        <w:t>图2.6.1-1  项目生猪屠宰工艺流程及产污环节示意图</w:t>
      </w:r>
    </w:p>
    <w:p>
      <w:pPr>
        <w:ind w:firstLine="480"/>
        <w:rPr>
          <w:color w:val="000000" w:themeColor="text1"/>
        </w:rPr>
      </w:pPr>
      <w:r>
        <w:rPr>
          <w:rFonts w:hint="eastAsia"/>
          <w:color w:val="000000" w:themeColor="text1"/>
        </w:rPr>
        <w:t>（一）主产品</w:t>
      </w:r>
    </w:p>
    <w:p>
      <w:pPr>
        <w:ind w:firstLine="480"/>
        <w:rPr>
          <w:color w:val="000000" w:themeColor="text1"/>
        </w:rPr>
      </w:pPr>
      <w:r>
        <w:rPr>
          <w:rFonts w:hint="eastAsia"/>
          <w:color w:val="000000" w:themeColor="text1"/>
        </w:rPr>
        <w:t>运送生猪车辆由厂区大门进入，车辆首先经过消毒池对车轮进行冲洗，清洗后车辆进入待宰车间附近，将生猪卸下后，运猪空车到清洗点对车辆进行整车清洗，清洗干净的空车再由出口出去。</w:t>
      </w:r>
    </w:p>
    <w:p>
      <w:pPr>
        <w:ind w:firstLine="480"/>
        <w:rPr>
          <w:color w:val="000000" w:themeColor="text1"/>
        </w:rPr>
      </w:pPr>
      <w:r>
        <w:rPr>
          <w:rFonts w:hint="eastAsia"/>
          <w:color w:val="000000" w:themeColor="text1"/>
        </w:rPr>
        <w:t>生猪屠宰工艺主要包括宰前圈养、宰前检验、称重冲淋、电麻、起吊宰杀、烫毛、脱毛、去头蹄尾、剖腹、胴体修整冲淋、胴体检验、劈半以及包装入排酸间等工序，具体分述如下：</w:t>
      </w:r>
    </w:p>
    <w:p>
      <w:pPr>
        <w:ind w:firstLine="480"/>
        <w:rPr>
          <w:color w:val="000000" w:themeColor="text1"/>
        </w:rPr>
      </w:pPr>
      <w:r>
        <w:rPr>
          <w:rFonts w:hint="eastAsia"/>
          <w:color w:val="000000" w:themeColor="text1"/>
        </w:rPr>
        <w:t>（</w:t>
      </w:r>
      <w:r>
        <w:rPr>
          <w:color w:val="000000" w:themeColor="text1"/>
        </w:rPr>
        <w:t>1</w:t>
      </w:r>
      <w:r>
        <w:rPr>
          <w:rFonts w:hint="eastAsia"/>
          <w:color w:val="000000" w:themeColor="text1"/>
        </w:rPr>
        <w:t>）宰前检验：宰前检验的且的是通过检疫、检测，以控制各种疫病的传入和扩散，减少污染，维护产品质量。它包括以下三个环节：进厂检疫、候宰检查、宰前检疫。</w:t>
      </w:r>
    </w:p>
    <w:p>
      <w:pPr>
        <w:ind w:firstLine="480"/>
        <w:rPr>
          <w:color w:val="000000" w:themeColor="text1"/>
        </w:rPr>
      </w:pPr>
      <w:r>
        <w:rPr>
          <w:rFonts w:hint="eastAsia"/>
          <w:color w:val="000000" w:themeColor="text1"/>
        </w:rPr>
        <w:t>进厂检疫是指在未卸车之前，检疫员向押运员索取检疫证或防疫注射证，以便从侧面了解产地疫情；持证核对品种及头数，发现不符，及时查明原因，直到认为没有可疑疫情时允许卸下，借过磅验级之际，留神观察牲畜健康状态，对可疑者应做进一步诊断，必要时组织会诊。当确诊疫病时，及时封锁，上报疫情。</w:t>
      </w:r>
      <w:r>
        <w:rPr>
          <w:color w:val="000000" w:themeColor="text1"/>
        </w:rPr>
        <w:t xml:space="preserve"> </w:t>
      </w:r>
      <w:r>
        <w:rPr>
          <w:rFonts w:hint="eastAsia"/>
          <w:color w:val="000000" w:themeColor="text1"/>
        </w:rPr>
        <w:t>同时立即采取措施，就地扑灭，确保人畜的安全。</w:t>
      </w:r>
    </w:p>
    <w:p>
      <w:pPr>
        <w:ind w:firstLine="480"/>
        <w:rPr>
          <w:color w:val="000000" w:themeColor="text1"/>
        </w:rPr>
      </w:pPr>
      <w:r>
        <w:rPr>
          <w:color w:val="000000" w:themeColor="text1"/>
        </w:rPr>
        <w:t xml:space="preserve"> </w:t>
      </w:r>
      <w:r>
        <w:rPr>
          <w:rFonts w:hint="eastAsia"/>
          <w:color w:val="000000" w:themeColor="text1"/>
        </w:rPr>
        <w:t>候宰检查是指卫检员深入到待宰圈内观察生猪休息、饮食和行动状态，发现异常，随时剔出进行临床检查，必要时采取急宰后剖检诊断。</w:t>
      </w:r>
    </w:p>
    <w:p>
      <w:pPr>
        <w:ind w:firstLine="480"/>
        <w:rPr>
          <w:color w:val="000000" w:themeColor="text1"/>
        </w:rPr>
      </w:pPr>
      <w:r>
        <w:rPr>
          <w:color w:val="000000" w:themeColor="text1"/>
        </w:rPr>
        <w:t xml:space="preserve"> </w:t>
      </w:r>
      <w:r>
        <w:rPr>
          <w:rFonts w:hint="eastAsia"/>
          <w:color w:val="000000" w:themeColor="text1"/>
        </w:rPr>
        <w:t>（</w:t>
      </w:r>
      <w:r>
        <w:rPr>
          <w:color w:val="000000" w:themeColor="text1"/>
        </w:rPr>
        <w:t>2</w:t>
      </w:r>
      <w:r>
        <w:rPr>
          <w:rFonts w:hint="eastAsia"/>
          <w:color w:val="000000" w:themeColor="text1"/>
        </w:rPr>
        <w:t>）宰前圈养：生猪在屠宰前存放在待宰圈内，必须保证活猪有充分的休息时间，使活猪保持安静的状态，防止代谢机能旺盛，同时宰前需要至少断食</w:t>
      </w:r>
      <w:r>
        <w:rPr>
          <w:color w:val="000000" w:themeColor="text1"/>
        </w:rPr>
        <w:t>12h</w:t>
      </w:r>
      <w:r>
        <w:rPr>
          <w:rFonts w:hint="eastAsia"/>
          <w:color w:val="000000" w:themeColor="text1"/>
        </w:rPr>
        <w:t>，并充分给水，以利于宰后胴体降低</w:t>
      </w:r>
      <w:r>
        <w:rPr>
          <w:color w:val="000000" w:themeColor="text1"/>
        </w:rPr>
        <w:t>pH</w:t>
      </w:r>
      <w:r>
        <w:rPr>
          <w:rFonts w:hint="eastAsia"/>
          <w:color w:val="000000" w:themeColor="text1"/>
        </w:rPr>
        <w:t>值，从而抑制微生物的繁殖，防止胴体被污染，在宰前</w:t>
      </w:r>
      <w:r>
        <w:rPr>
          <w:color w:val="000000" w:themeColor="text1"/>
        </w:rPr>
        <w:t>3h</w:t>
      </w:r>
      <w:r>
        <w:rPr>
          <w:rFonts w:hint="eastAsia"/>
          <w:color w:val="000000" w:themeColor="text1"/>
        </w:rPr>
        <w:t>断水。</w:t>
      </w:r>
    </w:p>
    <w:p>
      <w:pPr>
        <w:ind w:firstLine="480"/>
        <w:rPr>
          <w:color w:val="000000" w:themeColor="text1"/>
        </w:rPr>
      </w:pPr>
      <w:r>
        <w:rPr>
          <w:rFonts w:hint="eastAsia"/>
          <w:color w:val="000000" w:themeColor="text1"/>
        </w:rPr>
        <w:t>圈舍应经常保持清洁、干燥、通风良好，保持饮水槽清洁，要及时清扫粪便，每批生猪送宰后彻底清扫、消毒。宰前进行充分淋浴，洗净体表的灰尘、污泥、粪便等。</w:t>
      </w:r>
    </w:p>
    <w:p>
      <w:pPr>
        <w:ind w:firstLine="480"/>
        <w:rPr>
          <w:color w:val="000000" w:themeColor="text1"/>
        </w:rPr>
      </w:pPr>
      <w:r>
        <w:rPr>
          <w:rFonts w:hint="eastAsia"/>
          <w:color w:val="000000" w:themeColor="text1"/>
        </w:rPr>
        <w:t>待宰间需要定期冲洗，会产生冲圈废水；另外，待宰圈还会产生粪便、猪叫声和恶臭气体。</w:t>
      </w:r>
    </w:p>
    <w:p>
      <w:pPr>
        <w:ind w:firstLine="480"/>
        <w:rPr>
          <w:color w:val="000000" w:themeColor="text1"/>
        </w:rPr>
      </w:pPr>
      <w:r>
        <w:rPr>
          <w:rFonts w:hint="eastAsia"/>
          <w:color w:val="000000" w:themeColor="text1"/>
        </w:rPr>
        <w:t>（</w:t>
      </w:r>
      <w:r>
        <w:rPr>
          <w:color w:val="000000" w:themeColor="text1"/>
        </w:rPr>
        <w:t>3</w:t>
      </w:r>
      <w:r>
        <w:rPr>
          <w:rFonts w:hint="eastAsia"/>
          <w:color w:val="000000" w:themeColor="text1"/>
        </w:rPr>
        <w:t>）称重、冲淋：经宰前检验后合格的生猪由人沿着指定的赶猪通道将猪按顺序牵到地榜上称重。而后用水进行冲淋，清洗全身，以减少屠宰过程中猪身上的附着物对猪胴体的污染。</w:t>
      </w:r>
    </w:p>
    <w:p>
      <w:pPr>
        <w:ind w:firstLine="480"/>
        <w:rPr>
          <w:color w:val="000000" w:themeColor="text1"/>
        </w:rPr>
      </w:pPr>
      <w:r>
        <w:rPr>
          <w:rFonts w:hint="eastAsia"/>
          <w:color w:val="000000" w:themeColor="text1"/>
        </w:rPr>
        <w:t>（</w:t>
      </w:r>
      <w:r>
        <w:rPr>
          <w:color w:val="000000" w:themeColor="text1"/>
        </w:rPr>
        <w:t>4</w:t>
      </w:r>
      <w:r>
        <w:rPr>
          <w:rFonts w:hint="eastAsia"/>
          <w:color w:val="000000" w:themeColor="text1"/>
        </w:rPr>
        <w:t>）电麻：在输送机上输送的过程中用手麻电器将猪击晕（采用麻电致昏，致昏要适度，猪昏而不死），击晕的目的是使猪暂时失去知觉，处于昏迷状态，以便刺杀放血，确保刺杀操作工的安全，减少劳动强度，提高劳动生产效率，保持屠宰场周围环境的安静，同时也提高了肉品的质量。用标好序号的扣脚链扣紧猪的右后小腿，通过提升机或猪放血线的提升装置将猪提升进入猪放血自动输送线的轨道上，由自动轨道传送到放血点。挂猪要迅速，从击晕到放血的时间间隔不超过</w:t>
      </w:r>
      <w:r>
        <w:rPr>
          <w:color w:val="000000" w:themeColor="text1"/>
        </w:rPr>
        <w:t>1.5min</w:t>
      </w:r>
      <w:r>
        <w:rPr>
          <w:rFonts w:hint="eastAsia"/>
          <w:color w:val="000000" w:themeColor="text1"/>
        </w:rPr>
        <w:t>。</w:t>
      </w:r>
    </w:p>
    <w:p>
      <w:pPr>
        <w:ind w:firstLine="480"/>
        <w:rPr>
          <w:color w:val="000000" w:themeColor="text1"/>
        </w:rPr>
      </w:pPr>
      <w:r>
        <w:rPr>
          <w:rFonts w:hint="eastAsia"/>
          <w:color w:val="000000" w:themeColor="text1"/>
        </w:rPr>
        <w:t>采用自动低压高频电击晕法，电脑程序控制可根据猪的重量控制电流大小，可降低猪在宰杀过程中的应激反应，控制</w:t>
      </w:r>
      <w:r>
        <w:rPr>
          <w:color w:val="000000" w:themeColor="text1"/>
        </w:rPr>
        <w:t>pH</w:t>
      </w:r>
      <w:r>
        <w:rPr>
          <w:rFonts w:hint="eastAsia"/>
          <w:color w:val="000000" w:themeColor="text1"/>
        </w:rPr>
        <w:t>值升高或降低，以提高产品。</w:t>
      </w:r>
      <w:r>
        <w:rPr>
          <w:color w:val="000000" w:themeColor="text1"/>
        </w:rPr>
        <w:t xml:space="preserve">      </w:t>
      </w:r>
    </w:p>
    <w:p>
      <w:pPr>
        <w:ind w:firstLine="480"/>
        <w:rPr>
          <w:color w:val="000000" w:themeColor="text1"/>
        </w:rPr>
      </w:pPr>
      <w:r>
        <w:rPr>
          <w:rFonts w:hint="eastAsia"/>
          <w:color w:val="000000" w:themeColor="text1"/>
        </w:rPr>
        <w:t>（</w:t>
      </w:r>
      <w:r>
        <w:rPr>
          <w:color w:val="000000" w:themeColor="text1"/>
        </w:rPr>
        <w:t>5</w:t>
      </w:r>
      <w:r>
        <w:rPr>
          <w:rFonts w:hint="eastAsia"/>
          <w:color w:val="000000" w:themeColor="text1"/>
        </w:rPr>
        <w:t>）放血：将待宰猪固定好并吊在高轨上，以便后续作业；从猪喉部刺杀割断食管、气管和血管进行放血，放血时间约为</w:t>
      </w:r>
      <w:r>
        <w:rPr>
          <w:color w:val="000000" w:themeColor="text1"/>
        </w:rPr>
        <w:t>9min</w:t>
      </w:r>
      <w:r>
        <w:rPr>
          <w:rFonts w:hint="eastAsia"/>
          <w:color w:val="000000" w:themeColor="text1"/>
        </w:rPr>
        <w:t>。使用真空抽血设备进行抽血，可以最大限度的收集猪血，有效的减少后续猪血的滴漏量。放出的血水在放血线末端采用泵吸方式输送出屠宰车间等待外售。</w:t>
      </w:r>
    </w:p>
    <w:p>
      <w:pPr>
        <w:ind w:firstLine="480"/>
        <w:rPr>
          <w:color w:val="000000" w:themeColor="text1"/>
        </w:rPr>
      </w:pPr>
      <w:r>
        <w:rPr>
          <w:rFonts w:hint="eastAsia"/>
          <w:color w:val="000000" w:themeColor="text1"/>
        </w:rPr>
        <w:t>（</w:t>
      </w:r>
      <w:r>
        <w:rPr>
          <w:color w:val="000000" w:themeColor="text1"/>
        </w:rPr>
        <w:t>6</w:t>
      </w:r>
      <w:r>
        <w:rPr>
          <w:rFonts w:hint="eastAsia"/>
          <w:color w:val="000000" w:themeColor="text1"/>
        </w:rPr>
        <w:t>）烫毛、脱毛、刮毛：</w:t>
      </w:r>
      <w:r>
        <w:rPr>
          <w:color w:val="000000" w:themeColor="text1"/>
        </w:rPr>
        <w:t xml:space="preserve"> </w:t>
      </w:r>
      <w:r>
        <w:rPr>
          <w:rFonts w:hint="eastAsia"/>
          <w:color w:val="000000" w:themeColor="text1"/>
        </w:rPr>
        <w:t>经过放血的猪放入隧道式蒸汽烫毛机，进行去毛处理。本项目烫毛使用蒸汽为自建生物质锅炉蒸汽和温水进行喷淋，温度控制在</w:t>
      </w:r>
      <w:r>
        <w:rPr>
          <w:color w:val="000000" w:themeColor="text1"/>
        </w:rPr>
        <w:t>60~70</w:t>
      </w:r>
      <w:r>
        <w:rPr>
          <w:rFonts w:hint="eastAsia" w:ascii="微软雅黑" w:hAnsi="微软雅黑" w:eastAsia="微软雅黑" w:cs="微软雅黑"/>
          <w:color w:val="000000" w:themeColor="text1"/>
        </w:rPr>
        <w:t>℃</w:t>
      </w:r>
      <w:r>
        <w:rPr>
          <w:rFonts w:hint="eastAsia"/>
          <w:color w:val="000000" w:themeColor="text1"/>
        </w:rPr>
        <w:t>，时间控制在</w:t>
      </w:r>
      <w:r>
        <w:rPr>
          <w:color w:val="000000" w:themeColor="text1"/>
        </w:rPr>
        <w:t xml:space="preserve"> 6~8 </w:t>
      </w:r>
      <w:r>
        <w:rPr>
          <w:rFonts w:hint="eastAsia"/>
          <w:color w:val="000000" w:themeColor="text1"/>
        </w:rPr>
        <w:t>分钟，以保证脱毛效果。烫毛后的屠体进入螺旋刮毛机进行机械脱毛。机械脱毛后仍不能将猪体上的毛全部除净，仍需进一步使用刮毛机对生猪进行再次处理，在刮毛前需利用</w:t>
      </w:r>
      <w:r>
        <w:rPr>
          <w:color w:val="000000" w:themeColor="text1"/>
        </w:rPr>
        <w:t>50~60</w:t>
      </w:r>
      <w:r>
        <w:rPr>
          <w:rFonts w:hint="eastAsia" w:ascii="微软雅黑" w:hAnsi="微软雅黑" w:eastAsia="微软雅黑" w:cs="微软雅黑"/>
          <w:color w:val="000000" w:themeColor="text1"/>
          <w:lang w:eastAsia="ja-JP"/>
        </w:rPr>
        <w:t>℃</w:t>
      </w:r>
      <w:r>
        <w:rPr>
          <w:rFonts w:hint="eastAsia" w:cs="宋体"/>
          <w:color w:val="000000" w:themeColor="text1"/>
        </w:rPr>
        <w:t>高温水进行烫</w:t>
      </w:r>
      <w:r>
        <w:rPr>
          <w:rFonts w:hint="eastAsia"/>
          <w:color w:val="000000" w:themeColor="text1"/>
        </w:rPr>
        <w:t>，刮毛后通过清水池进行清洗。</w:t>
      </w:r>
    </w:p>
    <w:p>
      <w:pPr>
        <w:ind w:firstLine="480"/>
        <w:rPr>
          <w:color w:val="000000" w:themeColor="text1"/>
        </w:rPr>
      </w:pPr>
      <w:r>
        <w:rPr>
          <w:rFonts w:hint="eastAsia"/>
          <w:color w:val="000000" w:themeColor="text1"/>
        </w:rPr>
        <w:t>项目脱毛分为三步，先采用脱毛机脱毛，然后采用刮毛机进行刮毛、最后剩余头部少量的猪毛采用液化气火烧燎毛，液化气使用量较传统燎毛消耗量减少了60%。烫毛、打毛工序脱下来的猪毛晾干后外售。</w:t>
      </w:r>
    </w:p>
    <w:p>
      <w:pPr>
        <w:ind w:firstLine="480"/>
        <w:rPr>
          <w:color w:val="000000" w:themeColor="text1"/>
        </w:rPr>
      </w:pPr>
      <w:r>
        <w:rPr>
          <w:rFonts w:hint="eastAsia"/>
          <w:color w:val="000000" w:themeColor="text1"/>
        </w:rPr>
        <w:t>（</w:t>
      </w:r>
      <w:r>
        <w:rPr>
          <w:color w:val="000000" w:themeColor="text1"/>
        </w:rPr>
        <w:t>7</w:t>
      </w:r>
      <w:r>
        <w:rPr>
          <w:rFonts w:hint="eastAsia"/>
          <w:color w:val="000000" w:themeColor="text1"/>
        </w:rPr>
        <w:t>）去头、蹄、尾：脱毛后的生猪，采用机械方式去头、蹄、尾；</w:t>
      </w:r>
    </w:p>
    <w:p>
      <w:pPr>
        <w:ind w:firstLine="480"/>
        <w:rPr>
          <w:color w:val="000000" w:themeColor="text1"/>
        </w:rPr>
      </w:pPr>
      <w:r>
        <w:rPr>
          <w:rFonts w:hint="eastAsia"/>
          <w:color w:val="000000" w:themeColor="text1"/>
        </w:rPr>
        <w:t>（</w:t>
      </w:r>
      <w:r>
        <w:rPr>
          <w:color w:val="000000" w:themeColor="text1"/>
        </w:rPr>
        <w:t>8</w:t>
      </w:r>
      <w:r>
        <w:rPr>
          <w:rFonts w:hint="eastAsia"/>
          <w:color w:val="000000" w:themeColor="text1"/>
        </w:rPr>
        <w:t>）剖腹：去毛的胴体需简单清洗并降温，进入清洗池，降温至</w:t>
      </w:r>
      <w:r>
        <w:rPr>
          <w:color w:val="000000" w:themeColor="text1"/>
        </w:rPr>
        <w:t xml:space="preserve"> 30</w:t>
      </w:r>
      <w:r>
        <w:rPr>
          <w:rFonts w:hint="eastAsia" w:ascii="微软雅黑" w:hAnsi="微软雅黑" w:eastAsia="微软雅黑" w:cs="微软雅黑"/>
          <w:color w:val="000000" w:themeColor="text1"/>
        </w:rPr>
        <w:t>℃</w:t>
      </w:r>
      <w:r>
        <w:rPr>
          <w:rFonts w:hint="eastAsia"/>
          <w:color w:val="000000" w:themeColor="text1"/>
        </w:rPr>
        <w:t>左右。首先进行去尾、叼肛处理，然后是开膛，开脯线平直不偏斜，胸骨整齐不带三角肉，刀尖朝外，不得划破内脏如胆等，取出内脏。</w:t>
      </w:r>
    </w:p>
    <w:p>
      <w:pPr>
        <w:ind w:firstLine="480"/>
        <w:rPr>
          <w:color w:val="000000" w:themeColor="text1"/>
        </w:rPr>
      </w:pPr>
      <w:r>
        <w:rPr>
          <w:rFonts w:hint="eastAsia" w:ascii="宋体" w:hAnsi="宋体" w:cs="宋体"/>
          <w:color w:val="000000" w:themeColor="text1"/>
        </w:rPr>
        <w:t>①</w:t>
      </w:r>
      <w:r>
        <w:rPr>
          <w:rFonts w:hint="eastAsia"/>
          <w:color w:val="000000" w:themeColor="text1"/>
        </w:rPr>
        <w:t>胴体加工工位：开胸、取白内脏、取红内脏、胴体检验、胴体修割等，都是在胴体自动加工输送线上完成的。</w:t>
      </w:r>
    </w:p>
    <w:p>
      <w:pPr>
        <w:ind w:firstLine="480"/>
        <w:rPr>
          <w:color w:val="000000" w:themeColor="text1"/>
        </w:rPr>
      </w:pPr>
      <w:r>
        <w:rPr>
          <w:rFonts w:hint="eastAsia" w:ascii="宋体" w:hAnsi="宋体" w:cs="宋体"/>
          <w:color w:val="000000" w:themeColor="text1"/>
        </w:rPr>
        <w:t>②</w:t>
      </w:r>
      <w:r>
        <w:rPr>
          <w:rFonts w:hint="eastAsia"/>
          <w:color w:val="000000" w:themeColor="text1"/>
        </w:rPr>
        <w:t>打开猪的胸腔后，从猪的胸膛内取下白内脏，即肠、肚。把取出的白内脏放入同步卫检线的托盘内待检验。</w:t>
      </w:r>
    </w:p>
    <w:p>
      <w:pPr>
        <w:ind w:firstLine="480"/>
        <w:rPr>
          <w:color w:val="000000" w:themeColor="text1"/>
        </w:rPr>
      </w:pPr>
      <w:r>
        <w:rPr>
          <w:rFonts w:hint="eastAsia" w:ascii="宋体" w:hAnsi="宋体" w:cs="宋体"/>
          <w:color w:val="000000" w:themeColor="text1"/>
        </w:rPr>
        <w:t>③</w:t>
      </w:r>
      <w:r>
        <w:rPr>
          <w:rFonts w:hint="eastAsia"/>
          <w:color w:val="000000" w:themeColor="text1"/>
        </w:rPr>
        <w:t>取出红内脏，即心、肝、肺。把取出的红内脏挂在同步卫检线的挂钩上待检验。</w:t>
      </w:r>
    </w:p>
    <w:p>
      <w:pPr>
        <w:ind w:firstLine="480"/>
        <w:rPr>
          <w:color w:val="000000" w:themeColor="text1"/>
        </w:rPr>
      </w:pPr>
      <w:r>
        <w:rPr>
          <w:rFonts w:hint="eastAsia"/>
          <w:color w:val="000000" w:themeColor="text1"/>
        </w:rPr>
        <w:t>（</w:t>
      </w:r>
      <w:r>
        <w:rPr>
          <w:color w:val="000000" w:themeColor="text1"/>
        </w:rPr>
        <w:t>9</w:t>
      </w:r>
      <w:r>
        <w:rPr>
          <w:rFonts w:hint="eastAsia"/>
          <w:color w:val="000000" w:themeColor="text1"/>
        </w:rPr>
        <w:t>）胴体劈半：本项目使用全自动劈半机将猪劈开，一分为二，劈半后的胴体应立即用水冲洗干净去残留血渍、骨渣、毛等污物。</w:t>
      </w:r>
    </w:p>
    <w:p>
      <w:pPr>
        <w:ind w:firstLine="480"/>
        <w:rPr>
          <w:color w:val="000000" w:themeColor="text1"/>
        </w:rPr>
      </w:pPr>
      <w:r>
        <w:rPr>
          <w:rFonts w:hint="eastAsia"/>
          <w:color w:val="000000" w:themeColor="text1"/>
        </w:rPr>
        <w:t>（</w:t>
      </w:r>
      <w:r>
        <w:rPr>
          <w:color w:val="000000" w:themeColor="text1"/>
        </w:rPr>
        <w:t>10</w:t>
      </w:r>
      <w:r>
        <w:rPr>
          <w:rFonts w:hint="eastAsia"/>
          <w:color w:val="000000" w:themeColor="text1"/>
        </w:rPr>
        <w:t>）宰后检验：将胴体、头、内脏、蹄等实施同步卫生检验。根据《中华人民共和国动物防疫法》和《中华人民共和国进出口动植物检疫法》中的有关规定，卫生检验后屠体的处理如下：</w:t>
      </w:r>
    </w:p>
    <w:p>
      <w:pPr>
        <w:ind w:firstLine="480"/>
        <w:rPr>
          <w:color w:val="000000" w:themeColor="text1"/>
        </w:rPr>
      </w:pPr>
      <w:r>
        <w:rPr>
          <w:color w:val="000000" w:themeColor="text1"/>
        </w:rPr>
        <w:t>●</w:t>
      </w:r>
      <w:r>
        <w:rPr>
          <w:rFonts w:hint="eastAsia"/>
          <w:color w:val="000000" w:themeColor="text1"/>
        </w:rPr>
        <w:t>合格的：检验合格作为食品的，其卫生检验、监督均依照《中华人民共和国食品卫生法》的规定办理。</w:t>
      </w:r>
    </w:p>
    <w:p>
      <w:pPr>
        <w:ind w:firstLine="480"/>
        <w:rPr>
          <w:color w:val="000000" w:themeColor="text1"/>
        </w:rPr>
      </w:pPr>
      <w:r>
        <w:rPr>
          <w:color w:val="000000" w:themeColor="text1"/>
        </w:rPr>
        <w:t>●</w:t>
      </w:r>
      <w:r>
        <w:rPr>
          <w:rFonts w:hint="eastAsia"/>
          <w:color w:val="000000" w:themeColor="text1"/>
        </w:rPr>
        <w:t>不合格的：</w:t>
      </w:r>
    </w:p>
    <w:p>
      <w:pPr>
        <w:ind w:firstLine="480"/>
        <w:rPr>
          <w:color w:val="000000" w:themeColor="text1"/>
        </w:rPr>
      </w:pPr>
      <w:r>
        <w:rPr>
          <w:rFonts w:hint="eastAsia"/>
          <w:color w:val="000000" w:themeColor="text1"/>
        </w:rPr>
        <w:t>检出检疫部门公布的一类传染病、寄生虫病的其阻性动物及与其同群的其他动物全群扑杀，并销毁尸体；</w:t>
      </w:r>
    </w:p>
    <w:p>
      <w:pPr>
        <w:ind w:firstLine="480"/>
        <w:rPr>
          <w:color w:val="000000" w:themeColor="text1"/>
        </w:rPr>
      </w:pPr>
      <w:r>
        <w:rPr>
          <w:rFonts w:hint="eastAsia"/>
          <w:color w:val="000000" w:themeColor="text1"/>
        </w:rPr>
        <w:t>检出检疫部门公布的二类传染病、寄生虫病的其阳性动物应扑杀，同群其它动物在动物检疫隔离场和动植物检疫机关指定的地点继续隔离观察；</w:t>
      </w:r>
    </w:p>
    <w:p>
      <w:pPr>
        <w:ind w:firstLine="480"/>
        <w:rPr>
          <w:color w:val="000000" w:themeColor="text1"/>
        </w:rPr>
      </w:pPr>
      <w:r>
        <w:rPr>
          <w:rFonts w:hint="eastAsia"/>
          <w:color w:val="000000" w:themeColor="text1"/>
        </w:rPr>
        <w:t>（</w:t>
      </w:r>
      <w:r>
        <w:rPr>
          <w:color w:val="000000" w:themeColor="text1"/>
        </w:rPr>
        <w:t>11</w:t>
      </w:r>
      <w:r>
        <w:rPr>
          <w:rFonts w:hint="eastAsia"/>
          <w:color w:val="000000" w:themeColor="text1"/>
        </w:rPr>
        <w:t>）冷却排酸：符合鲜销和有条件食用的合格猪胴体盖章后送入冷却间冷却。冷却有以下三方面的作用：</w:t>
      </w:r>
    </w:p>
    <w:p>
      <w:pPr>
        <w:ind w:firstLine="480"/>
        <w:rPr>
          <w:color w:val="000000" w:themeColor="text1"/>
        </w:rPr>
      </w:pPr>
      <w:r>
        <w:rPr>
          <w:rFonts w:hint="eastAsia" w:ascii="宋体" w:hAnsi="宋体" w:cs="宋体"/>
          <w:color w:val="000000" w:themeColor="text1"/>
        </w:rPr>
        <w:t>①</w:t>
      </w:r>
      <w:r>
        <w:rPr>
          <w:rFonts w:hint="eastAsia"/>
          <w:color w:val="000000" w:themeColor="text1"/>
        </w:rPr>
        <w:t>宰后胴体冷却降温的速度越快，越有利于抑制微生物的生长繁殖；</w:t>
      </w:r>
    </w:p>
    <w:p>
      <w:pPr>
        <w:ind w:firstLine="480"/>
        <w:rPr>
          <w:color w:val="000000" w:themeColor="text1"/>
        </w:rPr>
      </w:pPr>
      <w:r>
        <w:rPr>
          <w:rFonts w:hint="eastAsia" w:ascii="宋体" w:hAnsi="宋体" w:cs="宋体"/>
          <w:color w:val="000000" w:themeColor="text1"/>
        </w:rPr>
        <w:t>②</w:t>
      </w:r>
      <w:r>
        <w:rPr>
          <w:rFonts w:hint="eastAsia"/>
          <w:color w:val="000000" w:themeColor="text1"/>
        </w:rPr>
        <w:t>冷却的时间越短，重量损失越小；</w:t>
      </w:r>
    </w:p>
    <w:p>
      <w:pPr>
        <w:ind w:firstLine="480"/>
        <w:rPr>
          <w:color w:val="000000" w:themeColor="text1"/>
        </w:rPr>
      </w:pPr>
      <w:r>
        <w:rPr>
          <w:rFonts w:hint="eastAsia" w:ascii="宋体" w:hAnsi="宋体" w:cs="宋体"/>
          <w:color w:val="000000" w:themeColor="text1"/>
        </w:rPr>
        <w:t>③</w:t>
      </w:r>
      <w:r>
        <w:rPr>
          <w:rFonts w:hint="eastAsia"/>
          <w:color w:val="000000" w:themeColor="text1"/>
        </w:rPr>
        <w:t>在一定的温度和湿度的条件下，让猪肉冷却排酸。</w:t>
      </w:r>
    </w:p>
    <w:p>
      <w:pPr>
        <w:ind w:firstLine="480"/>
        <w:rPr>
          <w:color w:val="000000" w:themeColor="text1"/>
        </w:rPr>
      </w:pPr>
      <w:r>
        <w:rPr>
          <w:rFonts w:hint="eastAsia"/>
          <w:color w:val="000000" w:themeColor="text1"/>
        </w:rPr>
        <w:t>排酸的目的主要是利用猪肉中所含的各种分解酶的作用，使游离氨基酸、游离脂肪酸、次黄嘌呤核苷酸等与风味有关的成分在肌肉中蓄积，从而改进猪肉的质量，使猪肉色泽变好，风味变佳，柔软细嫩，变得更好吃。猪胴体在室温为</w:t>
      </w:r>
      <w:r>
        <w:rPr>
          <w:color w:val="000000" w:themeColor="text1"/>
        </w:rPr>
        <w:t>0~4</w:t>
      </w:r>
      <w:r>
        <w:rPr>
          <w:rFonts w:hint="eastAsia" w:ascii="微软雅黑" w:hAnsi="微软雅黑" w:eastAsia="微软雅黑" w:cs="微软雅黑"/>
          <w:color w:val="000000" w:themeColor="text1"/>
        </w:rPr>
        <w:t>℃</w:t>
      </w:r>
      <w:r>
        <w:rPr>
          <w:rFonts w:hint="eastAsia"/>
          <w:color w:val="000000" w:themeColor="text1"/>
        </w:rPr>
        <w:t>的冷却间冷却，在冷却间停留</w:t>
      </w:r>
      <w:r>
        <w:rPr>
          <w:color w:val="000000" w:themeColor="text1"/>
        </w:rPr>
        <w:t>12h</w:t>
      </w:r>
      <w:r>
        <w:rPr>
          <w:rFonts w:hint="eastAsia"/>
          <w:color w:val="000000" w:themeColor="text1"/>
        </w:rPr>
        <w:t>后即可进入仓库外售。</w:t>
      </w:r>
    </w:p>
    <w:p>
      <w:pPr>
        <w:ind w:firstLine="480"/>
        <w:rPr>
          <w:color w:val="000000" w:themeColor="text1"/>
        </w:rPr>
      </w:pPr>
      <w:r>
        <w:rPr>
          <w:rFonts w:hint="eastAsia"/>
          <w:color w:val="000000" w:themeColor="text1"/>
        </w:rPr>
        <w:t>（二）副产品</w:t>
      </w:r>
    </w:p>
    <w:p>
      <w:pPr>
        <w:ind w:firstLine="420"/>
        <w:rPr>
          <w:color w:val="000000" w:themeColor="text1"/>
          <w:sz w:val="21"/>
        </w:rPr>
      </w:pPr>
    </w:p>
    <w:p>
      <w:pPr>
        <w:ind w:firstLine="480"/>
        <w:rPr>
          <w:color w:val="000000" w:themeColor="text1"/>
        </w:rPr>
      </w:pPr>
    </w:p>
    <w:p>
      <w:pPr>
        <w:pStyle w:val="54"/>
        <w:rPr>
          <w:rFonts w:ascii="宋体" w:hAnsi="宋体" w:cs="Times New Roman"/>
          <w:color w:val="000000" w:themeColor="text1"/>
          <w:szCs w:val="21"/>
        </w:rPr>
      </w:pPr>
      <w:r>
        <w:rPr>
          <w:rFonts w:ascii="宋体" w:hAnsi="宋体" w:cs="Times New Roman"/>
          <w:color w:val="000000" w:themeColor="text1"/>
          <w:szCs w:val="21"/>
        </w:rPr>
        <w:object>
          <v:shape id="_x0000_i1025" o:spt="75" type="#_x0000_t75" style="height:158.25pt;width:434.05pt;" o:ole="t" filled="f" o:preferrelative="t" stroked="f" coordsize="21600,21600">
            <v:path/>
            <v:fill on="f" focussize="0,0"/>
            <v:stroke on="f" joinstyle="miter"/>
            <v:imagedata r:id="rId15" o:title=""/>
            <o:lock v:ext="edit" aspectratio="t"/>
            <w10:wrap type="none"/>
            <w10:anchorlock/>
          </v:shape>
          <o:OLEObject Type="Embed" ProgID="Visio.Drawing.15" ShapeID="_x0000_i1025" DrawAspect="Content" ObjectID="_1468075725" r:id="rId14">
            <o:LockedField>false</o:LockedField>
          </o:OLEObject>
        </w:object>
      </w:r>
    </w:p>
    <w:p>
      <w:pPr>
        <w:pStyle w:val="54"/>
        <w:rPr>
          <w:color w:val="000000" w:themeColor="text1"/>
        </w:rPr>
      </w:pPr>
      <w:r>
        <w:rPr>
          <w:rFonts w:hint="eastAsia"/>
          <w:color w:val="000000" w:themeColor="text1"/>
        </w:rPr>
        <w:t>图2.6.1-2</w:t>
      </w:r>
      <w:r>
        <w:rPr>
          <w:color w:val="000000" w:themeColor="text1"/>
        </w:rPr>
        <w:t xml:space="preserve"> </w:t>
      </w:r>
      <w:r>
        <w:rPr>
          <w:rFonts w:hint="eastAsia"/>
          <w:color w:val="000000" w:themeColor="text1"/>
        </w:rPr>
        <w:t>白内脏处理工艺及产污环节</w:t>
      </w:r>
    </w:p>
    <w:p>
      <w:pPr>
        <w:ind w:firstLine="480"/>
        <w:rPr>
          <w:color w:val="000000" w:themeColor="text1"/>
        </w:rPr>
      </w:pPr>
    </w:p>
    <w:p>
      <w:pPr>
        <w:ind w:firstLine="0" w:firstLineChars="0"/>
        <w:jc w:val="center"/>
        <w:rPr>
          <w:color w:val="000000" w:themeColor="text1"/>
        </w:rPr>
      </w:pPr>
      <w:r>
        <w:rPr>
          <w:rFonts w:cs="Times New Roman"/>
          <w:color w:val="000000" w:themeColor="text1"/>
          <w:sz w:val="21"/>
          <w:szCs w:val="24"/>
        </w:rPr>
        <w:object>
          <v:shape id="_x0000_i1026" o:spt="75" type="#_x0000_t75" style="height:80.85pt;width:321.3pt;" o:ole="t" filled="f" o:preferrelative="t" stroked="f" coordsize="21600,21600">
            <v:path/>
            <v:fill on="f" focussize="0,0"/>
            <v:stroke on="f" joinstyle="miter"/>
            <v:imagedata r:id="rId17" o:title=""/>
            <o:lock v:ext="edit" aspectratio="t"/>
            <w10:wrap type="none"/>
            <w10:anchorlock/>
          </v:shape>
          <o:OLEObject Type="Embed" ProgID="Visio.Drawing.15" ShapeID="_x0000_i1026" DrawAspect="Content" ObjectID="_1468075726" r:id="rId16">
            <o:LockedField>false</o:LockedField>
          </o:OLEObject>
        </w:object>
      </w:r>
    </w:p>
    <w:p>
      <w:pPr>
        <w:ind w:firstLine="480"/>
        <w:rPr>
          <w:color w:val="000000" w:themeColor="text1"/>
        </w:rPr>
      </w:pPr>
    </w:p>
    <w:p>
      <w:pPr>
        <w:ind w:firstLine="0" w:firstLineChars="0"/>
        <w:jc w:val="center"/>
        <w:rPr>
          <w:color w:val="000000" w:themeColor="text1"/>
        </w:rPr>
      </w:pPr>
      <w:r>
        <w:rPr>
          <w:rFonts w:cs="Times New Roman"/>
          <w:color w:val="000000" w:themeColor="text1"/>
          <w:sz w:val="21"/>
          <w:szCs w:val="24"/>
        </w:rPr>
        <w:object>
          <v:shape id="_x0000_i1027" o:spt="75" type="#_x0000_t75" style="height:27.85pt;width:319.25pt;" o:ole="t" filled="f" o:preferrelative="t" stroked="f" coordsize="21600,21600">
            <v:path/>
            <v:fill on="f" focussize="0,0"/>
            <v:stroke on="f" joinstyle="miter"/>
            <v:imagedata r:id="rId19" o:title=""/>
            <o:lock v:ext="edit" aspectratio="t"/>
            <w10:wrap type="none"/>
            <w10:anchorlock/>
          </v:shape>
          <o:OLEObject Type="Embed" ProgID="Visio.Drawing.15" ShapeID="_x0000_i1027" DrawAspect="Content" ObjectID="_1468075727" r:id="rId18">
            <o:LockedField>false</o:LockedField>
          </o:OLEObject>
        </w:object>
      </w:r>
    </w:p>
    <w:p>
      <w:pPr>
        <w:pStyle w:val="54"/>
        <w:rPr>
          <w:color w:val="000000" w:themeColor="text1"/>
        </w:rPr>
      </w:pPr>
    </w:p>
    <w:p>
      <w:pPr>
        <w:pStyle w:val="54"/>
        <w:rPr>
          <w:color w:val="000000" w:themeColor="text1"/>
        </w:rPr>
      </w:pPr>
      <w:r>
        <w:rPr>
          <w:rFonts w:hint="eastAsia"/>
          <w:color w:val="000000" w:themeColor="text1"/>
        </w:rPr>
        <w:t>图2.6.1-3</w:t>
      </w:r>
      <w:r>
        <w:rPr>
          <w:color w:val="000000" w:themeColor="text1"/>
        </w:rPr>
        <w:t xml:space="preserve">  </w:t>
      </w:r>
      <w:r>
        <w:rPr>
          <w:rFonts w:hint="eastAsia"/>
          <w:color w:val="000000" w:themeColor="text1"/>
        </w:rPr>
        <w:t>红内脏处理工艺及产污环节</w:t>
      </w:r>
    </w:p>
    <w:p>
      <w:pPr>
        <w:ind w:firstLine="480"/>
        <w:rPr>
          <w:color w:val="000000" w:themeColor="text1"/>
        </w:rPr>
      </w:pPr>
      <w:r>
        <w:rPr>
          <w:rFonts w:hint="eastAsia"/>
          <w:color w:val="000000" w:themeColor="text1"/>
        </w:rPr>
        <w:t>本项目生猪屠宰过程中有副产品产生，生产过程中摘取的猪头、猪蹄、猪尾经收集后直接出售，不再整理；摘除的心、肝、肺等红色内脏经简单清洗后出售；胃肠等白色内脏先进行胃分离，去除胃内容物、简单清洗后出售；再取小肠，大肠，分别去除表面肠内容物、简单清洗后外售。肠内容物由压缩空气通过风送管道输送，避免与外环境接触，其一次收集率可达</w:t>
      </w:r>
      <w:r>
        <w:rPr>
          <w:color w:val="000000" w:themeColor="text1"/>
        </w:rPr>
        <w:t xml:space="preserve"> 95%</w:t>
      </w:r>
      <w:r>
        <w:rPr>
          <w:rFonts w:hint="eastAsia"/>
          <w:color w:val="000000" w:themeColor="text1"/>
        </w:rPr>
        <w:t>，能够达到《肉类加工工业水污染物排放标准》（</w:t>
      </w:r>
      <w:r>
        <w:rPr>
          <w:color w:val="000000" w:themeColor="text1"/>
        </w:rPr>
        <w:t>GB13457-92</w:t>
      </w:r>
      <w:r>
        <w:rPr>
          <w:rFonts w:hint="eastAsia"/>
          <w:color w:val="000000" w:themeColor="text1"/>
        </w:rPr>
        <w:t>）中肠内容物回收率大于</w:t>
      </w:r>
      <w:r>
        <w:rPr>
          <w:color w:val="000000" w:themeColor="text1"/>
        </w:rPr>
        <w:t xml:space="preserve"> 60%</w:t>
      </w:r>
      <w:r>
        <w:rPr>
          <w:rFonts w:hint="eastAsia"/>
          <w:color w:val="000000" w:themeColor="text1"/>
        </w:rPr>
        <w:t>的工艺指标。经检测不合格的猪血和副产品，按有关规定进行无害化处理，被污染的收集储存设备和相关工具等应进行彻底清洗消毒。</w:t>
      </w:r>
    </w:p>
    <w:p>
      <w:pPr>
        <w:ind w:firstLine="482"/>
        <w:rPr>
          <w:b/>
          <w:color w:val="000000" w:themeColor="text1"/>
        </w:rPr>
      </w:pPr>
      <w:r>
        <w:rPr>
          <w:rFonts w:hint="eastAsia"/>
          <w:b/>
          <w:color w:val="000000" w:themeColor="text1"/>
        </w:rPr>
        <w:t>2、宰鸡场生产工艺流程简述</w:t>
      </w:r>
    </w:p>
    <w:p>
      <w:pPr>
        <w:pStyle w:val="54"/>
        <w:rPr>
          <w:color w:val="000000" w:themeColor="text1"/>
        </w:rPr>
      </w:pPr>
      <w:r>
        <w:rPr>
          <w:color w:val="000000" w:themeColor="text1"/>
        </w:rPr>
        <w:pict>
          <v:group id="画布 1201" o:spid="_x0000_s1248" o:spt="203" style="height:439.05pt;width:356.2pt;" coordorigin="2094,3063" coordsize="7124,8781" editas="canvas">
            <o:lock v:ext="edit"/>
            <v:shape id="画布 1201" o:spid="_x0000_s1249" o:spt="75" type="#_x0000_t75" style="position:absolute;left:2094;top:3063;height:8781;width:7124;" filled="f" o:preferrelative="f" stroked="f" coordsize="21600,21600">
              <v:path/>
              <v:fill on="f" focussize="0,0"/>
              <v:stroke on="f" joinstyle="miter"/>
              <v:imagedata o:title=""/>
              <o:lock v:ext="edit" rotation="t" aspectratio="t"/>
            </v:shape>
            <v:shape id="文本框 1202" o:spid="_x0000_s1250" o:spt="202" type="#_x0000_t202" style="position:absolute;left:3730;top:4197;height:480;width:1410;" coordsize="21600,21600">
              <v:path/>
              <v:fill focussize="0,0"/>
              <v:stroke joinstyle="miter"/>
              <v:imagedata o:title=""/>
              <o:lock v:ext="edit"/>
              <v:textbox>
                <w:txbxContent>
                  <w:p>
                    <w:pPr>
                      <w:spacing w:line="240" w:lineRule="auto"/>
                      <w:ind w:firstLine="0" w:firstLineChars="0"/>
                      <w:jc w:val="center"/>
                      <w:rPr>
                        <w:sz w:val="21"/>
                        <w:szCs w:val="21"/>
                      </w:rPr>
                    </w:pPr>
                    <w:r>
                      <w:rPr>
                        <w:rFonts w:hint="eastAsia"/>
                        <w:sz w:val="21"/>
                        <w:szCs w:val="21"/>
                      </w:rPr>
                      <w:t>待宰圈暂养</w:t>
                    </w:r>
                  </w:p>
                </w:txbxContent>
              </v:textbox>
            </v:shape>
            <v:line id="直线 1203" o:spid="_x0000_s1251" o:spt="20" style="position:absolute;left:4420;top:4685;height:406;width:0;" coordsize="21600,21600">
              <v:path arrowok="t"/>
              <v:fill focussize="0,0"/>
              <v:stroke endarrow="block"/>
              <v:imagedata o:title=""/>
              <o:lock v:ext="edit"/>
            </v:line>
            <v:shape id="文本框 1204" o:spid="_x0000_s1252" o:spt="202" type="#_x0000_t202" style="position:absolute;left:3730;top:5140;height:481;width:1410;" coordsize="21600,21600">
              <v:path/>
              <v:fill focussize="0,0"/>
              <v:stroke joinstyle="miter"/>
              <v:imagedata o:title=""/>
              <o:lock v:ext="edit"/>
              <v:textbox>
                <w:txbxContent>
                  <w:p>
                    <w:pPr>
                      <w:spacing w:line="240" w:lineRule="auto"/>
                      <w:ind w:firstLine="0" w:firstLineChars="0"/>
                      <w:jc w:val="center"/>
                      <w:rPr>
                        <w:sz w:val="21"/>
                        <w:szCs w:val="21"/>
                      </w:rPr>
                    </w:pPr>
                    <w:r>
                      <w:rPr>
                        <w:rFonts w:hint="eastAsia"/>
                        <w:sz w:val="21"/>
                        <w:szCs w:val="21"/>
                      </w:rPr>
                      <w:t>挂鸡</w:t>
                    </w:r>
                  </w:p>
                </w:txbxContent>
              </v:textbox>
            </v:shape>
            <v:line id="直线 1205" o:spid="_x0000_s1253" o:spt="20" style="position:absolute;left:4420;top:5628;height:406;width:1;" coordsize="21600,21600">
              <v:path arrowok="t"/>
              <v:fill focussize="0,0"/>
              <v:stroke endarrow="block"/>
              <v:imagedata o:title=""/>
              <o:lock v:ext="edit"/>
            </v:line>
            <v:shape id="文本框 1206" o:spid="_x0000_s1254" o:spt="202" type="#_x0000_t202" style="position:absolute;left:3537;top:6086;height:481;width:1950;" coordsize="21600,21600">
              <v:path/>
              <v:fill focussize="0,0"/>
              <v:stroke joinstyle="miter"/>
              <v:imagedata o:title=""/>
              <o:lock v:ext="edit"/>
              <v:textbox>
                <w:txbxContent>
                  <w:p>
                    <w:pPr>
                      <w:spacing w:line="240" w:lineRule="auto"/>
                      <w:ind w:firstLine="0" w:firstLineChars="0"/>
                      <w:jc w:val="center"/>
                      <w:rPr>
                        <w:sz w:val="21"/>
                        <w:szCs w:val="21"/>
                      </w:rPr>
                    </w:pPr>
                    <w:r>
                      <w:rPr>
                        <w:rFonts w:hint="eastAsia" w:hAnsi="宋体"/>
                        <w:sz w:val="21"/>
                        <w:szCs w:val="21"/>
                      </w:rPr>
                      <w:t>电晕放血宰杀</w:t>
                    </w:r>
                  </w:p>
                </w:txbxContent>
              </v:textbox>
            </v:shape>
            <v:line id="直线 1207" o:spid="_x0000_s1255" o:spt="20" style="position:absolute;left:4406;top:7743;height:406;width:1;" coordsize="21600,21600">
              <v:path arrowok="t"/>
              <v:fill focussize="0,0"/>
              <v:stroke endarrow="block"/>
              <v:imagedata o:title=""/>
              <o:lock v:ext="edit"/>
            </v:line>
            <v:line id="直线 1208" o:spid="_x0000_s1256" o:spt="20" style="position:absolute;left:5511;top:6335;height:1;width:854;" coordsize="21600,21600">
              <v:path arrowok="t"/>
              <v:fill focussize="0,0"/>
              <v:stroke dashstyle="dash" endarrow="block"/>
              <v:imagedata o:title=""/>
              <o:lock v:ext="edit"/>
            </v:line>
            <v:shape id="文本框 1210" o:spid="_x0000_s1257" o:spt="202" type="#_x0000_t202" style="position:absolute;left:3537;top:8149;height:481;width:1790;" coordsize="21600,21600">
              <v:path/>
              <v:fill focussize="0,0"/>
              <v:stroke joinstyle="miter"/>
              <v:imagedata o:title=""/>
              <o:lock v:ext="edit"/>
              <v:textbox>
                <w:txbxContent>
                  <w:p>
                    <w:pPr>
                      <w:spacing w:line="240" w:lineRule="auto"/>
                      <w:ind w:firstLine="0" w:firstLineChars="0"/>
                      <w:jc w:val="center"/>
                      <w:rPr>
                        <w:sz w:val="21"/>
                        <w:szCs w:val="21"/>
                      </w:rPr>
                    </w:pPr>
                    <w:r>
                      <w:rPr>
                        <w:rFonts w:hint="eastAsia" w:hAnsi="宋体"/>
                        <w:sz w:val="21"/>
                        <w:szCs w:val="21"/>
                      </w:rPr>
                      <w:t>胴体清洗</w:t>
                    </w:r>
                  </w:p>
                </w:txbxContent>
              </v:textbox>
            </v:shape>
            <v:line id="直线 1213" o:spid="_x0000_s1258" o:spt="20" style="position:absolute;left:4407;top:8630;flip:x;height:570;width:5;" coordsize="21600,21600">
              <v:path arrowok="t"/>
              <v:fill focussize="0,0"/>
              <v:stroke endarrow="block"/>
              <v:imagedata o:title=""/>
              <o:lock v:ext="edit"/>
            </v:line>
            <v:shape id="文本框 1216" o:spid="_x0000_s1259" o:spt="202" type="#_x0000_t202" style="position:absolute;left:3270;top:9184;height:481;width:2513;" coordsize="21600,21600">
              <v:path/>
              <v:fill focussize="0,0"/>
              <v:stroke joinstyle="miter"/>
              <v:imagedata o:title=""/>
              <o:lock v:ext="edit"/>
              <v:textbox>
                <w:txbxContent>
                  <w:p>
                    <w:pPr>
                      <w:spacing w:line="240" w:lineRule="auto"/>
                      <w:ind w:firstLine="0" w:firstLineChars="0"/>
                      <w:rPr>
                        <w:sz w:val="21"/>
                        <w:szCs w:val="21"/>
                      </w:rPr>
                    </w:pPr>
                    <w:r>
                      <w:rPr>
                        <w:rFonts w:hint="eastAsia"/>
                        <w:sz w:val="21"/>
                        <w:szCs w:val="21"/>
                      </w:rPr>
                      <w:t>除内脏及下货处理工序</w:t>
                    </w:r>
                  </w:p>
                  <w:p>
                    <w:pPr>
                      <w:ind w:firstLine="480"/>
                      <w:rPr>
                        <w:szCs w:val="21"/>
                      </w:rPr>
                    </w:pPr>
                    <w:r>
                      <w:rPr>
                        <w:rFonts w:hint="eastAsia"/>
                      </w:rPr>
                      <w:t>经脱毛、冲洗处理的禽类胴体进入掏内脏间进行自动开膛、剖腹取出内脏，并摘除不可食用的下脚料，包括胆、淋巴、切肛废物、肠胃内容物等。此过程主要产生的污染物为：不可食用内脏。</w:t>
                    </w:r>
                  </w:p>
                </w:txbxContent>
              </v:textbox>
            </v:shape>
            <v:line id="直线 1217" o:spid="_x0000_s1260" o:spt="20" style="position:absolute;left:4429;top:9665;height:523;width:1;" coordsize="21600,21600">
              <v:path arrowok="t"/>
              <v:fill focussize="0,0"/>
              <v:stroke endarrow="block"/>
              <v:imagedata o:title=""/>
              <o:lock v:ext="edit"/>
            </v:line>
            <v:shape id="文本框 1218" o:spid="_x0000_s1261" o:spt="202" type="#_x0000_t202" style="position:absolute;left:3850;top:10188;height:481;width:1290;" coordsize="21600,21600">
              <v:path/>
              <v:fill focussize="0,0"/>
              <v:stroke joinstyle="miter"/>
              <v:imagedata o:title=""/>
              <o:lock v:ext="edit"/>
              <v:textbox>
                <w:txbxContent>
                  <w:p>
                    <w:pPr>
                      <w:spacing w:line="240" w:lineRule="auto"/>
                      <w:ind w:firstLine="0" w:firstLineChars="0"/>
                      <w:rPr>
                        <w:sz w:val="21"/>
                        <w:szCs w:val="21"/>
                      </w:rPr>
                    </w:pPr>
                    <w:r>
                      <w:rPr>
                        <w:rFonts w:hint="eastAsia"/>
                        <w:sz w:val="21"/>
                        <w:szCs w:val="21"/>
                      </w:rPr>
                      <w:t>宰后复检</w:t>
                    </w:r>
                  </w:p>
                </w:txbxContent>
              </v:textbox>
            </v:shape>
            <v:line id="直线 1223" o:spid="_x0000_s1265" o:spt="20" style="position:absolute;left:5168;top:4327;height:1;width:615;" coordsize="21600,21600">
              <v:path arrowok="t"/>
              <v:fill focussize="0,0"/>
              <v:stroke dashstyle="dash" endarrow="block"/>
              <v:imagedata o:title=""/>
              <o:lock v:ext="edit"/>
            </v:line>
            <v:shape id="文本框 1224" o:spid="_x0000_s1266" o:spt="202" type="#_x0000_t202" style="position:absolute;left:5640;top:4080;height:417;width:2000;" filled="f" stroked="f" coordsize="21600,21600">
              <v:path/>
              <v:fill on="f" focussize="0,0"/>
              <v:stroke on="f" joinstyle="miter"/>
              <v:imagedata o:title=""/>
              <o:lock v:ext="edit"/>
              <v:textbox>
                <w:txbxContent>
                  <w:p>
                    <w:pPr>
                      <w:spacing w:line="240" w:lineRule="auto"/>
                      <w:ind w:firstLine="0" w:firstLineChars="0"/>
                      <w:jc w:val="center"/>
                      <w:rPr>
                        <w:sz w:val="21"/>
                        <w:szCs w:val="21"/>
                      </w:rPr>
                    </w:pPr>
                    <w:r>
                      <w:rPr>
                        <w:sz w:val="21"/>
                        <w:szCs w:val="21"/>
                      </w:rPr>
                      <w:t>G1</w:t>
                    </w:r>
                    <w:r>
                      <w:rPr>
                        <w:rFonts w:hint="eastAsia"/>
                        <w:sz w:val="21"/>
                        <w:szCs w:val="21"/>
                      </w:rPr>
                      <w:t>、</w:t>
                    </w:r>
                    <w:r>
                      <w:rPr>
                        <w:sz w:val="21"/>
                        <w:szCs w:val="21"/>
                      </w:rPr>
                      <w:t>S</w:t>
                    </w:r>
                    <w:r>
                      <w:rPr>
                        <w:rFonts w:hint="eastAsia"/>
                        <w:sz w:val="21"/>
                        <w:szCs w:val="21"/>
                      </w:rPr>
                      <w:t>2、</w:t>
                    </w:r>
                    <w:r>
                      <w:rPr>
                        <w:sz w:val="21"/>
                        <w:szCs w:val="21"/>
                      </w:rPr>
                      <w:t>N</w:t>
                    </w:r>
                    <w:r>
                      <w:rPr>
                        <w:rFonts w:hint="eastAsia"/>
                        <w:sz w:val="21"/>
                        <w:szCs w:val="21"/>
                      </w:rPr>
                      <w:t>2、W1</w:t>
                    </w:r>
                  </w:p>
                </w:txbxContent>
              </v:textbox>
            </v:shape>
            <v:line id="直线 1225" o:spid="_x0000_s1267" o:spt="20" style="position:absolute;left:5140;top:5374;height:2;width:614;" coordsize="21600,21600">
              <v:path arrowok="t"/>
              <v:fill focussize="0,0"/>
              <v:stroke dashstyle="dash" endarrow="block"/>
              <v:imagedata o:title=""/>
              <o:lock v:ext="edit"/>
            </v:line>
            <v:shape id="文本框 1226" o:spid="_x0000_s1268" o:spt="202" type="#_x0000_t202" style="position:absolute;left:5783;top:3544;height:480;width:1073;" filled="f" stroked="f" coordsize="21600,21600">
              <v:path/>
              <v:fill on="f" focussize="0,0"/>
              <v:stroke on="f" joinstyle="miter"/>
              <v:imagedata o:title=""/>
              <o:lock v:ext="edit"/>
              <v:textbox>
                <w:txbxContent>
                  <w:p>
                    <w:pPr>
                      <w:spacing w:line="240" w:lineRule="auto"/>
                      <w:ind w:firstLine="0" w:firstLineChars="0"/>
                      <w:jc w:val="center"/>
                      <w:rPr>
                        <w:sz w:val="21"/>
                        <w:szCs w:val="21"/>
                      </w:rPr>
                    </w:pPr>
                    <w:r>
                      <w:rPr>
                        <w:sz w:val="21"/>
                        <w:szCs w:val="21"/>
                      </w:rPr>
                      <w:t>N</w:t>
                    </w:r>
                    <w:r>
                      <w:rPr>
                        <w:rFonts w:hint="eastAsia"/>
                        <w:sz w:val="21"/>
                        <w:szCs w:val="21"/>
                      </w:rPr>
                      <w:t>1、S1</w:t>
                    </w:r>
                  </w:p>
                  <w:p>
                    <w:pPr>
                      <w:ind w:firstLine="480"/>
                      <w:rPr>
                        <w:szCs w:val="21"/>
                      </w:rPr>
                    </w:pPr>
                  </w:p>
                </w:txbxContent>
              </v:textbox>
            </v:shape>
            <v:shape id="文本框 1227" o:spid="_x0000_s1269" o:spt="202" type="#_x0000_t202" style="position:absolute;left:6155;top:6132;height:435;width:2085;" filled="f" stroked="f" coordsize="21600,21600">
              <v:path/>
              <v:fill on="f" focussize="0,0"/>
              <v:stroke on="f" joinstyle="miter"/>
              <v:imagedata o:title=""/>
              <o:lock v:ext="edit"/>
              <v:textbox>
                <w:txbxContent>
                  <w:p>
                    <w:pPr>
                      <w:spacing w:line="240" w:lineRule="auto"/>
                      <w:ind w:firstLine="0" w:firstLineChars="0"/>
                      <w:jc w:val="center"/>
                      <w:rPr>
                        <w:sz w:val="21"/>
                        <w:szCs w:val="21"/>
                      </w:rPr>
                    </w:pPr>
                    <w:r>
                      <w:rPr>
                        <w:rFonts w:hint="eastAsia"/>
                        <w:sz w:val="21"/>
                        <w:szCs w:val="21"/>
                      </w:rPr>
                      <w:t>G2、N3、鸡血</w:t>
                    </w:r>
                  </w:p>
                  <w:p>
                    <w:pPr>
                      <w:spacing w:line="240" w:lineRule="auto"/>
                      <w:ind w:firstLine="0" w:firstLineChars="0"/>
                      <w:jc w:val="center"/>
                      <w:rPr>
                        <w:sz w:val="21"/>
                        <w:szCs w:val="21"/>
                      </w:rPr>
                    </w:pPr>
                  </w:p>
                </w:txbxContent>
              </v:textbox>
            </v:shape>
            <v:line id="直线 1231" o:spid="_x0000_s1270" o:spt="20" style="position:absolute;left:5327;top:8347;height:1;width:1318;" coordsize="21600,21600">
              <v:path arrowok="t"/>
              <v:fill focussize="0,0"/>
              <v:stroke dashstyle="dash" endarrow="block"/>
              <v:imagedata o:title=""/>
              <o:lock v:ext="edit"/>
            </v:line>
            <v:line id="直线 1267" o:spid="_x0000_s1279" o:spt="20" style="position:absolute;left:5783;top:9395;height:1;width:582;" coordsize="21600,21600">
              <v:path arrowok="t"/>
              <v:fill focussize="0,0"/>
              <v:stroke dashstyle="dash" endarrow="block"/>
              <v:imagedata o:title=""/>
              <o:lock v:ext="edit"/>
            </v:line>
            <v:line id="直线 1217" o:spid="_x0000_s1280" o:spt="20" style="position:absolute;left:4426;top:10669;height:406;width:1;" coordsize="21600,21600">
              <v:path arrowok="t"/>
              <v:fill focussize="0,0"/>
              <v:stroke endarrow="block"/>
              <v:imagedata o:title=""/>
              <o:lock v:ext="edit"/>
            </v:line>
            <v:line id="直线 1934" o:spid="_x0000_s1281" o:spt="20" style="position:absolute;left:4340;top:3544;height:653;width:1;" coordsize="21600,21600">
              <v:path arrowok="t"/>
              <v:fill focussize="0,0"/>
              <v:stroke endarrow="block"/>
              <v:imagedata o:title=""/>
              <o:lock v:ext="edit"/>
            </v:line>
            <v:shape id="文本框 1272" o:spid="_x0000_s1282" o:spt="202" type="#_x0000_t202" style="position:absolute;left:4065;top:3602;height:478;width:1446;" filled="f" stroked="f" coordsize="21600,21600">
              <v:path/>
              <v:fill on="f" focussize="0,0"/>
              <v:stroke on="f" joinstyle="miter"/>
              <v:imagedata o:title=""/>
              <o:lock v:ext="edit"/>
              <v:textbox>
                <w:txbxContent>
                  <w:p>
                    <w:pPr>
                      <w:spacing w:line="240" w:lineRule="auto"/>
                      <w:ind w:firstLine="0" w:firstLineChars="0"/>
                      <w:jc w:val="center"/>
                      <w:rPr>
                        <w:sz w:val="21"/>
                        <w:szCs w:val="21"/>
                      </w:rPr>
                    </w:pPr>
                    <w:r>
                      <w:rPr>
                        <w:rFonts w:hint="eastAsia"/>
                        <w:sz w:val="21"/>
                        <w:szCs w:val="21"/>
                      </w:rPr>
                      <w:t>入场检疫</w:t>
                    </w:r>
                  </w:p>
                </w:txbxContent>
              </v:textbox>
            </v:shape>
            <v:shape id="文本框 1266" o:spid="_x0000_s1284" o:spt="202" type="#_x0000_t202" style="position:absolute;left:3934;top:11000;height:481;width:1234;" filled="f" stroked="f" coordsize="21600,21600">
              <v:path/>
              <v:fill on="f" focussize="0,0"/>
              <v:stroke on="f" joinstyle="miter"/>
              <v:imagedata o:title=""/>
              <o:lock v:ext="edit"/>
              <v:textbox>
                <w:txbxContent>
                  <w:p>
                    <w:pPr>
                      <w:spacing w:line="240" w:lineRule="auto"/>
                      <w:ind w:firstLine="0" w:firstLineChars="0"/>
                      <w:rPr>
                        <w:sz w:val="21"/>
                        <w:szCs w:val="21"/>
                        <w:vertAlign w:val="subscript"/>
                      </w:rPr>
                    </w:pPr>
                    <w:r>
                      <w:rPr>
                        <w:rFonts w:hint="eastAsia"/>
                        <w:sz w:val="21"/>
                        <w:szCs w:val="21"/>
                      </w:rPr>
                      <w:t>成品待售</w:t>
                    </w:r>
                  </w:p>
                </w:txbxContent>
              </v:textbox>
            </v:shape>
            <v:shape id="文本框 1268" o:spid="_x0000_s1285" o:spt="202" type="#_x0000_t202" style="position:absolute;left:3346;top:8630;height:407;width:994;" filled="f" stroked="f" coordsize="21600,21600">
              <v:path/>
              <v:fill on="f" focussize="0,0"/>
              <v:stroke on="f" joinstyle="miter"/>
              <v:imagedata o:title=""/>
              <o:lock v:ext="edit"/>
              <v:textbox>
                <w:txbxContent>
                  <w:p>
                    <w:pPr>
                      <w:spacing w:line="240" w:lineRule="auto"/>
                      <w:ind w:firstLine="0" w:firstLineChars="0"/>
                      <w:rPr>
                        <w:sz w:val="21"/>
                        <w:szCs w:val="21"/>
                      </w:rPr>
                    </w:pPr>
                    <w:r>
                      <w:rPr>
                        <w:rFonts w:hint="eastAsia" w:hAnsi="宋体"/>
                        <w:sz w:val="21"/>
                        <w:szCs w:val="21"/>
                      </w:rPr>
                      <w:t>白条鸡</w:t>
                    </w:r>
                  </w:p>
                </w:txbxContent>
              </v:textbox>
            </v:shape>
            <v:shape id="文本框 1227" o:spid="_x0000_s1288" o:spt="202" type="#_x0000_t202" style="position:absolute;left:6467;top:8149;height:438;width:1854;" filled="f" stroked="f" coordsize="21600,21600">
              <v:path/>
              <v:fill on="f" focussize="0,0"/>
              <v:stroke on="f" joinstyle="miter"/>
              <v:imagedata o:title=""/>
              <o:lock v:ext="edit"/>
              <v:textbox>
                <w:txbxContent>
                  <w:p>
                    <w:pPr>
                      <w:spacing w:line="240" w:lineRule="auto"/>
                      <w:ind w:firstLine="0" w:firstLineChars="0"/>
                      <w:jc w:val="center"/>
                      <w:rPr>
                        <w:sz w:val="21"/>
                        <w:szCs w:val="21"/>
                      </w:rPr>
                    </w:pPr>
                    <w:r>
                      <w:rPr>
                        <w:sz w:val="21"/>
                        <w:szCs w:val="21"/>
                      </w:rPr>
                      <w:t>G</w:t>
                    </w:r>
                    <w:r>
                      <w:rPr>
                        <w:rFonts w:hint="eastAsia"/>
                        <w:sz w:val="21"/>
                        <w:szCs w:val="21"/>
                      </w:rPr>
                      <w:t>2、</w:t>
                    </w:r>
                    <w:r>
                      <w:rPr>
                        <w:sz w:val="21"/>
                        <w:szCs w:val="21"/>
                      </w:rPr>
                      <w:t>N</w:t>
                    </w:r>
                    <w:r>
                      <w:rPr>
                        <w:rFonts w:hint="eastAsia"/>
                        <w:sz w:val="21"/>
                        <w:szCs w:val="21"/>
                      </w:rPr>
                      <w:t>3、</w:t>
                    </w:r>
                    <w:r>
                      <w:rPr>
                        <w:sz w:val="21"/>
                        <w:szCs w:val="21"/>
                      </w:rPr>
                      <w:t>W</w:t>
                    </w:r>
                    <w:r>
                      <w:rPr>
                        <w:rFonts w:hint="eastAsia"/>
                        <w:sz w:val="21"/>
                        <w:szCs w:val="21"/>
                      </w:rPr>
                      <w:t>2</w:t>
                    </w:r>
                  </w:p>
                </w:txbxContent>
              </v:textbox>
            </v:shape>
            <v:shape id="文本框 1227" o:spid="_x0000_s1291" o:spt="202" type="#_x0000_t202" style="position:absolute;left:6155;top:9184;height:435;width:2693;" filled="f" stroked="f" coordsize="21600,21600">
              <v:path/>
              <v:fill on="f" focussize="0,0"/>
              <v:stroke on="f" joinstyle="miter"/>
              <v:imagedata o:title=""/>
              <o:lock v:ext="edit"/>
              <v:textbox>
                <w:txbxContent>
                  <w:p>
                    <w:pPr>
                      <w:spacing w:line="240" w:lineRule="auto"/>
                      <w:ind w:firstLine="0" w:firstLineChars="0"/>
                      <w:jc w:val="center"/>
                      <w:rPr>
                        <w:sz w:val="21"/>
                        <w:szCs w:val="21"/>
                      </w:rPr>
                    </w:pPr>
                    <w:r>
                      <w:rPr>
                        <w:sz w:val="21"/>
                        <w:szCs w:val="21"/>
                      </w:rPr>
                      <w:t>G</w:t>
                    </w:r>
                    <w:r>
                      <w:rPr>
                        <w:rFonts w:hint="eastAsia"/>
                        <w:sz w:val="21"/>
                        <w:szCs w:val="21"/>
                      </w:rPr>
                      <w:t>2、</w:t>
                    </w:r>
                    <w:r>
                      <w:rPr>
                        <w:sz w:val="21"/>
                        <w:szCs w:val="21"/>
                      </w:rPr>
                      <w:t>N</w:t>
                    </w:r>
                    <w:r>
                      <w:rPr>
                        <w:rFonts w:hint="eastAsia"/>
                        <w:sz w:val="21"/>
                        <w:szCs w:val="21"/>
                      </w:rPr>
                      <w:t>3、</w:t>
                    </w:r>
                    <w:r>
                      <w:rPr>
                        <w:sz w:val="21"/>
                        <w:szCs w:val="21"/>
                      </w:rPr>
                      <w:t>S</w:t>
                    </w:r>
                    <w:r>
                      <w:rPr>
                        <w:rFonts w:hint="eastAsia"/>
                        <w:sz w:val="21"/>
                        <w:szCs w:val="21"/>
                      </w:rPr>
                      <w:t>2、S3、</w:t>
                    </w:r>
                    <w:r>
                      <w:rPr>
                        <w:sz w:val="21"/>
                        <w:szCs w:val="21"/>
                      </w:rPr>
                      <w:t>W</w:t>
                    </w:r>
                    <w:r>
                      <w:rPr>
                        <w:rFonts w:hint="eastAsia"/>
                        <w:sz w:val="21"/>
                        <w:szCs w:val="21"/>
                      </w:rPr>
                      <w:t>2</w:t>
                    </w:r>
                  </w:p>
                </w:txbxContent>
              </v:textbox>
            </v:shape>
            <v:shape id="文本框 1266" o:spid="_x0000_s1294" o:spt="202" type="#_x0000_t202" style="position:absolute;left:2889;top:11319;height:525;width:6169;" filled="f" stroked="f" coordsize="21600,21600">
              <v:path/>
              <v:fill on="f" focussize="0,0"/>
              <v:stroke on="f" joinstyle="miter"/>
              <v:imagedata o:title=""/>
              <o:lock v:ext="edit"/>
              <v:textbox>
                <w:txbxContent>
                  <w:p>
                    <w:pPr>
                      <w:ind w:firstLine="0" w:firstLineChars="0"/>
                      <w:rPr>
                        <w:sz w:val="21"/>
                        <w:szCs w:val="21"/>
                      </w:rPr>
                    </w:pPr>
                    <w:r>
                      <w:rPr>
                        <w:b/>
                        <w:sz w:val="21"/>
                        <w:szCs w:val="21"/>
                      </w:rPr>
                      <w:t>注</w:t>
                    </w:r>
                    <w:r>
                      <w:rPr>
                        <w:rFonts w:hint="eastAsia"/>
                        <w:b/>
                        <w:sz w:val="21"/>
                        <w:szCs w:val="21"/>
                      </w:rPr>
                      <w:t>：</w:t>
                    </w:r>
                    <w:r>
                      <w:rPr>
                        <w:b/>
                        <w:sz w:val="21"/>
                        <w:szCs w:val="21"/>
                      </w:rPr>
                      <w:t>W</w:t>
                    </w:r>
                    <w:r>
                      <w:rPr>
                        <w:rFonts w:hint="eastAsia"/>
                        <w:b/>
                        <w:sz w:val="21"/>
                        <w:szCs w:val="21"/>
                      </w:rPr>
                      <w:t>、</w:t>
                    </w:r>
                    <w:r>
                      <w:rPr>
                        <w:b/>
                        <w:sz w:val="21"/>
                        <w:szCs w:val="21"/>
                      </w:rPr>
                      <w:t>N</w:t>
                    </w:r>
                    <w:r>
                      <w:rPr>
                        <w:rFonts w:hint="eastAsia"/>
                        <w:b/>
                        <w:sz w:val="21"/>
                        <w:szCs w:val="21"/>
                      </w:rPr>
                      <w:t>、</w:t>
                    </w:r>
                    <w:r>
                      <w:rPr>
                        <w:b/>
                        <w:sz w:val="21"/>
                        <w:szCs w:val="21"/>
                      </w:rPr>
                      <w:t>G</w:t>
                    </w:r>
                    <w:r>
                      <w:rPr>
                        <w:rFonts w:hint="eastAsia"/>
                        <w:b/>
                        <w:sz w:val="21"/>
                        <w:szCs w:val="21"/>
                      </w:rPr>
                      <w:t>、</w:t>
                    </w:r>
                    <w:r>
                      <w:rPr>
                        <w:b/>
                        <w:sz w:val="21"/>
                        <w:szCs w:val="21"/>
                      </w:rPr>
                      <w:t>S</w:t>
                    </w:r>
                    <w:r>
                      <w:rPr>
                        <w:rFonts w:hint="eastAsia"/>
                        <w:b/>
                        <w:sz w:val="21"/>
                        <w:szCs w:val="21"/>
                      </w:rPr>
                      <w:t>分别表示废水、噪声、废气、固体废弃物</w:t>
                    </w:r>
                  </w:p>
                </w:txbxContent>
              </v:textbox>
            </v:shape>
            <v:line id="直线 1267" o:spid="_x0000_s1299" o:spt="20" style="position:absolute;left:5140;top:10415;height:1;width:844;" coordsize="21600,21600">
              <v:path arrowok="t"/>
              <v:fill focussize="0,0"/>
              <v:stroke dashstyle="dash" endarrow="block"/>
              <v:imagedata o:title=""/>
              <o:lock v:ext="edit"/>
            </v:line>
            <v:shape id="文本框 1227" o:spid="_x0000_s1300" o:spt="202" type="#_x0000_t202" style="position:absolute;left:5901;top:10188;height:435;width:671;" filled="f" stroked="f" coordsize="21600,21600">
              <v:path/>
              <v:fill on="f" focussize="0,0"/>
              <v:stroke on="f" joinstyle="miter"/>
              <v:imagedata o:title=""/>
              <o:lock v:ext="edit"/>
              <v:textbox>
                <w:txbxContent>
                  <w:p>
                    <w:pPr>
                      <w:spacing w:line="240" w:lineRule="auto"/>
                      <w:ind w:firstLine="0" w:firstLineChars="0"/>
                      <w:jc w:val="center"/>
                      <w:rPr>
                        <w:sz w:val="21"/>
                        <w:szCs w:val="21"/>
                      </w:rPr>
                    </w:pPr>
                    <w:r>
                      <w:rPr>
                        <w:sz w:val="21"/>
                        <w:szCs w:val="21"/>
                      </w:rPr>
                      <w:t>S</w:t>
                    </w:r>
                    <w:r>
                      <w:rPr>
                        <w:rFonts w:hint="eastAsia"/>
                        <w:sz w:val="21"/>
                        <w:szCs w:val="21"/>
                      </w:rPr>
                      <w:t>1</w:t>
                    </w:r>
                  </w:p>
                </w:txbxContent>
              </v:textbox>
            </v:shape>
            <v:shape id="文本框 1204" o:spid="_x0000_s1301" o:spt="202" type="#_x0000_t202" style="position:absolute;left:3647;top:3063;height:481;width:1410;" stroked="f" coordsize="21600,21600">
              <v:path/>
              <v:fill focussize="0,0"/>
              <v:stroke on="f" joinstyle="miter"/>
              <v:imagedata o:title=""/>
              <o:lock v:ext="edit"/>
              <v:textbox>
                <w:txbxContent>
                  <w:p>
                    <w:pPr>
                      <w:spacing w:line="240" w:lineRule="auto"/>
                      <w:ind w:firstLine="0" w:firstLineChars="0"/>
                      <w:jc w:val="center"/>
                      <w:rPr>
                        <w:sz w:val="21"/>
                        <w:szCs w:val="21"/>
                      </w:rPr>
                    </w:pPr>
                    <w:r>
                      <w:rPr>
                        <w:rFonts w:hint="eastAsia"/>
                        <w:sz w:val="21"/>
                        <w:szCs w:val="21"/>
                      </w:rPr>
                      <w:t>活鸡</w:t>
                    </w:r>
                  </w:p>
                </w:txbxContent>
              </v:textbox>
            </v:shape>
            <v:shape id="文本框 1204" o:spid="_x0000_s1302" o:spt="202" type="#_x0000_t202" style="position:absolute;left:3730;top:7262;height:481;width:1327;" coordsize="21600,21600">
              <v:path/>
              <v:fill focussize="0,0"/>
              <v:stroke joinstyle="miter"/>
              <v:imagedata o:title=""/>
              <o:lock v:ext="edit"/>
              <v:textbox>
                <w:txbxContent>
                  <w:p>
                    <w:pPr>
                      <w:spacing w:line="240" w:lineRule="auto"/>
                      <w:ind w:firstLine="0" w:firstLineChars="0"/>
                      <w:jc w:val="center"/>
                      <w:rPr>
                        <w:szCs w:val="21"/>
                      </w:rPr>
                    </w:pPr>
                    <w:r>
                      <w:rPr>
                        <w:rFonts w:hint="eastAsia" w:hAnsi="宋体"/>
                        <w:sz w:val="21"/>
                        <w:szCs w:val="21"/>
                      </w:rPr>
                      <w:t>浸烫脱毛</w:t>
                    </w:r>
                  </w:p>
                </w:txbxContent>
              </v:textbox>
            </v:shape>
            <v:line id="直线 1205" o:spid="_x0000_s1303" o:spt="20" style="position:absolute;left:4405;top:6567;height:695;width:1;" coordsize="21600,21600">
              <v:path arrowok="t"/>
              <v:fill focussize="0,0"/>
              <v:stroke endarrow="block"/>
              <v:imagedata o:title=""/>
              <o:lock v:ext="edit"/>
            </v:line>
            <v:line id="直线 1208" o:spid="_x0000_s1304" o:spt="20" style="position:absolute;left:5057;top:7457;height:1;width:854;" coordsize="21600,21600">
              <v:path arrowok="t"/>
              <v:fill focussize="0,0"/>
              <v:stroke dashstyle="dash" endarrow="block"/>
              <v:imagedata o:title=""/>
              <o:lock v:ext="edit"/>
            </v:line>
            <v:shape id="文本框 1227" o:spid="_x0000_s1305" o:spt="202" type="#_x0000_t202" style="position:absolute;left:5901;top:7262;height:447;width:2093;" filled="f" stroked="f" coordsize="21600,21600">
              <v:path/>
              <v:fill on="f" focussize="0,0"/>
              <v:stroke on="f" joinstyle="miter"/>
              <v:imagedata o:title=""/>
              <o:lock v:ext="edit"/>
              <v:textbox>
                <w:txbxContent>
                  <w:p>
                    <w:pPr>
                      <w:spacing w:line="240" w:lineRule="auto"/>
                      <w:ind w:firstLine="0" w:firstLineChars="0"/>
                      <w:jc w:val="center"/>
                      <w:rPr>
                        <w:sz w:val="21"/>
                        <w:szCs w:val="21"/>
                      </w:rPr>
                    </w:pPr>
                    <w:r>
                      <w:rPr>
                        <w:sz w:val="21"/>
                        <w:szCs w:val="21"/>
                      </w:rPr>
                      <w:t>G</w:t>
                    </w:r>
                    <w:r>
                      <w:rPr>
                        <w:rFonts w:hint="eastAsia"/>
                        <w:sz w:val="21"/>
                        <w:szCs w:val="21"/>
                      </w:rPr>
                      <w:t>2、</w:t>
                    </w:r>
                    <w:r>
                      <w:rPr>
                        <w:sz w:val="21"/>
                        <w:szCs w:val="21"/>
                      </w:rPr>
                      <w:t>N</w:t>
                    </w:r>
                    <w:r>
                      <w:rPr>
                        <w:rFonts w:hint="eastAsia"/>
                        <w:sz w:val="21"/>
                        <w:szCs w:val="21"/>
                      </w:rPr>
                      <w:t>3、</w:t>
                    </w:r>
                    <w:r>
                      <w:rPr>
                        <w:sz w:val="21"/>
                        <w:szCs w:val="21"/>
                      </w:rPr>
                      <w:t>W</w:t>
                    </w:r>
                    <w:r>
                      <w:rPr>
                        <w:rFonts w:hint="eastAsia"/>
                        <w:sz w:val="21"/>
                        <w:szCs w:val="21"/>
                      </w:rPr>
                      <w:t>2、鸡毛</w:t>
                    </w:r>
                  </w:p>
                </w:txbxContent>
              </v:textbox>
            </v:shape>
            <v:line id="直线 1223" o:spid="_x0000_s1314" o:spt="20" style="position:absolute;left:5184;top:3798;height:1;width:615;" coordsize="21600,21600">
              <v:path arrowok="t"/>
              <v:fill focussize="0,0"/>
              <v:stroke dashstyle="dash" endarrow="block"/>
              <v:imagedata o:title=""/>
              <o:lock v:ext="edit"/>
            </v:line>
            <v:shape id="文本框 1226" o:spid="_x0000_s1315" o:spt="202" type="#_x0000_t202" style="position:absolute;left:5640;top:5091;height:480;width:1558;" filled="f" stroked="f" coordsize="21600,21600">
              <v:path/>
              <v:fill on="f" focussize="0,0"/>
              <v:stroke on="f" joinstyle="miter"/>
              <v:imagedata o:title=""/>
              <o:lock v:ext="edit"/>
              <v:textbox>
                <w:txbxContent>
                  <w:p>
                    <w:pPr>
                      <w:spacing w:line="240" w:lineRule="auto"/>
                      <w:ind w:firstLine="0" w:firstLineChars="0"/>
                      <w:jc w:val="center"/>
                      <w:rPr>
                        <w:sz w:val="21"/>
                        <w:szCs w:val="21"/>
                      </w:rPr>
                    </w:pPr>
                    <w:r>
                      <w:rPr>
                        <w:sz w:val="21"/>
                        <w:szCs w:val="21"/>
                      </w:rPr>
                      <w:t>G</w:t>
                    </w:r>
                    <w:r>
                      <w:rPr>
                        <w:rFonts w:hint="eastAsia"/>
                        <w:sz w:val="21"/>
                        <w:szCs w:val="21"/>
                      </w:rPr>
                      <w:t>2、</w:t>
                    </w:r>
                    <w:r>
                      <w:rPr>
                        <w:sz w:val="21"/>
                        <w:szCs w:val="21"/>
                      </w:rPr>
                      <w:t>N</w:t>
                    </w:r>
                    <w:r>
                      <w:rPr>
                        <w:rFonts w:hint="eastAsia"/>
                        <w:sz w:val="21"/>
                        <w:szCs w:val="21"/>
                      </w:rPr>
                      <w:t>3</w:t>
                    </w:r>
                  </w:p>
                  <w:p>
                    <w:pPr>
                      <w:ind w:firstLine="480"/>
                      <w:rPr>
                        <w:szCs w:val="21"/>
                      </w:rPr>
                    </w:pPr>
                  </w:p>
                </w:txbxContent>
              </v:textbox>
            </v:shape>
            <w10:wrap type="none"/>
            <w10:anchorlock/>
          </v:group>
        </w:pict>
      </w:r>
    </w:p>
    <w:p>
      <w:pPr>
        <w:pStyle w:val="54"/>
        <w:rPr>
          <w:color w:val="000000" w:themeColor="text1"/>
        </w:rPr>
      </w:pPr>
      <w:r>
        <w:rPr>
          <w:color w:val="000000" w:themeColor="text1"/>
        </w:rPr>
        <w:t>图</w:t>
      </w:r>
      <w:r>
        <w:rPr>
          <w:rFonts w:hint="eastAsia"/>
          <w:color w:val="000000" w:themeColor="text1"/>
        </w:rPr>
        <w:t>2.6.1-4  宰鸡场工艺流程及产污节点图</w:t>
      </w:r>
    </w:p>
    <w:p>
      <w:pPr>
        <w:ind w:firstLine="480"/>
        <w:rPr>
          <w:color w:val="000000" w:themeColor="text1"/>
        </w:rPr>
      </w:pPr>
      <w:r>
        <w:rPr>
          <w:rFonts w:hint="eastAsia"/>
          <w:color w:val="000000" w:themeColor="text1"/>
        </w:rPr>
        <w:t>宰鸡场生产工艺具体步骤如下：</w:t>
      </w:r>
    </w:p>
    <w:p>
      <w:pPr>
        <w:ind w:firstLine="480"/>
        <w:rPr>
          <w:color w:val="000000" w:themeColor="text1"/>
        </w:rPr>
      </w:pPr>
      <w:r>
        <w:rPr>
          <w:rFonts w:hint="eastAsia"/>
          <w:color w:val="000000" w:themeColor="text1"/>
        </w:rPr>
        <w:t>（</w:t>
      </w:r>
      <w:r>
        <w:rPr>
          <w:color w:val="000000" w:themeColor="text1"/>
        </w:rPr>
        <w:t>1</w:t>
      </w:r>
      <w:r>
        <w:rPr>
          <w:rFonts w:hint="eastAsia"/>
          <w:color w:val="000000" w:themeColor="text1"/>
        </w:rPr>
        <w:t>）待宰圈暂养：本项目不得接受运输过程中死亡的动物、有传染病或疑似传染病的动物、来源不明或证明不全的动物。本项目屠宰的供应保障主要来源于砚山县及周边县市养殖场或养殖户，为了保证禽产品的质量和食品卫生，防止疾病的传染，收购来的活禽在入厂前均要接受检验与检查，进行“动、静、饮水”。合格的活禽进入待宰圈暂养，断食8~12h，以使活禽尽量排出继续在体内的代谢物。暂养过程产生的主要污染为：禽粪、恶臭、禽尿及待宰圈冲洗废水、鸡叫。</w:t>
      </w:r>
    </w:p>
    <w:p>
      <w:pPr>
        <w:ind w:firstLine="480"/>
        <w:rPr>
          <w:color w:val="000000" w:themeColor="text1"/>
        </w:rPr>
      </w:pPr>
      <w:r>
        <w:rPr>
          <w:rFonts w:hint="eastAsia"/>
          <w:color w:val="000000" w:themeColor="text1"/>
        </w:rPr>
        <w:t>（</w:t>
      </w:r>
      <w:r>
        <w:rPr>
          <w:color w:val="000000" w:themeColor="text1"/>
        </w:rPr>
        <w:t>2</w:t>
      </w:r>
      <w:r>
        <w:rPr>
          <w:rFonts w:hint="eastAsia"/>
          <w:color w:val="000000" w:themeColor="text1"/>
        </w:rPr>
        <w:t>）挂鸡</w:t>
      </w:r>
    </w:p>
    <w:p>
      <w:pPr>
        <w:ind w:firstLine="480"/>
        <w:rPr>
          <w:color w:val="000000" w:themeColor="text1"/>
        </w:rPr>
      </w:pPr>
      <w:r>
        <w:rPr>
          <w:rFonts w:hint="eastAsia"/>
          <w:color w:val="000000" w:themeColor="text1"/>
        </w:rPr>
        <w:t>将活禽入笼后送入挂禽间，首先将活禽的双爪插入放血传送带的吊脚上，使活禽倒挂，检查有无病死鸡，病死鸡进行无害化处置。上挂过程产生的主要污染为：病死鸡、恶臭、噪声。</w:t>
      </w:r>
    </w:p>
    <w:p>
      <w:pPr>
        <w:ind w:firstLine="480"/>
        <w:rPr>
          <w:color w:val="000000" w:themeColor="text1"/>
        </w:rPr>
      </w:pPr>
      <w:r>
        <w:rPr>
          <w:rFonts w:hint="eastAsia"/>
          <w:color w:val="000000" w:themeColor="text1"/>
        </w:rPr>
        <w:t>（</w:t>
      </w:r>
      <w:r>
        <w:rPr>
          <w:color w:val="000000" w:themeColor="text1"/>
        </w:rPr>
        <w:t>3</w:t>
      </w:r>
      <w:r>
        <w:rPr>
          <w:rFonts w:hint="eastAsia"/>
          <w:color w:val="000000" w:themeColor="text1"/>
        </w:rPr>
        <w:t>）电晕放血宰杀工序</w:t>
      </w:r>
    </w:p>
    <w:p>
      <w:pPr>
        <w:ind w:firstLine="480"/>
        <w:rPr>
          <w:color w:val="000000" w:themeColor="text1"/>
        </w:rPr>
      </w:pPr>
      <w:r>
        <w:rPr>
          <w:rFonts w:hint="eastAsia"/>
          <w:color w:val="000000" w:themeColor="text1"/>
        </w:rPr>
        <w:t>活禽进入宰杀沥血间，通过电麻器构成回路后被自动电麻。电麻时必须准确把握电压，活禽被电麻后应保持心脏跳动，呈昏迷状态，不得使其致死。活禽电麻昏迷后经过宰杀台上宰杀机后切断血管放血。沥血时间为3~4min。收集宰杀沥血工序的血液，经沉淀净化处理、凝固包装后外卖。本工序产生的主要污染为：噪声（N</w:t>
      </w:r>
      <w:r>
        <w:rPr>
          <w:rFonts w:hint="eastAsia"/>
          <w:color w:val="000000" w:themeColor="text1"/>
          <w:vertAlign w:val="subscript"/>
        </w:rPr>
        <w:t>3</w:t>
      </w:r>
      <w:r>
        <w:rPr>
          <w:rFonts w:hint="eastAsia"/>
          <w:color w:val="000000" w:themeColor="text1"/>
        </w:rPr>
        <w:t>）、恶臭（G</w:t>
      </w:r>
      <w:r>
        <w:rPr>
          <w:rFonts w:hint="eastAsia"/>
          <w:color w:val="000000" w:themeColor="text1"/>
          <w:vertAlign w:val="subscript"/>
        </w:rPr>
        <w:t>3</w:t>
      </w:r>
      <w:r>
        <w:rPr>
          <w:rFonts w:hint="eastAsia"/>
          <w:color w:val="000000" w:themeColor="text1"/>
        </w:rPr>
        <w:t>）。</w:t>
      </w:r>
    </w:p>
    <w:p>
      <w:pPr>
        <w:ind w:firstLine="480"/>
        <w:rPr>
          <w:color w:val="000000" w:themeColor="text1"/>
        </w:rPr>
      </w:pPr>
      <w:r>
        <w:rPr>
          <w:rFonts w:hint="eastAsia"/>
          <w:color w:val="000000" w:themeColor="text1"/>
        </w:rPr>
        <w:t>（4）浸烫脱毛工序</w:t>
      </w:r>
    </w:p>
    <w:p>
      <w:pPr>
        <w:ind w:firstLine="480"/>
        <w:rPr>
          <w:color w:val="000000" w:themeColor="text1"/>
        </w:rPr>
      </w:pPr>
      <w:r>
        <w:rPr>
          <w:rFonts w:hint="eastAsia"/>
          <w:color w:val="000000" w:themeColor="text1"/>
        </w:rPr>
        <w:t>经宰杀放血后浸烫采用循环喷淋式浸烫机，采用封闭箱体结果，蒸汽热交换方式加热，该设备具有耗能低、水温自控均衡、自动补给水、禽体浸烫均匀、间相等、池内无浮毛等特点。浸烫时间一般约90~120s。</w:t>
      </w:r>
    </w:p>
    <w:p>
      <w:pPr>
        <w:ind w:firstLine="480"/>
        <w:rPr>
          <w:color w:val="000000" w:themeColor="text1"/>
        </w:rPr>
      </w:pPr>
      <w:r>
        <w:rPr>
          <w:rFonts w:hint="eastAsia"/>
          <w:color w:val="000000" w:themeColor="text1"/>
        </w:rPr>
        <w:t>浸烫后立即进入立式脱羽机机械脱毛，主要利用橡胶指束的拍打与磨擦作用褪除羽毛，因此必须调整好橡胶指束与屠体之间的距离。经过粗脱和精脱两道脱毛工序，总脱毛时间未30~40s。鸡毛经收集晾干后外售。</w:t>
      </w:r>
    </w:p>
    <w:p>
      <w:pPr>
        <w:ind w:firstLine="480"/>
        <w:rPr>
          <w:color w:val="000000" w:themeColor="text1"/>
        </w:rPr>
      </w:pPr>
      <w:r>
        <w:rPr>
          <w:rFonts w:hint="eastAsia"/>
          <w:color w:val="000000" w:themeColor="text1"/>
        </w:rPr>
        <w:t>本工序产生的主要污染为：浸烫废水、噪声、恶臭。</w:t>
      </w:r>
    </w:p>
    <w:p>
      <w:pPr>
        <w:ind w:firstLine="480"/>
        <w:rPr>
          <w:color w:val="000000" w:themeColor="text1"/>
        </w:rPr>
      </w:pPr>
      <w:r>
        <w:rPr>
          <w:rFonts w:hint="eastAsia"/>
          <w:color w:val="000000" w:themeColor="text1"/>
        </w:rPr>
        <w:t>（5）胴体清洗</w:t>
      </w:r>
    </w:p>
    <w:p>
      <w:pPr>
        <w:ind w:firstLine="480"/>
        <w:rPr>
          <w:color w:val="000000" w:themeColor="text1"/>
        </w:rPr>
      </w:pPr>
      <w:r>
        <w:rPr>
          <w:rFonts w:hint="eastAsia"/>
          <w:color w:val="000000" w:themeColor="text1"/>
        </w:rPr>
        <w:t>脱毛后需对禽类屠体进行洗刷浮毛、污垢，一般采用冷水冲洗，羽毛经打捞后晾干、包装、外售。清洗过程产生的污染物为：冲洗废水、恶臭、噪声。</w:t>
      </w:r>
    </w:p>
    <w:p>
      <w:pPr>
        <w:ind w:firstLine="480"/>
        <w:rPr>
          <w:color w:val="000000" w:themeColor="text1"/>
        </w:rPr>
      </w:pPr>
      <w:r>
        <w:rPr>
          <w:rFonts w:hint="eastAsia"/>
          <w:color w:val="000000" w:themeColor="text1"/>
        </w:rPr>
        <w:t>（6）除内脏及下货处理工序</w:t>
      </w:r>
    </w:p>
    <w:p>
      <w:pPr>
        <w:ind w:firstLine="480"/>
        <w:rPr>
          <w:color w:val="000000" w:themeColor="text1"/>
        </w:rPr>
      </w:pPr>
      <w:r>
        <w:rPr>
          <w:rFonts w:hint="eastAsia"/>
          <w:color w:val="000000" w:themeColor="text1"/>
        </w:rPr>
        <w:t>经脱毛、冲洗处理的禽类胴体进入掏内脏间进行自动开膛、剖腹取出内脏，并摘除不可食用的下脚料，包括胆、淋巴、切肛废物、肠胃内容物等。此过程主要产生的污染物为：不可食用内脏、碎肉、肠胃内容物、恶臭、噪声、内脏清洗处理废水。</w:t>
      </w:r>
    </w:p>
    <w:p>
      <w:pPr>
        <w:ind w:firstLine="480"/>
        <w:rPr>
          <w:color w:val="000000" w:themeColor="text1"/>
        </w:rPr>
      </w:pPr>
      <w:r>
        <w:rPr>
          <w:rFonts w:hint="eastAsia"/>
          <w:color w:val="000000" w:themeColor="text1"/>
        </w:rPr>
        <w:t>（7）宰后复检</w:t>
      </w:r>
    </w:p>
    <w:p>
      <w:pPr>
        <w:ind w:firstLine="480"/>
        <w:rPr>
          <w:color w:val="000000" w:themeColor="text1"/>
        </w:rPr>
      </w:pPr>
      <w:r>
        <w:rPr>
          <w:rFonts w:hint="eastAsia"/>
          <w:color w:val="000000" w:themeColor="text1"/>
        </w:rPr>
        <w:t>宰后对动物胴体和内脏的检验应按照国家有关规定进行全面复检。此过程产生的主要污染物为不合格胴体、内脏，不合格的胴体和内脏应采用无害化处理。复检合格的胴体及可食用内脏作为成品流入市场。</w:t>
      </w:r>
    </w:p>
    <w:p>
      <w:pPr>
        <w:ind w:firstLine="482"/>
        <w:rPr>
          <w:b/>
          <w:color w:val="000000" w:themeColor="text1"/>
        </w:rPr>
      </w:pPr>
      <w:r>
        <w:rPr>
          <w:rFonts w:hint="eastAsia"/>
          <w:b/>
          <w:color w:val="000000" w:themeColor="text1"/>
        </w:rPr>
        <w:t>3、病死猪（鸡）、不合格产品、碎骨肉等废物处置</w:t>
      </w:r>
    </w:p>
    <w:p>
      <w:pPr>
        <w:ind w:firstLine="480"/>
        <w:rPr>
          <w:color w:val="000000" w:themeColor="text1"/>
        </w:rPr>
      </w:pPr>
      <w:r>
        <w:rPr>
          <w:rFonts w:hint="eastAsia"/>
          <w:color w:val="000000" w:themeColor="text1"/>
        </w:rPr>
        <w:t>（1）处理工艺</w:t>
      </w:r>
    </w:p>
    <w:p>
      <w:pPr>
        <w:ind w:firstLine="480"/>
        <w:rPr>
          <w:color w:val="000000" w:themeColor="text1"/>
        </w:rPr>
      </w:pPr>
      <w:r>
        <w:rPr>
          <w:rFonts w:hint="eastAsia"/>
          <w:color w:val="000000" w:themeColor="text1"/>
        </w:rPr>
        <w:t>本屠宰场生产过程中产生的病死猪（鸡）尸体、不合格产品、碎骨肉等废物采用一体化无害化焚烧炉处理。一体化焚烧炉采用先进的气化反烧洁净燃烧技术，二次燃烧技术。将需处理物投入燃烧室，一次燃烧为欠氧燃烧（</w:t>
      </w:r>
      <w:r>
        <w:rPr>
          <w:color w:val="000000" w:themeColor="text1"/>
        </w:rPr>
        <w:t>650~900</w:t>
      </w:r>
      <w:r>
        <w:rPr>
          <w:rFonts w:hint="eastAsia" w:ascii="宋体" w:hAnsi="宋体" w:cs="宋体"/>
          <w:color w:val="000000" w:themeColor="text1"/>
        </w:rPr>
        <w:t>℃</w:t>
      </w:r>
      <w:r>
        <w:rPr>
          <w:rFonts w:hint="eastAsia"/>
          <w:color w:val="000000" w:themeColor="text1"/>
        </w:rPr>
        <w:t>），处理物发生热解反应，残留物高温燃烧，达到大量减容、无害化的目的。热解气化生成的混合烟气进入二级燃烧室，在</w:t>
      </w:r>
      <w:r>
        <w:rPr>
          <w:color w:val="000000" w:themeColor="text1"/>
        </w:rPr>
        <w:t>850~1200</w:t>
      </w:r>
      <w:r>
        <w:rPr>
          <w:rFonts w:hint="eastAsia" w:ascii="宋体" w:hAnsi="宋体" w:cs="宋体"/>
          <w:color w:val="000000" w:themeColor="text1"/>
        </w:rPr>
        <w:t>℃</w:t>
      </w:r>
      <w:r>
        <w:rPr>
          <w:rFonts w:hint="eastAsia"/>
          <w:color w:val="000000" w:themeColor="text1"/>
        </w:rPr>
        <w:t>左右的高温下富氧完全燃烧，达到无害化排放的效果，该技术集热解化、燃烧、传热、脱硫、除尘为一体，具有结构紧凑、使用成本低、排放性能好、运行安全、控制方面等优点。焚烧炉采用二次燃烧系统，一次燃烧室火幕燃烧，烟气中的有害成分被点燃；二次燃烧室设有回转烟道，烟气中的少量飞灰在离心力的作用下也会除去，实现了无害化排放。可有效减少有害气体的排放。</w:t>
      </w:r>
    </w:p>
    <w:p>
      <w:pPr>
        <w:ind w:firstLine="480"/>
        <w:rPr>
          <w:color w:val="000000" w:themeColor="text1"/>
        </w:rPr>
      </w:pPr>
      <w:r>
        <w:rPr>
          <w:rFonts w:hint="eastAsia"/>
          <w:color w:val="000000" w:themeColor="text1"/>
        </w:rPr>
        <w:t>由此可知本项目所使用的焚烧炉焚烧温度最低为</w:t>
      </w:r>
      <w:r>
        <w:rPr>
          <w:color w:val="000000" w:themeColor="text1"/>
        </w:rPr>
        <w:t>650</w:t>
      </w:r>
      <w:r>
        <w:rPr>
          <w:rFonts w:hint="eastAsia" w:ascii="宋体" w:hAnsi="宋体" w:cs="宋体"/>
          <w:color w:val="000000" w:themeColor="text1"/>
        </w:rPr>
        <w:t>℃</w:t>
      </w:r>
      <w:r>
        <w:rPr>
          <w:rFonts w:hint="eastAsia"/>
          <w:color w:val="000000" w:themeColor="text1"/>
        </w:rPr>
        <w:t>，而二噁英产生的温度在</w:t>
      </w:r>
      <w:r>
        <w:rPr>
          <w:color w:val="000000" w:themeColor="text1"/>
        </w:rPr>
        <w:t>300~400</w:t>
      </w:r>
      <w:r>
        <w:rPr>
          <w:rFonts w:hint="eastAsia" w:ascii="宋体" w:hAnsi="宋体" w:cs="宋体"/>
          <w:color w:val="000000" w:themeColor="text1"/>
        </w:rPr>
        <w:t>℃</w:t>
      </w:r>
      <w:r>
        <w:rPr>
          <w:rFonts w:hint="eastAsia"/>
          <w:color w:val="000000" w:themeColor="text1"/>
        </w:rPr>
        <w:t>之间，且二噁英的主要来源是含氯物质的燃烧所致，而病死猪（鸡）的主要成分为</w:t>
      </w:r>
      <w:r>
        <w:fldChar w:fldCharType="begin"/>
      </w:r>
      <w:r>
        <w:instrText xml:space="preserve"> HYPERLINK "https://baike.so.com/doc/968469-1023692.html" \t "_blank" </w:instrText>
      </w:r>
      <w:r>
        <w:fldChar w:fldCharType="separate"/>
      </w:r>
      <w:r>
        <w:rPr>
          <w:rStyle w:val="46"/>
          <w:rFonts w:hint="eastAsia"/>
          <w:color w:val="000000" w:themeColor="text1"/>
          <w:u w:val="none"/>
        </w:rPr>
        <w:t>蛋白质</w:t>
      </w:r>
      <w:r>
        <w:rPr>
          <w:rStyle w:val="46"/>
          <w:rFonts w:hint="eastAsia"/>
          <w:color w:val="000000" w:themeColor="text1"/>
          <w:u w:val="none"/>
        </w:rPr>
        <w:fldChar w:fldCharType="end"/>
      </w:r>
      <w:r>
        <w:rPr>
          <w:rFonts w:hint="eastAsia"/>
          <w:color w:val="000000" w:themeColor="text1"/>
        </w:rPr>
        <w:t>及脂肪、</w:t>
      </w:r>
      <w:r>
        <w:fldChar w:fldCharType="begin"/>
      </w:r>
      <w:r>
        <w:instrText xml:space="preserve"> HYPERLINK "https://baike.so.com/doc/5373132-5609099.html" \t "_blank" </w:instrText>
      </w:r>
      <w:r>
        <w:fldChar w:fldCharType="separate"/>
      </w:r>
      <w:r>
        <w:rPr>
          <w:rStyle w:val="46"/>
          <w:rFonts w:hint="eastAsia"/>
          <w:color w:val="000000" w:themeColor="text1"/>
          <w:u w:val="none"/>
        </w:rPr>
        <w:t>碳水化合物</w:t>
      </w:r>
      <w:r>
        <w:rPr>
          <w:rStyle w:val="46"/>
          <w:rFonts w:hint="eastAsia"/>
          <w:color w:val="000000" w:themeColor="text1"/>
          <w:u w:val="none"/>
        </w:rPr>
        <w:fldChar w:fldCharType="end"/>
      </w:r>
      <w:r>
        <w:rPr>
          <w:rFonts w:hint="eastAsia"/>
          <w:color w:val="000000" w:themeColor="text1"/>
        </w:rPr>
        <w:t>、</w:t>
      </w:r>
      <w:r>
        <w:fldChar w:fldCharType="begin"/>
      </w:r>
      <w:r>
        <w:instrText xml:space="preserve"> HYPERLINK "https://baike.so.com/doc/5373739-5609728.html" \t "_blank" </w:instrText>
      </w:r>
      <w:r>
        <w:fldChar w:fldCharType="separate"/>
      </w:r>
      <w:r>
        <w:rPr>
          <w:rStyle w:val="46"/>
          <w:rFonts w:hint="eastAsia"/>
          <w:color w:val="000000" w:themeColor="text1"/>
          <w:u w:val="none"/>
        </w:rPr>
        <w:t>钙</w:t>
      </w:r>
      <w:r>
        <w:rPr>
          <w:rStyle w:val="46"/>
          <w:rFonts w:hint="eastAsia"/>
          <w:color w:val="000000" w:themeColor="text1"/>
          <w:u w:val="none"/>
        </w:rPr>
        <w:fldChar w:fldCharType="end"/>
      </w:r>
      <w:r>
        <w:rPr>
          <w:rFonts w:hint="eastAsia"/>
          <w:color w:val="000000" w:themeColor="text1"/>
        </w:rPr>
        <w:t>、铁、</w:t>
      </w:r>
      <w:r>
        <w:fldChar w:fldCharType="begin"/>
      </w:r>
      <w:r>
        <w:instrText xml:space="preserve"> HYPERLINK "https://baike.so.com/doc/4236858-4438872.html" \t "_blank" </w:instrText>
      </w:r>
      <w:r>
        <w:fldChar w:fldCharType="separate"/>
      </w:r>
      <w:r>
        <w:rPr>
          <w:rStyle w:val="46"/>
          <w:rFonts w:hint="eastAsia"/>
          <w:color w:val="000000" w:themeColor="text1"/>
          <w:u w:val="none"/>
        </w:rPr>
        <w:t>磷</w:t>
      </w:r>
      <w:r>
        <w:rPr>
          <w:rStyle w:val="46"/>
          <w:rFonts w:hint="eastAsia"/>
          <w:color w:val="000000" w:themeColor="text1"/>
          <w:u w:val="none"/>
        </w:rPr>
        <w:fldChar w:fldCharType="end"/>
      </w:r>
      <w:r>
        <w:rPr>
          <w:rFonts w:hint="eastAsia"/>
          <w:color w:val="000000" w:themeColor="text1"/>
        </w:rPr>
        <w:t>及其他微量元素，几乎不含有氯元素，所以，本项目使用焚烧炉焚烧病死猪实体不会产生二噁英。</w:t>
      </w:r>
    </w:p>
    <w:p>
      <w:pPr>
        <w:ind w:firstLine="480"/>
        <w:rPr>
          <w:color w:val="000000" w:themeColor="text1"/>
        </w:rPr>
      </w:pPr>
      <w:r>
        <w:rPr>
          <w:rFonts w:hint="eastAsia"/>
          <w:color w:val="000000" w:themeColor="text1"/>
        </w:rPr>
        <w:t>（2）一体化无害化焚烧炉特点</w:t>
      </w:r>
    </w:p>
    <w:p>
      <w:pPr>
        <w:ind w:firstLine="480"/>
        <w:rPr>
          <w:color w:val="000000" w:themeColor="text1"/>
        </w:rPr>
      </w:pPr>
      <w:r>
        <w:rPr>
          <w:color w:val="000000" w:themeColor="text1"/>
        </w:rPr>
        <w:t>A</w:t>
      </w:r>
      <w:r>
        <w:rPr>
          <w:rFonts w:hint="eastAsia"/>
          <w:color w:val="000000" w:themeColor="text1"/>
        </w:rPr>
        <w:t>、焚烧效率高。燃烧室炉型采用立式，横截面积增大，能有效的提高燃烧面积，炉本体以高温耐火材料作衬，中间是隔热材料，外层是保温材料，可减少炉本体的热损失，提高焚烧效率。</w:t>
      </w:r>
    </w:p>
    <w:p>
      <w:pPr>
        <w:ind w:firstLine="480"/>
        <w:rPr>
          <w:color w:val="000000" w:themeColor="text1"/>
        </w:rPr>
      </w:pPr>
      <w:r>
        <w:rPr>
          <w:color w:val="000000" w:themeColor="text1"/>
        </w:rPr>
        <w:t>B</w:t>
      </w:r>
      <w:r>
        <w:rPr>
          <w:rFonts w:hint="eastAsia"/>
          <w:color w:val="000000" w:themeColor="text1"/>
        </w:rPr>
        <w:t>、节约能源、安全可靠。选用优质燃烧机，燃料雾化效果好，热效率高，燃料消耗量低，节约效果明显高于国内同类产品。燃烧机具有自动点火、灭火保护、故障报警等功能，火焰强度大，燃烧稳定，安全性好。</w:t>
      </w:r>
    </w:p>
    <w:p>
      <w:pPr>
        <w:ind w:firstLine="480"/>
        <w:rPr>
          <w:color w:val="000000" w:themeColor="text1"/>
        </w:rPr>
      </w:pPr>
      <w:r>
        <w:rPr>
          <w:color w:val="000000" w:themeColor="text1"/>
        </w:rPr>
        <w:t>C</w:t>
      </w:r>
      <w:r>
        <w:rPr>
          <w:rFonts w:hint="eastAsia"/>
          <w:color w:val="000000" w:themeColor="text1"/>
        </w:rPr>
        <w:t>、尾气排放符合国家环保要求。焚烧炉的炉门、清灰门的设计均采用了全密封式结构，焚烧时炉内与炉外完全隔绝，负压燃烧，杜绝了二次污染。一体化无害化焚烧炉采用先进的焚烧技术，在焚烧炉尾气排放口安装尾气处理装置，采用布袋除尘装置，尾气排放可达到无黑烟、无异味、无大颗粒粉尘。</w:t>
      </w:r>
    </w:p>
    <w:p>
      <w:pPr>
        <w:ind w:firstLine="480"/>
        <w:rPr>
          <w:color w:val="000000" w:themeColor="text1"/>
        </w:rPr>
      </w:pPr>
      <w:r>
        <w:rPr>
          <w:color w:val="000000" w:themeColor="text1"/>
        </w:rPr>
        <w:t>D</w:t>
      </w:r>
      <w:r>
        <w:rPr>
          <w:rFonts w:hint="eastAsia"/>
          <w:color w:val="000000" w:themeColor="text1"/>
        </w:rPr>
        <w:t>、操作简单、维护方便。</w:t>
      </w:r>
    </w:p>
    <w:p>
      <w:pPr>
        <w:ind w:firstLine="480"/>
        <w:rPr>
          <w:color w:val="000000" w:themeColor="text1"/>
        </w:rPr>
      </w:pPr>
      <w:r>
        <w:rPr>
          <w:color w:val="000000" w:themeColor="text1"/>
        </w:rPr>
        <w:t>E</w:t>
      </w:r>
      <w:r>
        <w:rPr>
          <w:rFonts w:hint="eastAsia"/>
          <w:color w:val="000000" w:themeColor="text1"/>
        </w:rPr>
        <w:t>、占地面积小、外形美观、耐腐蚀、抗老化、寿命长</w:t>
      </w:r>
    </w:p>
    <w:p>
      <w:pPr>
        <w:ind w:firstLine="480"/>
        <w:rPr>
          <w:color w:val="000000" w:themeColor="text1"/>
          <w:highlight w:val="yellow"/>
        </w:rPr>
      </w:pPr>
      <w:r>
        <w:rPr>
          <w:rFonts w:hint="eastAsia"/>
          <w:color w:val="000000" w:themeColor="text1"/>
        </w:rPr>
        <w:t>（3）焚烧炉主要性能</w:t>
      </w:r>
    </w:p>
    <w:p>
      <w:pPr>
        <w:ind w:firstLine="480"/>
        <w:rPr>
          <w:color w:val="000000" w:themeColor="text1"/>
        </w:rPr>
      </w:pPr>
      <w:r>
        <w:rPr>
          <w:rFonts w:hint="eastAsia"/>
          <w:color w:val="000000" w:themeColor="text1"/>
        </w:rPr>
        <w:t>焚烧炉主要性能指标按《中华人民共和国机械行业标准</w:t>
      </w:r>
      <w:r>
        <w:rPr>
          <w:color w:val="000000" w:themeColor="text1"/>
        </w:rPr>
        <w:t>——</w:t>
      </w:r>
      <w:r>
        <w:rPr>
          <w:rFonts w:hint="eastAsia"/>
          <w:color w:val="000000" w:themeColor="text1"/>
        </w:rPr>
        <w:t>小型焚烧炉技术条件》（</w:t>
      </w:r>
      <w:r>
        <w:rPr>
          <w:color w:val="000000" w:themeColor="text1"/>
        </w:rPr>
        <w:t>JB/T10192-2000</w:t>
      </w:r>
      <w:r>
        <w:rPr>
          <w:rFonts w:hint="eastAsia"/>
          <w:color w:val="000000" w:themeColor="text1"/>
        </w:rPr>
        <w:t>）所规定的标准执行。其主要技术参数见</w:t>
      </w:r>
      <w:r>
        <w:rPr>
          <w:color w:val="000000" w:themeColor="text1"/>
        </w:rPr>
        <w:t>表</w:t>
      </w:r>
      <w:r>
        <w:rPr>
          <w:rFonts w:hint="eastAsia"/>
          <w:color w:val="000000" w:themeColor="text1"/>
        </w:rPr>
        <w:t>2.6.1-1。</w:t>
      </w:r>
    </w:p>
    <w:p>
      <w:pPr>
        <w:pStyle w:val="54"/>
        <w:rPr>
          <w:color w:val="000000" w:themeColor="text1"/>
        </w:rPr>
      </w:pPr>
      <w:bookmarkStart w:id="47" w:name="_Ref363720353"/>
      <w:r>
        <w:rPr>
          <w:rFonts w:hint="eastAsia"/>
          <w:color w:val="000000" w:themeColor="text1"/>
        </w:rPr>
        <w:t>表</w:t>
      </w:r>
      <w:r>
        <w:rPr>
          <w:color w:val="000000" w:themeColor="text1"/>
        </w:rPr>
        <w:t xml:space="preserve"> </w:t>
      </w:r>
      <w:bookmarkEnd w:id="47"/>
      <w:r>
        <w:rPr>
          <w:rFonts w:hint="eastAsia"/>
          <w:color w:val="000000" w:themeColor="text1"/>
        </w:rPr>
        <w:t>2.6.1-1   焚烧炉主要性能指标</w:t>
      </w:r>
    </w:p>
    <w:tbl>
      <w:tblPr>
        <w:tblStyle w:val="42"/>
        <w:tblW w:w="8789"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567"/>
        <w:gridCol w:w="1134"/>
        <w:gridCol w:w="141"/>
        <w:gridCol w:w="566"/>
        <w:gridCol w:w="710"/>
        <w:gridCol w:w="851"/>
        <w:gridCol w:w="992"/>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vAlign w:val="center"/>
          </w:tcPr>
          <w:p>
            <w:pPr>
              <w:pStyle w:val="55"/>
              <w:rPr>
                <w:b/>
                <w:color w:val="000000" w:themeColor="text1"/>
              </w:rPr>
            </w:pPr>
            <w:r>
              <w:rPr>
                <w:rFonts w:hint="eastAsia"/>
                <w:b/>
                <w:color w:val="000000" w:themeColor="text1"/>
              </w:rPr>
              <w:t>序号</w:t>
            </w:r>
          </w:p>
        </w:tc>
        <w:tc>
          <w:tcPr>
            <w:tcW w:w="3118" w:type="dxa"/>
            <w:gridSpan w:val="5"/>
            <w:tcBorders>
              <w:top w:val="single" w:color="auto" w:sz="4" w:space="0"/>
              <w:left w:val="single" w:color="auto" w:sz="4" w:space="0"/>
              <w:bottom w:val="single" w:color="auto" w:sz="4" w:space="0"/>
              <w:right w:val="single" w:color="auto" w:sz="4" w:space="0"/>
            </w:tcBorders>
            <w:vAlign w:val="center"/>
          </w:tcPr>
          <w:p>
            <w:pPr>
              <w:pStyle w:val="55"/>
              <w:rPr>
                <w:b/>
                <w:color w:val="000000" w:themeColor="text1"/>
              </w:rPr>
            </w:pPr>
            <w:r>
              <w:rPr>
                <w:rFonts w:hint="eastAsia"/>
                <w:b/>
                <w:color w:val="000000" w:themeColor="text1"/>
              </w:rPr>
              <w:t>项目</w:t>
            </w: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b/>
                <w:color w:val="000000" w:themeColor="text1"/>
              </w:rPr>
            </w:pPr>
            <w:r>
              <w:rPr>
                <w:rFonts w:hint="eastAsia"/>
                <w:b/>
                <w:color w:val="000000" w:themeColor="text1"/>
              </w:rPr>
              <w:t>单位</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b/>
                <w:color w:val="000000" w:themeColor="text1"/>
              </w:rPr>
            </w:pPr>
            <w:r>
              <w:rPr>
                <w:rFonts w:hint="eastAsia"/>
                <w:b/>
                <w:color w:val="000000" w:themeColor="text1"/>
              </w:rPr>
              <w:t>额定值</w:t>
            </w:r>
          </w:p>
        </w:tc>
        <w:tc>
          <w:tcPr>
            <w:tcW w:w="3118" w:type="dxa"/>
            <w:tcBorders>
              <w:top w:val="single" w:color="auto" w:sz="4" w:space="0"/>
              <w:left w:val="single" w:color="auto" w:sz="4" w:space="0"/>
              <w:bottom w:val="single" w:color="auto" w:sz="4" w:space="0"/>
              <w:right w:val="single" w:color="auto" w:sz="4" w:space="0"/>
            </w:tcBorders>
            <w:vAlign w:val="center"/>
          </w:tcPr>
          <w:p>
            <w:pPr>
              <w:pStyle w:val="55"/>
              <w:rPr>
                <w:b/>
                <w:color w:val="000000" w:themeColor="text1"/>
              </w:rPr>
            </w:pPr>
            <w:r>
              <w:rPr>
                <w:rFonts w:hint="eastAsia"/>
                <w:b/>
                <w:color w:val="000000" w:themeColor="text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处理量</w:t>
            </w:r>
          </w:p>
        </w:tc>
        <w:tc>
          <w:tcPr>
            <w:tcW w:w="1417"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固体废弃物</w:t>
            </w: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kg/h</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311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按标牌额定值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2</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辅助燃料消耗量</w:t>
            </w:r>
          </w:p>
        </w:tc>
        <w:tc>
          <w:tcPr>
            <w:tcW w:w="1417"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燃气</w:t>
            </w: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m</w:t>
            </w:r>
            <w:r>
              <w:rPr>
                <w:color w:val="000000" w:themeColor="text1"/>
                <w:vertAlign w:val="superscript"/>
              </w:rPr>
              <w:t>3</w:t>
            </w:r>
            <w:r>
              <w:rPr>
                <w:color w:val="000000" w:themeColor="text1"/>
              </w:rPr>
              <w:t>/kg</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≤0.15</w:t>
            </w:r>
          </w:p>
        </w:tc>
        <w:tc>
          <w:tcPr>
            <w:tcW w:w="311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辅助燃料标准发热值为</w:t>
            </w:r>
            <w:r>
              <w:rPr>
                <w:color w:val="000000" w:themeColor="text1"/>
              </w:rPr>
              <w:t>41870KJ/kg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3</w:t>
            </w:r>
          </w:p>
        </w:tc>
        <w:tc>
          <w:tcPr>
            <w:tcW w:w="3118" w:type="dxa"/>
            <w:gridSpan w:val="5"/>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燃烧室工作温度</w:t>
            </w: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ascii="宋体" w:hAnsi="宋体" w:cs="宋体"/>
                <w:color w:val="000000" w:themeColor="text1"/>
              </w:rPr>
              <w:t>℃</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≥800</w:t>
            </w:r>
          </w:p>
        </w:tc>
        <w:tc>
          <w:tcPr>
            <w:tcW w:w="311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根据用户要求和不同废弃物，在不影响排放指标的情况下，为节省燃料，可适当降低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4</w:t>
            </w:r>
          </w:p>
        </w:tc>
        <w:tc>
          <w:tcPr>
            <w:tcW w:w="3118" w:type="dxa"/>
            <w:gridSpan w:val="5"/>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排烟温度</w:t>
            </w: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ascii="宋体" w:hAnsi="宋体" w:cs="宋体"/>
                <w:color w:val="000000" w:themeColor="text1"/>
              </w:rPr>
              <w:t>℃</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≤400</w:t>
            </w:r>
          </w:p>
        </w:tc>
        <w:tc>
          <w:tcPr>
            <w:tcW w:w="311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5</w:t>
            </w:r>
          </w:p>
        </w:tc>
        <w:tc>
          <w:tcPr>
            <w:tcW w:w="3118" w:type="dxa"/>
            <w:gridSpan w:val="5"/>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噪声</w:t>
            </w: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dB(A)</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≤85</w:t>
            </w:r>
          </w:p>
        </w:tc>
        <w:tc>
          <w:tcPr>
            <w:tcW w:w="311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6</w:t>
            </w:r>
          </w:p>
        </w:tc>
        <w:tc>
          <w:tcPr>
            <w:tcW w:w="3118" w:type="dxa"/>
            <w:gridSpan w:val="5"/>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外壁温度</w:t>
            </w: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ascii="宋体" w:hAnsi="宋体" w:cs="宋体"/>
                <w:color w:val="000000" w:themeColor="text1"/>
              </w:rPr>
              <w:t>℃</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≤60</w:t>
            </w:r>
          </w:p>
        </w:tc>
        <w:tc>
          <w:tcPr>
            <w:tcW w:w="311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炉门局部区域</w:t>
            </w:r>
            <w:r>
              <w:rPr>
                <w:color w:val="000000" w:themeColor="text1"/>
              </w:rPr>
              <w:t>≤70</w:t>
            </w:r>
            <w:r>
              <w:rPr>
                <w:rFonts w:hint="eastAsia" w:ascii="宋体" w:hAnsi="宋体" w:cs="宋体"/>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7</w:t>
            </w:r>
          </w:p>
        </w:tc>
        <w:tc>
          <w:tcPr>
            <w:tcW w:w="3118" w:type="dxa"/>
            <w:gridSpan w:val="5"/>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烟气出口温度</w:t>
            </w: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ascii="宋体" w:hAnsi="宋体" w:cs="宋体"/>
                <w:color w:val="000000" w:themeColor="text1"/>
              </w:rPr>
              <w:t>℃</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≥850</w:t>
            </w:r>
          </w:p>
        </w:tc>
        <w:tc>
          <w:tcPr>
            <w:tcW w:w="311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8</w:t>
            </w:r>
          </w:p>
        </w:tc>
        <w:tc>
          <w:tcPr>
            <w:tcW w:w="3118" w:type="dxa"/>
            <w:gridSpan w:val="5"/>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减量比</w:t>
            </w: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≥95%</w:t>
            </w:r>
          </w:p>
        </w:tc>
        <w:tc>
          <w:tcPr>
            <w:tcW w:w="311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restart"/>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p>
          <w:p>
            <w:pPr>
              <w:pStyle w:val="55"/>
              <w:rPr>
                <w:color w:val="000000" w:themeColor="text1"/>
              </w:rPr>
            </w:pPr>
            <w:r>
              <w:rPr>
                <w:color w:val="000000" w:themeColor="text1"/>
              </w:rPr>
              <w:t>9</w:t>
            </w:r>
          </w:p>
        </w:tc>
        <w:tc>
          <w:tcPr>
            <w:tcW w:w="2408" w:type="dxa"/>
            <w:gridSpan w:val="4"/>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不同燃烧温度最短停留时间</w:t>
            </w:r>
          </w:p>
        </w:tc>
        <w:tc>
          <w:tcPr>
            <w:tcW w:w="71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850</w:t>
            </w: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s</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1.0</w:t>
            </w:r>
          </w:p>
        </w:tc>
        <w:tc>
          <w:tcPr>
            <w:tcW w:w="311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2408" w:type="dxa"/>
            <w:gridSpan w:val="4"/>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71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900</w:t>
            </w: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s</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0.5</w:t>
            </w:r>
          </w:p>
        </w:tc>
        <w:tc>
          <w:tcPr>
            <w:tcW w:w="311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2408" w:type="dxa"/>
            <w:gridSpan w:val="4"/>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71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980</w:t>
            </w: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s</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0.3</w:t>
            </w:r>
          </w:p>
        </w:tc>
        <w:tc>
          <w:tcPr>
            <w:tcW w:w="311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10</w:t>
            </w:r>
          </w:p>
        </w:tc>
        <w:tc>
          <w:tcPr>
            <w:tcW w:w="3118" w:type="dxa"/>
            <w:gridSpan w:val="5"/>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林格曼黑度</w:t>
            </w: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级</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w:t>
            </w:r>
          </w:p>
        </w:tc>
        <w:tc>
          <w:tcPr>
            <w:tcW w:w="311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restart"/>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p>
          <w:p>
            <w:pPr>
              <w:pStyle w:val="55"/>
              <w:rPr>
                <w:color w:val="000000" w:themeColor="text1"/>
              </w:rPr>
            </w:pPr>
          </w:p>
          <w:p>
            <w:pPr>
              <w:pStyle w:val="55"/>
              <w:rPr>
                <w:color w:val="000000" w:themeColor="text1"/>
              </w:rPr>
            </w:pPr>
          </w:p>
          <w:p>
            <w:pPr>
              <w:pStyle w:val="55"/>
              <w:rPr>
                <w:color w:val="000000" w:themeColor="text1"/>
              </w:rPr>
            </w:pPr>
            <w:r>
              <w:rPr>
                <w:color w:val="000000" w:themeColor="text1"/>
              </w:rPr>
              <w:t>11</w:t>
            </w:r>
          </w:p>
        </w:tc>
        <w:tc>
          <w:tcPr>
            <w:tcW w:w="567" w:type="dxa"/>
            <w:vMerge w:val="restart"/>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p>
          <w:p>
            <w:pPr>
              <w:pStyle w:val="55"/>
              <w:rPr>
                <w:color w:val="000000" w:themeColor="text1"/>
              </w:rPr>
            </w:pPr>
            <w:r>
              <w:rPr>
                <w:rFonts w:hint="eastAsia"/>
                <w:color w:val="000000" w:themeColor="text1"/>
              </w:rPr>
              <w:t>烟</w:t>
            </w:r>
          </w:p>
          <w:p>
            <w:pPr>
              <w:pStyle w:val="55"/>
              <w:rPr>
                <w:color w:val="000000" w:themeColor="text1"/>
              </w:rPr>
            </w:pPr>
            <w:r>
              <w:rPr>
                <w:rFonts w:hint="eastAsia"/>
                <w:color w:val="000000" w:themeColor="text1"/>
              </w:rPr>
              <w:t>气</w:t>
            </w:r>
          </w:p>
          <w:p>
            <w:pPr>
              <w:pStyle w:val="55"/>
              <w:rPr>
                <w:color w:val="000000" w:themeColor="text1"/>
              </w:rPr>
            </w:pPr>
            <w:r>
              <w:rPr>
                <w:rFonts w:hint="eastAsia"/>
                <w:color w:val="000000" w:themeColor="text1"/>
              </w:rPr>
              <w:t>排</w:t>
            </w:r>
          </w:p>
          <w:p>
            <w:pPr>
              <w:pStyle w:val="55"/>
              <w:rPr>
                <w:color w:val="000000" w:themeColor="text1"/>
              </w:rPr>
            </w:pPr>
            <w:r>
              <w:rPr>
                <w:rFonts w:hint="eastAsia"/>
                <w:color w:val="000000" w:themeColor="text1"/>
              </w:rPr>
              <w:t>放</w:t>
            </w:r>
          </w:p>
          <w:p>
            <w:pPr>
              <w:pStyle w:val="55"/>
              <w:rPr>
                <w:color w:val="000000" w:themeColor="text1"/>
              </w:rPr>
            </w:pPr>
          </w:p>
        </w:tc>
        <w:tc>
          <w:tcPr>
            <w:tcW w:w="1275"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烟尘</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二类区</w:t>
            </w: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mg/m</w:t>
            </w:r>
            <w:r>
              <w:rPr>
                <w:color w:val="000000" w:themeColor="text1"/>
                <w:vertAlign w:val="superscript"/>
              </w:rPr>
              <w:t>3</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≤250</w:t>
            </w:r>
          </w:p>
        </w:tc>
        <w:tc>
          <w:tcPr>
            <w:tcW w:w="3118" w:type="dxa"/>
            <w:vMerge w:val="restart"/>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p>
          <w:p>
            <w:pPr>
              <w:pStyle w:val="55"/>
              <w:rPr>
                <w:color w:val="000000" w:themeColor="text1"/>
              </w:rPr>
            </w:pPr>
          </w:p>
          <w:p>
            <w:pPr>
              <w:pStyle w:val="55"/>
              <w:rPr>
                <w:color w:val="000000" w:themeColor="text1"/>
              </w:rPr>
            </w:pPr>
            <w:r>
              <w:rPr>
                <w:rFonts w:hint="eastAsia"/>
                <w:color w:val="000000" w:themeColor="text1"/>
              </w:rPr>
              <w:t>按</w:t>
            </w:r>
            <w:r>
              <w:rPr>
                <w:color w:val="000000" w:themeColor="text1"/>
              </w:rPr>
              <w:t>GB3095</w:t>
            </w:r>
            <w:r>
              <w:rPr>
                <w:rFonts w:hint="eastAsia"/>
                <w:color w:val="000000" w:themeColor="text1"/>
              </w:rPr>
              <w:t>划分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2551" w:type="dxa"/>
            <w:gridSpan w:val="4"/>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一氧化碳</w:t>
            </w: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mg/m</w:t>
            </w:r>
            <w:r>
              <w:rPr>
                <w:color w:val="000000" w:themeColor="text1"/>
                <w:vertAlign w:val="superscript"/>
              </w:rPr>
              <w:t>3</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≤1000</w:t>
            </w:r>
          </w:p>
        </w:tc>
        <w:tc>
          <w:tcPr>
            <w:tcW w:w="311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2551" w:type="dxa"/>
            <w:gridSpan w:val="4"/>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二氧化硫</w:t>
            </w: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mg/m</w:t>
            </w:r>
            <w:r>
              <w:rPr>
                <w:color w:val="000000" w:themeColor="text1"/>
                <w:vertAlign w:val="superscript"/>
              </w:rPr>
              <w:t>3</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≤300</w:t>
            </w:r>
          </w:p>
        </w:tc>
        <w:tc>
          <w:tcPr>
            <w:tcW w:w="311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2551" w:type="dxa"/>
            <w:gridSpan w:val="4"/>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氮氧化物</w:t>
            </w: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mg/m</w:t>
            </w:r>
            <w:r>
              <w:rPr>
                <w:color w:val="000000" w:themeColor="text1"/>
                <w:vertAlign w:val="superscript"/>
              </w:rPr>
              <w:t>3</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≤500</w:t>
            </w:r>
          </w:p>
        </w:tc>
        <w:tc>
          <w:tcPr>
            <w:tcW w:w="311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2551" w:type="dxa"/>
            <w:gridSpan w:val="4"/>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氯化氢</w:t>
            </w: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mg/m</w:t>
            </w:r>
            <w:r>
              <w:rPr>
                <w:color w:val="000000" w:themeColor="text1"/>
                <w:vertAlign w:val="superscript"/>
              </w:rPr>
              <w:t>3</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≤500</w:t>
            </w:r>
          </w:p>
        </w:tc>
        <w:tc>
          <w:tcPr>
            <w:tcW w:w="311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2551" w:type="dxa"/>
            <w:gridSpan w:val="4"/>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氨</w:t>
            </w: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mg/m</w:t>
            </w:r>
            <w:r>
              <w:rPr>
                <w:color w:val="000000" w:themeColor="text1"/>
                <w:vertAlign w:val="superscript"/>
              </w:rPr>
              <w:t>3</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≤70</w:t>
            </w:r>
          </w:p>
        </w:tc>
        <w:tc>
          <w:tcPr>
            <w:tcW w:w="3118"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按</w:t>
            </w:r>
            <w:r>
              <w:rPr>
                <w:color w:val="000000" w:themeColor="text1"/>
              </w:rPr>
              <w:t>GB/T14675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2551" w:type="dxa"/>
            <w:gridSpan w:val="4"/>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臭气浓度</w:t>
            </w: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无纲量</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≤200</w:t>
            </w:r>
          </w:p>
        </w:tc>
        <w:tc>
          <w:tcPr>
            <w:tcW w:w="311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789" w:type="dxa"/>
            <w:gridSpan w:val="9"/>
            <w:tcBorders>
              <w:top w:val="single" w:color="auto" w:sz="4" w:space="0"/>
              <w:left w:val="single" w:color="auto" w:sz="4" w:space="0"/>
              <w:bottom w:val="single" w:color="auto" w:sz="4" w:space="0"/>
              <w:right w:val="single" w:color="auto" w:sz="4" w:space="0"/>
            </w:tcBorders>
            <w:vAlign w:val="center"/>
          </w:tcPr>
          <w:p>
            <w:pPr>
              <w:pStyle w:val="55"/>
              <w:jc w:val="both"/>
              <w:rPr>
                <w:rFonts w:cs="Times New Roman"/>
                <w:color w:val="000000" w:themeColor="text1"/>
              </w:rPr>
            </w:pPr>
            <w:r>
              <w:rPr>
                <w:rFonts w:hint="eastAsia"/>
                <w:color w:val="000000" w:themeColor="text1"/>
              </w:rPr>
              <w:t>注：</w:t>
            </w:r>
          </w:p>
          <w:p>
            <w:pPr>
              <w:pStyle w:val="55"/>
              <w:jc w:val="both"/>
              <w:rPr>
                <w:color w:val="000000" w:themeColor="text1"/>
              </w:rPr>
            </w:pPr>
            <w:r>
              <w:rPr>
                <w:color w:val="000000" w:themeColor="text1"/>
              </w:rPr>
              <w:t>1</w:t>
            </w:r>
            <w:r>
              <w:rPr>
                <w:rFonts w:hint="eastAsia"/>
                <w:color w:val="000000" w:themeColor="text1"/>
              </w:rPr>
              <w:t>、噪声值测量值为距焚烧炉外壁</w:t>
            </w:r>
            <w:r>
              <w:rPr>
                <w:color w:val="000000" w:themeColor="text1"/>
              </w:rPr>
              <w:t>1m</w:t>
            </w:r>
            <w:r>
              <w:rPr>
                <w:rFonts w:hint="eastAsia"/>
                <w:color w:val="000000" w:themeColor="text1"/>
              </w:rPr>
              <w:t>处的最大噪声值。</w:t>
            </w:r>
          </w:p>
          <w:p>
            <w:pPr>
              <w:pStyle w:val="55"/>
              <w:jc w:val="both"/>
              <w:rPr>
                <w:color w:val="000000" w:themeColor="text1"/>
              </w:rPr>
            </w:pPr>
            <w:r>
              <w:rPr>
                <w:color w:val="000000" w:themeColor="text1"/>
              </w:rPr>
              <w:t>2</w:t>
            </w:r>
            <w:r>
              <w:rPr>
                <w:rFonts w:hint="eastAsia"/>
                <w:color w:val="000000" w:themeColor="text1"/>
              </w:rPr>
              <w:t>、本表中污染物浓度是指烟气在温度</w:t>
            </w:r>
            <w:r>
              <w:rPr>
                <w:color w:val="000000" w:themeColor="text1"/>
              </w:rPr>
              <w:t>273.16K</w:t>
            </w:r>
            <w:r>
              <w:rPr>
                <w:rFonts w:hint="eastAsia"/>
                <w:color w:val="000000" w:themeColor="text1"/>
              </w:rPr>
              <w:t>，压强</w:t>
            </w:r>
            <w:r>
              <w:rPr>
                <w:color w:val="000000" w:themeColor="text1"/>
              </w:rPr>
              <w:t>10132.5Pa</w:t>
            </w:r>
            <w:r>
              <w:rPr>
                <w:rFonts w:hint="eastAsia"/>
                <w:color w:val="000000" w:themeColor="text1"/>
              </w:rPr>
              <w:t>时的浓度，计算烟气排放浓度时，均按</w:t>
            </w:r>
            <w:r>
              <w:rPr>
                <w:color w:val="000000" w:themeColor="text1"/>
              </w:rPr>
              <w:t>O</w:t>
            </w:r>
            <w:r>
              <w:rPr>
                <w:color w:val="000000" w:themeColor="text1"/>
                <w:vertAlign w:val="subscript"/>
              </w:rPr>
              <w:t>2</w:t>
            </w:r>
            <w:r>
              <w:rPr>
                <w:rFonts w:hint="eastAsia"/>
                <w:color w:val="000000" w:themeColor="text1"/>
              </w:rPr>
              <w:t>浓度的</w:t>
            </w:r>
            <w:r>
              <w:rPr>
                <w:color w:val="000000" w:themeColor="text1"/>
              </w:rPr>
              <w:t>11%</w:t>
            </w:r>
            <w:r>
              <w:rPr>
                <w:rFonts w:hint="eastAsia"/>
                <w:color w:val="000000" w:themeColor="text1"/>
              </w:rPr>
              <w:t>为参考值换算（相当于过量空气系数</w:t>
            </w:r>
            <w:r>
              <w:rPr>
                <w:color w:val="000000" w:themeColor="text1"/>
              </w:rPr>
              <w:t xml:space="preserve"> </w:t>
            </w:r>
            <w:r>
              <w:rPr>
                <w:rFonts w:hint="eastAsia"/>
                <w:color w:val="000000" w:themeColor="text1"/>
              </w:rPr>
              <w:t>为</w:t>
            </w:r>
            <w:r>
              <w:rPr>
                <w:color w:val="000000" w:themeColor="text1"/>
              </w:rPr>
              <w:t>2.1</w:t>
            </w:r>
            <w:r>
              <w:rPr>
                <w:rFonts w:hint="eastAsia"/>
                <w:color w:val="000000" w:themeColor="text1"/>
              </w:rPr>
              <w:t>）。</w:t>
            </w:r>
          </w:p>
          <w:p>
            <w:pPr>
              <w:pStyle w:val="55"/>
              <w:jc w:val="both"/>
              <w:rPr>
                <w:color w:val="000000" w:themeColor="text1"/>
              </w:rPr>
            </w:pPr>
            <w:r>
              <w:rPr>
                <w:color w:val="000000" w:themeColor="text1"/>
              </w:rPr>
              <w:t>3</w:t>
            </w:r>
            <w:r>
              <w:rPr>
                <w:rFonts w:hint="eastAsia"/>
                <w:color w:val="000000" w:themeColor="text1"/>
              </w:rPr>
              <w:t>、当二氧化碳、氮氧化物、氯化氢、氨等烟气排放超标时，应按用户要求加尾气处理装置使之达标排放。</w:t>
            </w:r>
          </w:p>
        </w:tc>
      </w:tr>
    </w:tbl>
    <w:p>
      <w:pPr>
        <w:pStyle w:val="38"/>
        <w:ind w:firstLine="281"/>
        <w:rPr>
          <w:color w:val="000000" w:themeColor="text1"/>
        </w:rPr>
      </w:pPr>
      <w:bookmarkStart w:id="48" w:name="_Toc47375809"/>
      <w:r>
        <w:rPr>
          <w:rFonts w:hint="eastAsia"/>
          <w:color w:val="000000" w:themeColor="text1"/>
        </w:rPr>
        <w:t>2.6.2生产工艺产污环节分析</w:t>
      </w:r>
      <w:bookmarkEnd w:id="48"/>
    </w:p>
    <w:p>
      <w:pPr>
        <w:ind w:firstLine="482"/>
        <w:rPr>
          <w:b/>
          <w:color w:val="000000" w:themeColor="text1"/>
        </w:rPr>
      </w:pPr>
      <w:r>
        <w:rPr>
          <w:rFonts w:hint="eastAsia"/>
          <w:b/>
          <w:color w:val="000000" w:themeColor="text1"/>
        </w:rPr>
        <w:t>1、生猪屠宰工艺产污环节分析</w:t>
      </w:r>
    </w:p>
    <w:p>
      <w:pPr>
        <w:ind w:firstLine="480"/>
        <w:rPr>
          <w:color w:val="000000" w:themeColor="text1"/>
        </w:rPr>
      </w:pPr>
      <w:r>
        <w:rPr>
          <w:rFonts w:hint="eastAsia"/>
          <w:color w:val="000000" w:themeColor="text1"/>
        </w:rPr>
        <w:t>本项目生猪屠宰工艺产污环节详见表2.6.2-1。</w:t>
      </w:r>
    </w:p>
    <w:p>
      <w:pPr>
        <w:pStyle w:val="54"/>
        <w:rPr>
          <w:color w:val="000000" w:themeColor="text1"/>
        </w:rPr>
      </w:pPr>
      <w:r>
        <w:rPr>
          <w:rFonts w:hint="eastAsia"/>
          <w:color w:val="000000" w:themeColor="text1"/>
        </w:rPr>
        <w:t>表2.6.2-1  生猪屠宰工艺产污环节一览表</w:t>
      </w:r>
    </w:p>
    <w:tbl>
      <w:tblPr>
        <w:tblStyle w:val="42"/>
        <w:tblW w:w="8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602"/>
        <w:gridCol w:w="1700"/>
        <w:gridCol w:w="2518"/>
        <w:gridCol w:w="3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38" w:type="dxa"/>
            <w:gridSpan w:val="2"/>
            <w:vAlign w:val="center"/>
          </w:tcPr>
          <w:p>
            <w:pPr>
              <w:pStyle w:val="55"/>
              <w:rPr>
                <w:b/>
                <w:color w:val="000000" w:themeColor="text1"/>
              </w:rPr>
            </w:pPr>
            <w:r>
              <w:rPr>
                <w:rFonts w:hint="eastAsia"/>
                <w:b/>
                <w:color w:val="000000" w:themeColor="text1"/>
              </w:rPr>
              <w:t>项目</w:t>
            </w:r>
          </w:p>
        </w:tc>
        <w:tc>
          <w:tcPr>
            <w:tcW w:w="1700" w:type="dxa"/>
            <w:vAlign w:val="center"/>
          </w:tcPr>
          <w:p>
            <w:pPr>
              <w:pStyle w:val="55"/>
              <w:rPr>
                <w:b/>
                <w:color w:val="000000" w:themeColor="text1"/>
              </w:rPr>
            </w:pPr>
            <w:r>
              <w:rPr>
                <w:rFonts w:hint="eastAsia"/>
                <w:b/>
                <w:color w:val="000000" w:themeColor="text1"/>
              </w:rPr>
              <w:t>排放源</w:t>
            </w:r>
          </w:p>
        </w:tc>
        <w:tc>
          <w:tcPr>
            <w:tcW w:w="2518" w:type="dxa"/>
            <w:vAlign w:val="center"/>
          </w:tcPr>
          <w:p>
            <w:pPr>
              <w:pStyle w:val="55"/>
              <w:rPr>
                <w:b/>
                <w:color w:val="000000" w:themeColor="text1"/>
              </w:rPr>
            </w:pPr>
            <w:r>
              <w:rPr>
                <w:rFonts w:hint="eastAsia"/>
                <w:b/>
                <w:color w:val="000000" w:themeColor="text1"/>
              </w:rPr>
              <w:t>主要污染物</w:t>
            </w:r>
          </w:p>
        </w:tc>
        <w:tc>
          <w:tcPr>
            <w:tcW w:w="3580" w:type="dxa"/>
            <w:vAlign w:val="center"/>
          </w:tcPr>
          <w:p>
            <w:pPr>
              <w:pStyle w:val="55"/>
              <w:rPr>
                <w:b/>
                <w:color w:val="000000" w:themeColor="text1"/>
              </w:rPr>
            </w:pPr>
            <w:r>
              <w:rPr>
                <w:rFonts w:hint="eastAsia"/>
                <w:b/>
                <w:color w:val="000000" w:themeColor="text1"/>
              </w:rP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36" w:type="dxa"/>
            <w:vMerge w:val="restart"/>
            <w:vAlign w:val="center"/>
          </w:tcPr>
          <w:p>
            <w:pPr>
              <w:pStyle w:val="55"/>
              <w:rPr>
                <w:color w:val="000000" w:themeColor="text1"/>
              </w:rPr>
            </w:pPr>
            <w:r>
              <w:rPr>
                <w:rFonts w:hint="eastAsia"/>
                <w:color w:val="000000" w:themeColor="text1"/>
              </w:rPr>
              <w:t>废气</w:t>
            </w:r>
          </w:p>
        </w:tc>
        <w:tc>
          <w:tcPr>
            <w:tcW w:w="602" w:type="dxa"/>
            <w:vAlign w:val="center"/>
          </w:tcPr>
          <w:p>
            <w:pPr>
              <w:pStyle w:val="55"/>
              <w:rPr>
                <w:color w:val="000000" w:themeColor="text1"/>
              </w:rPr>
            </w:pPr>
            <w:r>
              <w:rPr>
                <w:color w:val="000000" w:themeColor="text1"/>
              </w:rPr>
              <w:t>G1</w:t>
            </w:r>
          </w:p>
        </w:tc>
        <w:tc>
          <w:tcPr>
            <w:tcW w:w="1700" w:type="dxa"/>
            <w:vAlign w:val="center"/>
          </w:tcPr>
          <w:p>
            <w:pPr>
              <w:pStyle w:val="55"/>
              <w:rPr>
                <w:color w:val="000000" w:themeColor="text1"/>
              </w:rPr>
            </w:pPr>
            <w:r>
              <w:rPr>
                <w:rFonts w:hint="eastAsia"/>
                <w:color w:val="000000" w:themeColor="text1"/>
              </w:rPr>
              <w:t>待宰区</w:t>
            </w:r>
          </w:p>
        </w:tc>
        <w:tc>
          <w:tcPr>
            <w:tcW w:w="2518" w:type="dxa"/>
            <w:vAlign w:val="center"/>
          </w:tcPr>
          <w:p>
            <w:pPr>
              <w:pStyle w:val="55"/>
              <w:rPr>
                <w:color w:val="000000" w:themeColor="text1"/>
              </w:rPr>
            </w:pPr>
            <w:r>
              <w:rPr>
                <w:rFonts w:hint="eastAsia"/>
                <w:color w:val="000000" w:themeColor="text1"/>
              </w:rPr>
              <w:t>恶臭（</w:t>
            </w:r>
            <w:r>
              <w:rPr>
                <w:color w:val="000000" w:themeColor="text1"/>
              </w:rPr>
              <w:t>NH</w:t>
            </w:r>
            <w:r>
              <w:rPr>
                <w:color w:val="000000" w:themeColor="text1"/>
                <w:vertAlign w:val="subscript"/>
              </w:rPr>
              <w:t>3</w:t>
            </w:r>
            <w:r>
              <w:rPr>
                <w:rFonts w:hint="eastAsia"/>
                <w:color w:val="000000" w:themeColor="text1"/>
              </w:rPr>
              <w:t>、</w:t>
            </w:r>
            <w:r>
              <w:rPr>
                <w:color w:val="000000" w:themeColor="text1"/>
              </w:rPr>
              <w:t>H</w:t>
            </w:r>
            <w:r>
              <w:rPr>
                <w:color w:val="000000" w:themeColor="text1"/>
                <w:vertAlign w:val="subscript"/>
              </w:rPr>
              <w:t>2</w:t>
            </w:r>
            <w:r>
              <w:rPr>
                <w:color w:val="000000" w:themeColor="text1"/>
              </w:rPr>
              <w:t>S</w:t>
            </w:r>
            <w:r>
              <w:rPr>
                <w:rFonts w:hint="eastAsia"/>
                <w:color w:val="000000" w:themeColor="text1"/>
              </w:rPr>
              <w:t>）</w:t>
            </w:r>
          </w:p>
        </w:tc>
        <w:tc>
          <w:tcPr>
            <w:tcW w:w="3580" w:type="dxa"/>
            <w:vMerge w:val="restart"/>
            <w:vAlign w:val="center"/>
          </w:tcPr>
          <w:p>
            <w:pPr>
              <w:pStyle w:val="55"/>
              <w:rPr>
                <w:color w:val="000000" w:themeColor="text1"/>
              </w:rPr>
            </w:pPr>
            <w:r>
              <w:rPr>
                <w:rFonts w:hint="eastAsia"/>
                <w:color w:val="000000" w:themeColor="text1"/>
              </w:rPr>
              <w:t>封闭待宰和屠宰车间，定期清扫并喷洒生物除臭剂，周边设置绿化隔离带等措施除臭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36" w:type="dxa"/>
            <w:vMerge w:val="continue"/>
            <w:vAlign w:val="center"/>
          </w:tcPr>
          <w:p>
            <w:pPr>
              <w:pStyle w:val="55"/>
              <w:rPr>
                <w:color w:val="000000" w:themeColor="text1"/>
              </w:rPr>
            </w:pPr>
          </w:p>
        </w:tc>
        <w:tc>
          <w:tcPr>
            <w:tcW w:w="602" w:type="dxa"/>
            <w:vAlign w:val="center"/>
          </w:tcPr>
          <w:p>
            <w:pPr>
              <w:pStyle w:val="55"/>
              <w:rPr>
                <w:color w:val="000000" w:themeColor="text1"/>
              </w:rPr>
            </w:pPr>
            <w:r>
              <w:rPr>
                <w:color w:val="000000" w:themeColor="text1"/>
              </w:rPr>
              <w:t>G</w:t>
            </w:r>
            <w:r>
              <w:rPr>
                <w:rFonts w:hint="eastAsia"/>
                <w:color w:val="000000" w:themeColor="text1"/>
              </w:rPr>
              <w:t>2</w:t>
            </w:r>
          </w:p>
        </w:tc>
        <w:tc>
          <w:tcPr>
            <w:tcW w:w="1700" w:type="dxa"/>
            <w:vAlign w:val="center"/>
          </w:tcPr>
          <w:p>
            <w:pPr>
              <w:pStyle w:val="55"/>
              <w:rPr>
                <w:color w:val="000000" w:themeColor="text1"/>
              </w:rPr>
            </w:pPr>
            <w:r>
              <w:rPr>
                <w:rFonts w:hint="eastAsia"/>
                <w:color w:val="000000" w:themeColor="text1"/>
              </w:rPr>
              <w:t>屠宰车间</w:t>
            </w:r>
          </w:p>
        </w:tc>
        <w:tc>
          <w:tcPr>
            <w:tcW w:w="2518" w:type="dxa"/>
            <w:vAlign w:val="center"/>
          </w:tcPr>
          <w:p>
            <w:pPr>
              <w:pStyle w:val="55"/>
              <w:rPr>
                <w:color w:val="000000" w:themeColor="text1"/>
              </w:rPr>
            </w:pPr>
            <w:r>
              <w:rPr>
                <w:rFonts w:hint="eastAsia"/>
                <w:color w:val="000000" w:themeColor="text1"/>
              </w:rPr>
              <w:t>恶臭（</w:t>
            </w:r>
            <w:r>
              <w:rPr>
                <w:color w:val="000000" w:themeColor="text1"/>
              </w:rPr>
              <w:t>NH</w:t>
            </w:r>
            <w:r>
              <w:rPr>
                <w:color w:val="000000" w:themeColor="text1"/>
                <w:vertAlign w:val="subscript"/>
              </w:rPr>
              <w:t>3</w:t>
            </w:r>
            <w:r>
              <w:rPr>
                <w:rFonts w:hint="eastAsia"/>
                <w:color w:val="000000" w:themeColor="text1"/>
              </w:rPr>
              <w:t>、</w:t>
            </w:r>
            <w:r>
              <w:rPr>
                <w:color w:val="000000" w:themeColor="text1"/>
              </w:rPr>
              <w:t>H</w:t>
            </w:r>
            <w:r>
              <w:rPr>
                <w:color w:val="000000" w:themeColor="text1"/>
                <w:vertAlign w:val="subscript"/>
              </w:rPr>
              <w:t>2</w:t>
            </w:r>
            <w:r>
              <w:rPr>
                <w:color w:val="000000" w:themeColor="text1"/>
              </w:rPr>
              <w:t>S</w:t>
            </w:r>
            <w:r>
              <w:rPr>
                <w:rFonts w:hint="eastAsia"/>
                <w:color w:val="000000" w:themeColor="text1"/>
              </w:rPr>
              <w:t>）</w:t>
            </w:r>
          </w:p>
        </w:tc>
        <w:tc>
          <w:tcPr>
            <w:tcW w:w="3580" w:type="dxa"/>
            <w:vMerge w:val="continue"/>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36" w:type="dxa"/>
            <w:vMerge w:val="continue"/>
            <w:vAlign w:val="center"/>
          </w:tcPr>
          <w:p>
            <w:pPr>
              <w:pStyle w:val="55"/>
              <w:rPr>
                <w:color w:val="000000" w:themeColor="text1"/>
              </w:rPr>
            </w:pPr>
          </w:p>
        </w:tc>
        <w:tc>
          <w:tcPr>
            <w:tcW w:w="602" w:type="dxa"/>
            <w:vAlign w:val="center"/>
          </w:tcPr>
          <w:p>
            <w:pPr>
              <w:pStyle w:val="55"/>
              <w:rPr>
                <w:color w:val="000000" w:themeColor="text1"/>
              </w:rPr>
            </w:pPr>
            <w:r>
              <w:rPr>
                <w:color w:val="000000" w:themeColor="text1"/>
              </w:rPr>
              <w:t>G</w:t>
            </w:r>
            <w:r>
              <w:rPr>
                <w:rFonts w:hint="eastAsia"/>
                <w:color w:val="000000" w:themeColor="text1"/>
              </w:rPr>
              <w:t>3</w:t>
            </w:r>
          </w:p>
        </w:tc>
        <w:tc>
          <w:tcPr>
            <w:tcW w:w="1700" w:type="dxa"/>
            <w:vAlign w:val="center"/>
          </w:tcPr>
          <w:p>
            <w:pPr>
              <w:pStyle w:val="55"/>
              <w:rPr>
                <w:color w:val="000000" w:themeColor="text1"/>
              </w:rPr>
            </w:pPr>
            <w:r>
              <w:rPr>
                <w:rFonts w:hint="eastAsia"/>
                <w:color w:val="000000" w:themeColor="text1"/>
              </w:rPr>
              <w:t>生物质锅炉</w:t>
            </w:r>
          </w:p>
        </w:tc>
        <w:tc>
          <w:tcPr>
            <w:tcW w:w="2518" w:type="dxa"/>
            <w:vAlign w:val="center"/>
          </w:tcPr>
          <w:p>
            <w:pPr>
              <w:pStyle w:val="55"/>
              <w:rPr>
                <w:color w:val="000000" w:themeColor="text1"/>
              </w:rPr>
            </w:pPr>
            <w:r>
              <w:rPr>
                <w:rFonts w:hint="eastAsia"/>
                <w:color w:val="000000" w:themeColor="text1"/>
              </w:rPr>
              <w:t>燃料废气（颗粒物、</w:t>
            </w:r>
            <w:r>
              <w:rPr>
                <w:color w:val="000000" w:themeColor="text1"/>
              </w:rPr>
              <w:t>SO</w:t>
            </w:r>
            <w:r>
              <w:rPr>
                <w:color w:val="000000" w:themeColor="text1"/>
                <w:vertAlign w:val="subscript"/>
              </w:rPr>
              <w:t>2</w:t>
            </w:r>
            <w:r>
              <w:rPr>
                <w:rFonts w:hint="eastAsia"/>
                <w:color w:val="000000" w:themeColor="text1"/>
              </w:rPr>
              <w:t>和</w:t>
            </w:r>
            <w:r>
              <w:rPr>
                <w:color w:val="000000" w:themeColor="text1"/>
              </w:rPr>
              <w:t>NOx</w:t>
            </w:r>
            <w:r>
              <w:rPr>
                <w:rFonts w:hint="eastAsia"/>
                <w:color w:val="000000" w:themeColor="text1"/>
              </w:rPr>
              <w:t>）</w:t>
            </w:r>
          </w:p>
        </w:tc>
        <w:tc>
          <w:tcPr>
            <w:tcW w:w="3580" w:type="dxa"/>
            <w:vAlign w:val="center"/>
          </w:tcPr>
          <w:p>
            <w:pPr>
              <w:pStyle w:val="55"/>
              <w:rPr>
                <w:color w:val="000000" w:themeColor="text1"/>
              </w:rPr>
            </w:pPr>
            <w:r>
              <w:rPr>
                <w:rFonts w:hint="eastAsia"/>
                <w:color w:val="000000" w:themeColor="text1"/>
              </w:rPr>
              <w:t>经水膜除尘设施处理后通过</w:t>
            </w:r>
            <w:r>
              <w:rPr>
                <w:color w:val="000000" w:themeColor="text1"/>
              </w:rPr>
              <w:t>15m</w:t>
            </w:r>
            <w:r>
              <w:rPr>
                <w:rFonts w:hint="eastAsia"/>
                <w:color w:val="000000" w:themeColor="text1"/>
              </w:rPr>
              <w:t>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36" w:type="dxa"/>
            <w:vMerge w:val="continue"/>
            <w:vAlign w:val="center"/>
          </w:tcPr>
          <w:p>
            <w:pPr>
              <w:pStyle w:val="55"/>
              <w:rPr>
                <w:color w:val="000000" w:themeColor="text1"/>
              </w:rPr>
            </w:pPr>
          </w:p>
        </w:tc>
        <w:tc>
          <w:tcPr>
            <w:tcW w:w="602" w:type="dxa"/>
            <w:vAlign w:val="center"/>
          </w:tcPr>
          <w:p>
            <w:pPr>
              <w:pStyle w:val="55"/>
              <w:rPr>
                <w:color w:val="000000" w:themeColor="text1"/>
              </w:rPr>
            </w:pPr>
            <w:r>
              <w:rPr>
                <w:color w:val="000000" w:themeColor="text1"/>
              </w:rPr>
              <w:t>G</w:t>
            </w:r>
            <w:r>
              <w:rPr>
                <w:rFonts w:hint="eastAsia"/>
                <w:color w:val="000000" w:themeColor="text1"/>
              </w:rPr>
              <w:t>4</w:t>
            </w:r>
          </w:p>
        </w:tc>
        <w:tc>
          <w:tcPr>
            <w:tcW w:w="1700" w:type="dxa"/>
            <w:vAlign w:val="center"/>
          </w:tcPr>
          <w:p>
            <w:pPr>
              <w:pStyle w:val="55"/>
              <w:rPr>
                <w:color w:val="000000" w:themeColor="text1"/>
              </w:rPr>
            </w:pPr>
            <w:r>
              <w:rPr>
                <w:color w:val="000000" w:themeColor="text1"/>
              </w:rPr>
              <w:t>焚烧炉</w:t>
            </w:r>
          </w:p>
        </w:tc>
        <w:tc>
          <w:tcPr>
            <w:tcW w:w="2518" w:type="dxa"/>
            <w:vAlign w:val="center"/>
          </w:tcPr>
          <w:p>
            <w:pPr>
              <w:pStyle w:val="55"/>
              <w:rPr>
                <w:color w:val="000000" w:themeColor="text1"/>
              </w:rPr>
            </w:pPr>
            <w:r>
              <w:rPr>
                <w:color w:val="000000" w:themeColor="text1"/>
              </w:rPr>
              <w:t>焚烧尾气</w:t>
            </w:r>
            <w:r>
              <w:rPr>
                <w:rFonts w:hint="eastAsia"/>
                <w:color w:val="000000" w:themeColor="text1"/>
              </w:rPr>
              <w:t>（颗粒物、</w:t>
            </w:r>
            <w:r>
              <w:rPr>
                <w:color w:val="000000" w:themeColor="text1"/>
              </w:rPr>
              <w:t>SO</w:t>
            </w:r>
            <w:r>
              <w:rPr>
                <w:color w:val="000000" w:themeColor="text1"/>
                <w:vertAlign w:val="subscript"/>
              </w:rPr>
              <w:t>2</w:t>
            </w:r>
            <w:r>
              <w:rPr>
                <w:rFonts w:hint="eastAsia"/>
                <w:color w:val="000000" w:themeColor="text1"/>
              </w:rPr>
              <w:t>、</w:t>
            </w:r>
            <w:r>
              <w:rPr>
                <w:color w:val="000000" w:themeColor="text1"/>
              </w:rPr>
              <w:t>NOx和</w:t>
            </w:r>
            <w:r>
              <w:rPr>
                <w:rFonts w:hint="eastAsia"/>
                <w:color w:val="000000" w:themeColor="text1"/>
              </w:rPr>
              <w:t>CO）</w:t>
            </w:r>
          </w:p>
        </w:tc>
        <w:tc>
          <w:tcPr>
            <w:tcW w:w="3580" w:type="dxa"/>
            <w:vAlign w:val="center"/>
          </w:tcPr>
          <w:p>
            <w:pPr>
              <w:pStyle w:val="55"/>
              <w:rPr>
                <w:color w:val="000000" w:themeColor="text1"/>
              </w:rPr>
            </w:pPr>
            <w:r>
              <w:rPr>
                <w:rFonts w:hint="eastAsia"/>
                <w:color w:val="000000" w:themeColor="text1"/>
              </w:rPr>
              <w:t>经布袋除尘设施处理后通过2</w:t>
            </w:r>
            <w:r>
              <w:rPr>
                <w:color w:val="000000" w:themeColor="text1"/>
              </w:rPr>
              <w:t>5m</w:t>
            </w:r>
            <w:r>
              <w:rPr>
                <w:rFonts w:hint="eastAsia"/>
                <w:color w:val="000000" w:themeColor="text1"/>
              </w:rPr>
              <w:t>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36" w:type="dxa"/>
            <w:vMerge w:val="restart"/>
            <w:vAlign w:val="center"/>
          </w:tcPr>
          <w:p>
            <w:pPr>
              <w:pStyle w:val="55"/>
              <w:rPr>
                <w:color w:val="000000" w:themeColor="text1"/>
              </w:rPr>
            </w:pPr>
            <w:r>
              <w:rPr>
                <w:rFonts w:hint="eastAsia"/>
                <w:color w:val="000000" w:themeColor="text1"/>
              </w:rPr>
              <w:t>废水</w:t>
            </w:r>
          </w:p>
        </w:tc>
        <w:tc>
          <w:tcPr>
            <w:tcW w:w="602" w:type="dxa"/>
            <w:vAlign w:val="center"/>
          </w:tcPr>
          <w:p>
            <w:pPr>
              <w:pStyle w:val="55"/>
              <w:rPr>
                <w:color w:val="000000" w:themeColor="text1"/>
              </w:rPr>
            </w:pPr>
            <w:r>
              <w:rPr>
                <w:color w:val="000000" w:themeColor="text1"/>
              </w:rPr>
              <w:t>W1</w:t>
            </w:r>
          </w:p>
        </w:tc>
        <w:tc>
          <w:tcPr>
            <w:tcW w:w="1700" w:type="dxa"/>
            <w:vAlign w:val="center"/>
          </w:tcPr>
          <w:p>
            <w:pPr>
              <w:pStyle w:val="55"/>
              <w:rPr>
                <w:color w:val="000000" w:themeColor="text1"/>
              </w:rPr>
            </w:pPr>
            <w:r>
              <w:rPr>
                <w:rFonts w:hint="eastAsia"/>
                <w:color w:val="000000" w:themeColor="text1"/>
              </w:rPr>
              <w:t>待宰区</w:t>
            </w:r>
          </w:p>
        </w:tc>
        <w:tc>
          <w:tcPr>
            <w:tcW w:w="2518" w:type="dxa"/>
            <w:vAlign w:val="center"/>
          </w:tcPr>
          <w:p>
            <w:pPr>
              <w:pStyle w:val="55"/>
              <w:rPr>
                <w:color w:val="000000" w:themeColor="text1"/>
              </w:rPr>
            </w:pPr>
            <w:r>
              <w:rPr>
                <w:rFonts w:hint="eastAsia"/>
                <w:color w:val="000000" w:themeColor="text1"/>
              </w:rPr>
              <w:t>猪尿、待宰间冲洗水</w:t>
            </w:r>
          </w:p>
        </w:tc>
        <w:tc>
          <w:tcPr>
            <w:tcW w:w="3580" w:type="dxa"/>
            <w:vMerge w:val="restart"/>
            <w:vAlign w:val="center"/>
          </w:tcPr>
          <w:p>
            <w:pPr>
              <w:pStyle w:val="55"/>
              <w:rPr>
                <w:color w:val="000000" w:themeColor="text1"/>
              </w:rPr>
            </w:pPr>
            <w:r>
              <w:rPr>
                <w:rFonts w:hint="eastAsia"/>
                <w:color w:val="000000" w:themeColor="text1"/>
              </w:rPr>
              <w:t>收集后进入污水处理站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36" w:type="dxa"/>
            <w:vMerge w:val="continue"/>
            <w:vAlign w:val="center"/>
          </w:tcPr>
          <w:p>
            <w:pPr>
              <w:pStyle w:val="55"/>
              <w:rPr>
                <w:color w:val="000000" w:themeColor="text1"/>
              </w:rPr>
            </w:pPr>
          </w:p>
        </w:tc>
        <w:tc>
          <w:tcPr>
            <w:tcW w:w="602" w:type="dxa"/>
            <w:vAlign w:val="center"/>
          </w:tcPr>
          <w:p>
            <w:pPr>
              <w:pStyle w:val="55"/>
              <w:rPr>
                <w:color w:val="000000" w:themeColor="text1"/>
              </w:rPr>
            </w:pPr>
            <w:r>
              <w:rPr>
                <w:color w:val="000000" w:themeColor="text1"/>
              </w:rPr>
              <w:t>W2</w:t>
            </w:r>
          </w:p>
        </w:tc>
        <w:tc>
          <w:tcPr>
            <w:tcW w:w="1700" w:type="dxa"/>
            <w:vAlign w:val="center"/>
          </w:tcPr>
          <w:p>
            <w:pPr>
              <w:pStyle w:val="55"/>
              <w:rPr>
                <w:color w:val="000000" w:themeColor="text1"/>
              </w:rPr>
            </w:pPr>
            <w:r>
              <w:rPr>
                <w:rFonts w:hint="eastAsia"/>
                <w:color w:val="000000" w:themeColor="text1"/>
              </w:rPr>
              <w:t>屠宰车间</w:t>
            </w:r>
          </w:p>
        </w:tc>
        <w:tc>
          <w:tcPr>
            <w:tcW w:w="2518" w:type="dxa"/>
            <w:vAlign w:val="center"/>
          </w:tcPr>
          <w:p>
            <w:pPr>
              <w:pStyle w:val="55"/>
              <w:rPr>
                <w:color w:val="000000" w:themeColor="text1"/>
              </w:rPr>
            </w:pPr>
            <w:r>
              <w:rPr>
                <w:rFonts w:hint="eastAsia"/>
                <w:color w:val="000000" w:themeColor="text1"/>
              </w:rPr>
              <w:t>喷淋水、冲洗水、地面清洗水、设备清洗等</w:t>
            </w:r>
          </w:p>
        </w:tc>
        <w:tc>
          <w:tcPr>
            <w:tcW w:w="3580" w:type="dxa"/>
            <w:vMerge w:val="continue"/>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36" w:type="dxa"/>
            <w:vMerge w:val="restart"/>
            <w:vAlign w:val="center"/>
          </w:tcPr>
          <w:p>
            <w:pPr>
              <w:pStyle w:val="55"/>
              <w:rPr>
                <w:color w:val="000000" w:themeColor="text1"/>
              </w:rPr>
            </w:pPr>
            <w:r>
              <w:rPr>
                <w:rFonts w:hint="eastAsia"/>
                <w:color w:val="000000" w:themeColor="text1"/>
              </w:rPr>
              <w:t>噪声</w:t>
            </w:r>
          </w:p>
        </w:tc>
        <w:tc>
          <w:tcPr>
            <w:tcW w:w="602" w:type="dxa"/>
            <w:vAlign w:val="center"/>
          </w:tcPr>
          <w:p>
            <w:pPr>
              <w:pStyle w:val="55"/>
              <w:rPr>
                <w:color w:val="000000" w:themeColor="text1"/>
              </w:rPr>
            </w:pPr>
            <w:r>
              <w:rPr>
                <w:color w:val="000000" w:themeColor="text1"/>
              </w:rPr>
              <w:t>N1</w:t>
            </w:r>
          </w:p>
        </w:tc>
        <w:tc>
          <w:tcPr>
            <w:tcW w:w="1700" w:type="dxa"/>
            <w:vAlign w:val="center"/>
          </w:tcPr>
          <w:p>
            <w:pPr>
              <w:pStyle w:val="55"/>
              <w:rPr>
                <w:color w:val="000000" w:themeColor="text1"/>
              </w:rPr>
            </w:pPr>
            <w:r>
              <w:rPr>
                <w:color w:val="000000" w:themeColor="text1"/>
              </w:rPr>
              <w:t>生猪检疫</w:t>
            </w:r>
          </w:p>
        </w:tc>
        <w:tc>
          <w:tcPr>
            <w:tcW w:w="2518" w:type="dxa"/>
            <w:vAlign w:val="center"/>
          </w:tcPr>
          <w:p>
            <w:pPr>
              <w:pStyle w:val="55"/>
              <w:rPr>
                <w:color w:val="000000" w:themeColor="text1"/>
              </w:rPr>
            </w:pPr>
            <w:r>
              <w:rPr>
                <w:rFonts w:hint="eastAsia"/>
                <w:color w:val="000000" w:themeColor="text1"/>
              </w:rPr>
              <w:t>猪叫声</w:t>
            </w:r>
          </w:p>
        </w:tc>
        <w:tc>
          <w:tcPr>
            <w:tcW w:w="3580" w:type="dxa"/>
            <w:vAlign w:val="center"/>
          </w:tcPr>
          <w:p>
            <w:pPr>
              <w:pStyle w:val="55"/>
              <w:rPr>
                <w:color w:val="000000" w:themeColor="text1"/>
              </w:rPr>
            </w:pPr>
            <w:r>
              <w:rPr>
                <w:color w:val="000000" w:themeColor="text1"/>
              </w:rPr>
              <w:t>自然衰减、绿化吸收等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36" w:type="dxa"/>
            <w:vMerge w:val="continue"/>
            <w:vAlign w:val="center"/>
          </w:tcPr>
          <w:p>
            <w:pPr>
              <w:pStyle w:val="55"/>
              <w:rPr>
                <w:color w:val="000000" w:themeColor="text1"/>
              </w:rPr>
            </w:pPr>
          </w:p>
        </w:tc>
        <w:tc>
          <w:tcPr>
            <w:tcW w:w="602" w:type="dxa"/>
            <w:vAlign w:val="center"/>
          </w:tcPr>
          <w:p>
            <w:pPr>
              <w:pStyle w:val="55"/>
              <w:rPr>
                <w:color w:val="000000" w:themeColor="text1"/>
              </w:rPr>
            </w:pPr>
            <w:r>
              <w:rPr>
                <w:color w:val="000000" w:themeColor="text1"/>
              </w:rPr>
              <w:t>N</w:t>
            </w:r>
            <w:r>
              <w:rPr>
                <w:rFonts w:hint="eastAsia"/>
                <w:color w:val="000000" w:themeColor="text1"/>
              </w:rPr>
              <w:t>2</w:t>
            </w:r>
          </w:p>
        </w:tc>
        <w:tc>
          <w:tcPr>
            <w:tcW w:w="1700" w:type="dxa"/>
            <w:vAlign w:val="center"/>
          </w:tcPr>
          <w:p>
            <w:pPr>
              <w:pStyle w:val="55"/>
              <w:rPr>
                <w:color w:val="000000" w:themeColor="text1"/>
              </w:rPr>
            </w:pPr>
            <w:r>
              <w:rPr>
                <w:rFonts w:hint="eastAsia"/>
                <w:color w:val="000000" w:themeColor="text1"/>
              </w:rPr>
              <w:t>待宰区</w:t>
            </w:r>
          </w:p>
        </w:tc>
        <w:tc>
          <w:tcPr>
            <w:tcW w:w="2518" w:type="dxa"/>
            <w:vAlign w:val="center"/>
          </w:tcPr>
          <w:p>
            <w:pPr>
              <w:pStyle w:val="55"/>
              <w:rPr>
                <w:color w:val="000000" w:themeColor="text1"/>
              </w:rPr>
            </w:pPr>
            <w:r>
              <w:rPr>
                <w:rFonts w:hint="eastAsia"/>
                <w:color w:val="000000" w:themeColor="text1"/>
              </w:rPr>
              <w:t>通风装置，猪叫声等</w:t>
            </w:r>
          </w:p>
        </w:tc>
        <w:tc>
          <w:tcPr>
            <w:tcW w:w="3580" w:type="dxa"/>
            <w:vAlign w:val="center"/>
          </w:tcPr>
          <w:p>
            <w:pPr>
              <w:pStyle w:val="55"/>
              <w:rPr>
                <w:color w:val="000000" w:themeColor="text1"/>
              </w:rPr>
            </w:pPr>
            <w:r>
              <w:rPr>
                <w:rFonts w:hint="eastAsia"/>
                <w:color w:val="000000" w:themeColor="text1"/>
              </w:rPr>
              <w:t>基础减振、绿化吸收等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36" w:type="dxa"/>
            <w:vMerge w:val="continue"/>
            <w:vAlign w:val="center"/>
          </w:tcPr>
          <w:p>
            <w:pPr>
              <w:pStyle w:val="55"/>
              <w:rPr>
                <w:color w:val="000000" w:themeColor="text1"/>
              </w:rPr>
            </w:pPr>
          </w:p>
        </w:tc>
        <w:tc>
          <w:tcPr>
            <w:tcW w:w="602" w:type="dxa"/>
            <w:vAlign w:val="center"/>
          </w:tcPr>
          <w:p>
            <w:pPr>
              <w:pStyle w:val="55"/>
              <w:rPr>
                <w:color w:val="000000" w:themeColor="text1"/>
              </w:rPr>
            </w:pPr>
            <w:r>
              <w:rPr>
                <w:color w:val="000000" w:themeColor="text1"/>
              </w:rPr>
              <w:t>N</w:t>
            </w:r>
            <w:r>
              <w:rPr>
                <w:rFonts w:hint="eastAsia"/>
                <w:color w:val="000000" w:themeColor="text1"/>
              </w:rPr>
              <w:t>3</w:t>
            </w:r>
          </w:p>
        </w:tc>
        <w:tc>
          <w:tcPr>
            <w:tcW w:w="1700" w:type="dxa"/>
            <w:vAlign w:val="center"/>
          </w:tcPr>
          <w:p>
            <w:pPr>
              <w:pStyle w:val="55"/>
              <w:rPr>
                <w:color w:val="000000" w:themeColor="text1"/>
              </w:rPr>
            </w:pPr>
            <w:r>
              <w:rPr>
                <w:rFonts w:hint="eastAsia"/>
                <w:color w:val="000000" w:themeColor="text1"/>
              </w:rPr>
              <w:t>屠宰车间</w:t>
            </w:r>
          </w:p>
        </w:tc>
        <w:tc>
          <w:tcPr>
            <w:tcW w:w="2518" w:type="dxa"/>
            <w:vAlign w:val="center"/>
          </w:tcPr>
          <w:p>
            <w:pPr>
              <w:pStyle w:val="55"/>
              <w:rPr>
                <w:color w:val="000000" w:themeColor="text1"/>
              </w:rPr>
            </w:pPr>
            <w:r>
              <w:rPr>
                <w:rFonts w:hint="eastAsia"/>
                <w:color w:val="000000" w:themeColor="text1"/>
              </w:rPr>
              <w:t>设备</w:t>
            </w:r>
          </w:p>
        </w:tc>
        <w:tc>
          <w:tcPr>
            <w:tcW w:w="3580" w:type="dxa"/>
            <w:vAlign w:val="center"/>
          </w:tcPr>
          <w:p>
            <w:pPr>
              <w:pStyle w:val="55"/>
              <w:rPr>
                <w:color w:val="000000" w:themeColor="text1"/>
              </w:rPr>
            </w:pPr>
            <w:r>
              <w:rPr>
                <w:rFonts w:hint="eastAsia"/>
                <w:color w:val="000000" w:themeColor="text1"/>
              </w:rPr>
              <w:t>低噪声设备、减振、隔声、绿化吸收等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36" w:type="dxa"/>
            <w:vMerge w:val="continue"/>
            <w:vAlign w:val="center"/>
          </w:tcPr>
          <w:p>
            <w:pPr>
              <w:pStyle w:val="55"/>
              <w:rPr>
                <w:color w:val="000000" w:themeColor="text1"/>
              </w:rPr>
            </w:pPr>
          </w:p>
        </w:tc>
        <w:tc>
          <w:tcPr>
            <w:tcW w:w="602" w:type="dxa"/>
            <w:vAlign w:val="center"/>
          </w:tcPr>
          <w:p>
            <w:pPr>
              <w:pStyle w:val="55"/>
              <w:rPr>
                <w:color w:val="000000" w:themeColor="text1"/>
              </w:rPr>
            </w:pPr>
            <w:r>
              <w:rPr>
                <w:color w:val="000000" w:themeColor="text1"/>
              </w:rPr>
              <w:t>N</w:t>
            </w:r>
            <w:r>
              <w:rPr>
                <w:rFonts w:hint="eastAsia"/>
                <w:color w:val="000000" w:themeColor="text1"/>
              </w:rPr>
              <w:t>5</w:t>
            </w:r>
          </w:p>
        </w:tc>
        <w:tc>
          <w:tcPr>
            <w:tcW w:w="1700" w:type="dxa"/>
            <w:vAlign w:val="center"/>
          </w:tcPr>
          <w:p>
            <w:pPr>
              <w:pStyle w:val="55"/>
              <w:rPr>
                <w:color w:val="000000" w:themeColor="text1"/>
              </w:rPr>
            </w:pPr>
            <w:r>
              <w:rPr>
                <w:rFonts w:hint="eastAsia"/>
                <w:color w:val="000000" w:themeColor="text1"/>
              </w:rPr>
              <w:t>生物质锅炉</w:t>
            </w:r>
          </w:p>
        </w:tc>
        <w:tc>
          <w:tcPr>
            <w:tcW w:w="2518" w:type="dxa"/>
            <w:vAlign w:val="center"/>
          </w:tcPr>
          <w:p>
            <w:pPr>
              <w:pStyle w:val="55"/>
              <w:rPr>
                <w:color w:val="000000" w:themeColor="text1"/>
              </w:rPr>
            </w:pPr>
            <w:r>
              <w:rPr>
                <w:rFonts w:hint="eastAsia"/>
                <w:color w:val="000000" w:themeColor="text1"/>
              </w:rPr>
              <w:t>锅炉</w:t>
            </w:r>
          </w:p>
        </w:tc>
        <w:tc>
          <w:tcPr>
            <w:tcW w:w="3580" w:type="dxa"/>
            <w:vAlign w:val="center"/>
          </w:tcPr>
          <w:p>
            <w:pPr>
              <w:pStyle w:val="55"/>
              <w:rPr>
                <w:color w:val="000000" w:themeColor="text1"/>
              </w:rPr>
            </w:pPr>
            <w:r>
              <w:rPr>
                <w:rFonts w:hint="eastAsia"/>
                <w:color w:val="000000" w:themeColor="text1"/>
              </w:rPr>
              <w:t>隔声、基础减振、绿化吸收等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36" w:type="dxa"/>
            <w:vMerge w:val="restart"/>
            <w:vAlign w:val="center"/>
          </w:tcPr>
          <w:p>
            <w:pPr>
              <w:pStyle w:val="55"/>
              <w:rPr>
                <w:color w:val="000000" w:themeColor="text1"/>
              </w:rPr>
            </w:pPr>
            <w:r>
              <w:rPr>
                <w:rFonts w:hint="eastAsia"/>
                <w:color w:val="000000" w:themeColor="text1"/>
              </w:rPr>
              <w:t>固废</w:t>
            </w:r>
          </w:p>
        </w:tc>
        <w:tc>
          <w:tcPr>
            <w:tcW w:w="602" w:type="dxa"/>
            <w:vAlign w:val="center"/>
          </w:tcPr>
          <w:p>
            <w:pPr>
              <w:pStyle w:val="55"/>
              <w:rPr>
                <w:color w:val="000000" w:themeColor="text1"/>
              </w:rPr>
            </w:pPr>
            <w:r>
              <w:rPr>
                <w:color w:val="000000" w:themeColor="text1"/>
              </w:rPr>
              <w:t>S1</w:t>
            </w:r>
          </w:p>
        </w:tc>
        <w:tc>
          <w:tcPr>
            <w:tcW w:w="1700" w:type="dxa"/>
            <w:vAlign w:val="center"/>
          </w:tcPr>
          <w:p>
            <w:pPr>
              <w:pStyle w:val="55"/>
              <w:rPr>
                <w:color w:val="000000" w:themeColor="text1"/>
              </w:rPr>
            </w:pPr>
            <w:r>
              <w:rPr>
                <w:rFonts w:hint="eastAsia"/>
                <w:color w:val="000000" w:themeColor="text1"/>
              </w:rPr>
              <w:t>检疫</w:t>
            </w:r>
          </w:p>
        </w:tc>
        <w:tc>
          <w:tcPr>
            <w:tcW w:w="2518" w:type="dxa"/>
            <w:vAlign w:val="center"/>
          </w:tcPr>
          <w:p>
            <w:pPr>
              <w:pStyle w:val="55"/>
              <w:rPr>
                <w:color w:val="000000" w:themeColor="text1"/>
              </w:rPr>
            </w:pPr>
            <w:r>
              <w:rPr>
                <w:rFonts w:hint="eastAsia"/>
                <w:color w:val="000000" w:themeColor="text1"/>
              </w:rPr>
              <w:t>病死猪</w:t>
            </w:r>
          </w:p>
        </w:tc>
        <w:tc>
          <w:tcPr>
            <w:tcW w:w="3580" w:type="dxa"/>
            <w:vAlign w:val="center"/>
          </w:tcPr>
          <w:p>
            <w:pPr>
              <w:pStyle w:val="55"/>
              <w:rPr>
                <w:color w:val="000000" w:themeColor="text1"/>
              </w:rPr>
            </w:pPr>
            <w:r>
              <w:rPr>
                <w:rFonts w:hint="eastAsia"/>
                <w:color w:val="000000" w:themeColor="text1"/>
              </w:rPr>
              <w:t>使用焚烧炉进行无害化处理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36" w:type="dxa"/>
            <w:vMerge w:val="continue"/>
            <w:vAlign w:val="center"/>
          </w:tcPr>
          <w:p>
            <w:pPr>
              <w:pStyle w:val="55"/>
              <w:rPr>
                <w:color w:val="000000" w:themeColor="text1"/>
              </w:rPr>
            </w:pPr>
          </w:p>
        </w:tc>
        <w:tc>
          <w:tcPr>
            <w:tcW w:w="602" w:type="dxa"/>
            <w:vAlign w:val="center"/>
          </w:tcPr>
          <w:p>
            <w:pPr>
              <w:pStyle w:val="55"/>
              <w:rPr>
                <w:color w:val="000000" w:themeColor="text1"/>
              </w:rPr>
            </w:pPr>
            <w:r>
              <w:rPr>
                <w:color w:val="000000" w:themeColor="text1"/>
              </w:rPr>
              <w:t>S2</w:t>
            </w:r>
          </w:p>
        </w:tc>
        <w:tc>
          <w:tcPr>
            <w:tcW w:w="1700" w:type="dxa"/>
            <w:vAlign w:val="center"/>
          </w:tcPr>
          <w:p>
            <w:pPr>
              <w:pStyle w:val="55"/>
              <w:rPr>
                <w:color w:val="000000" w:themeColor="text1"/>
              </w:rPr>
            </w:pPr>
            <w:r>
              <w:rPr>
                <w:rFonts w:hint="eastAsia"/>
                <w:color w:val="000000" w:themeColor="text1"/>
              </w:rPr>
              <w:t>待宰、内脏处理</w:t>
            </w:r>
          </w:p>
        </w:tc>
        <w:tc>
          <w:tcPr>
            <w:tcW w:w="2518" w:type="dxa"/>
            <w:vAlign w:val="center"/>
          </w:tcPr>
          <w:p>
            <w:pPr>
              <w:pStyle w:val="55"/>
              <w:rPr>
                <w:color w:val="000000" w:themeColor="text1"/>
              </w:rPr>
            </w:pPr>
            <w:r>
              <w:rPr>
                <w:rFonts w:hint="eastAsia"/>
                <w:color w:val="000000" w:themeColor="text1"/>
              </w:rPr>
              <w:t>猪粪</w:t>
            </w:r>
          </w:p>
        </w:tc>
        <w:tc>
          <w:tcPr>
            <w:tcW w:w="3580" w:type="dxa"/>
            <w:vAlign w:val="center"/>
          </w:tcPr>
          <w:p>
            <w:pPr>
              <w:pStyle w:val="55"/>
              <w:rPr>
                <w:color w:val="000000" w:themeColor="text1"/>
              </w:rPr>
            </w:pPr>
            <w:r>
              <w:rPr>
                <w:rFonts w:hint="eastAsia"/>
                <w:color w:val="000000" w:themeColor="text1"/>
              </w:rPr>
              <w:t>由农户运走作为肥料再利用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36" w:type="dxa"/>
            <w:vMerge w:val="continue"/>
            <w:vAlign w:val="center"/>
          </w:tcPr>
          <w:p>
            <w:pPr>
              <w:pStyle w:val="55"/>
              <w:rPr>
                <w:color w:val="000000" w:themeColor="text1"/>
              </w:rPr>
            </w:pPr>
          </w:p>
        </w:tc>
        <w:tc>
          <w:tcPr>
            <w:tcW w:w="602" w:type="dxa"/>
            <w:vAlign w:val="center"/>
          </w:tcPr>
          <w:p>
            <w:pPr>
              <w:pStyle w:val="55"/>
              <w:rPr>
                <w:color w:val="000000" w:themeColor="text1"/>
              </w:rPr>
            </w:pPr>
            <w:r>
              <w:rPr>
                <w:color w:val="000000" w:themeColor="text1"/>
              </w:rPr>
              <w:t>S3</w:t>
            </w:r>
          </w:p>
        </w:tc>
        <w:tc>
          <w:tcPr>
            <w:tcW w:w="1700" w:type="dxa"/>
            <w:vAlign w:val="center"/>
          </w:tcPr>
          <w:p>
            <w:pPr>
              <w:pStyle w:val="55"/>
              <w:rPr>
                <w:color w:val="000000" w:themeColor="text1"/>
              </w:rPr>
            </w:pPr>
            <w:r>
              <w:rPr>
                <w:rFonts w:hint="eastAsia"/>
                <w:color w:val="000000" w:themeColor="text1"/>
              </w:rPr>
              <w:t>屠宰、内脏处理</w:t>
            </w:r>
          </w:p>
        </w:tc>
        <w:tc>
          <w:tcPr>
            <w:tcW w:w="2518" w:type="dxa"/>
            <w:vAlign w:val="center"/>
          </w:tcPr>
          <w:p>
            <w:pPr>
              <w:pStyle w:val="55"/>
              <w:rPr>
                <w:color w:val="000000" w:themeColor="text1"/>
              </w:rPr>
            </w:pPr>
            <w:r>
              <w:rPr>
                <w:rFonts w:hint="eastAsia"/>
                <w:color w:val="000000" w:themeColor="text1"/>
              </w:rPr>
              <w:t>不合格产品、碎肉、不可食用内脏</w:t>
            </w:r>
          </w:p>
        </w:tc>
        <w:tc>
          <w:tcPr>
            <w:tcW w:w="3580" w:type="dxa"/>
            <w:vAlign w:val="center"/>
          </w:tcPr>
          <w:p>
            <w:pPr>
              <w:pStyle w:val="55"/>
              <w:rPr>
                <w:color w:val="000000" w:themeColor="text1"/>
              </w:rPr>
            </w:pPr>
            <w:r>
              <w:rPr>
                <w:rFonts w:hint="eastAsia"/>
                <w:color w:val="000000" w:themeColor="text1"/>
              </w:rPr>
              <w:t>使用焚烧炉进行无害化处理</w:t>
            </w:r>
          </w:p>
        </w:tc>
      </w:tr>
    </w:tbl>
    <w:p>
      <w:pPr>
        <w:ind w:firstLine="482"/>
        <w:rPr>
          <w:b/>
          <w:color w:val="000000" w:themeColor="text1"/>
        </w:rPr>
      </w:pPr>
      <w:r>
        <w:rPr>
          <w:rFonts w:hint="eastAsia"/>
          <w:b/>
          <w:color w:val="000000" w:themeColor="text1"/>
        </w:rPr>
        <w:t>2、宰鸡场工艺产污环节分析</w:t>
      </w:r>
    </w:p>
    <w:p>
      <w:pPr>
        <w:ind w:firstLine="480"/>
        <w:rPr>
          <w:color w:val="000000" w:themeColor="text1"/>
        </w:rPr>
      </w:pPr>
      <w:r>
        <w:rPr>
          <w:rFonts w:hint="eastAsia"/>
          <w:color w:val="000000" w:themeColor="text1"/>
        </w:rPr>
        <w:t>本项目宰鸡场工艺产污环节详见表2.6.2-2。</w:t>
      </w:r>
    </w:p>
    <w:p>
      <w:pPr>
        <w:pStyle w:val="54"/>
        <w:rPr>
          <w:color w:val="000000" w:themeColor="text1"/>
        </w:rPr>
      </w:pPr>
      <w:r>
        <w:rPr>
          <w:rFonts w:hint="eastAsia"/>
          <w:color w:val="000000" w:themeColor="text1"/>
        </w:rPr>
        <w:t>表2.6.2-2  生鸡屠宰工艺产污环节一览表</w:t>
      </w:r>
    </w:p>
    <w:tbl>
      <w:tblPr>
        <w:tblStyle w:val="42"/>
        <w:tblW w:w="893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36"/>
        <w:gridCol w:w="602"/>
        <w:gridCol w:w="1700"/>
        <w:gridCol w:w="3290"/>
        <w:gridCol w:w="280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138" w:type="dxa"/>
            <w:gridSpan w:val="2"/>
            <w:vAlign w:val="center"/>
          </w:tcPr>
          <w:p>
            <w:pPr>
              <w:pStyle w:val="55"/>
              <w:rPr>
                <w:b/>
                <w:color w:val="000000" w:themeColor="text1"/>
              </w:rPr>
            </w:pPr>
            <w:r>
              <w:rPr>
                <w:rFonts w:hint="eastAsia"/>
                <w:b/>
                <w:color w:val="000000" w:themeColor="text1"/>
              </w:rPr>
              <w:t>项目</w:t>
            </w:r>
          </w:p>
        </w:tc>
        <w:tc>
          <w:tcPr>
            <w:tcW w:w="1700" w:type="dxa"/>
            <w:vAlign w:val="center"/>
          </w:tcPr>
          <w:p>
            <w:pPr>
              <w:pStyle w:val="55"/>
              <w:rPr>
                <w:b/>
                <w:color w:val="000000" w:themeColor="text1"/>
              </w:rPr>
            </w:pPr>
            <w:r>
              <w:rPr>
                <w:rFonts w:hint="eastAsia"/>
                <w:b/>
                <w:color w:val="000000" w:themeColor="text1"/>
              </w:rPr>
              <w:t>排放源</w:t>
            </w:r>
          </w:p>
        </w:tc>
        <w:tc>
          <w:tcPr>
            <w:tcW w:w="3290" w:type="dxa"/>
            <w:vAlign w:val="center"/>
          </w:tcPr>
          <w:p>
            <w:pPr>
              <w:pStyle w:val="55"/>
              <w:rPr>
                <w:b/>
                <w:color w:val="000000" w:themeColor="text1"/>
              </w:rPr>
            </w:pPr>
            <w:r>
              <w:rPr>
                <w:rFonts w:hint="eastAsia"/>
                <w:b/>
                <w:color w:val="000000" w:themeColor="text1"/>
              </w:rPr>
              <w:t>主要污染物</w:t>
            </w:r>
          </w:p>
        </w:tc>
        <w:tc>
          <w:tcPr>
            <w:tcW w:w="2808" w:type="dxa"/>
            <w:vAlign w:val="center"/>
          </w:tcPr>
          <w:p>
            <w:pPr>
              <w:pStyle w:val="55"/>
              <w:rPr>
                <w:b/>
                <w:color w:val="000000" w:themeColor="text1"/>
              </w:rPr>
            </w:pPr>
            <w:r>
              <w:rPr>
                <w:rFonts w:hint="eastAsia"/>
                <w:b/>
                <w:color w:val="000000" w:themeColor="text1"/>
              </w:rPr>
              <w:t>处理措施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36" w:type="dxa"/>
            <w:vMerge w:val="restart"/>
            <w:vAlign w:val="center"/>
          </w:tcPr>
          <w:p>
            <w:pPr>
              <w:pStyle w:val="55"/>
              <w:rPr>
                <w:color w:val="000000" w:themeColor="text1"/>
              </w:rPr>
            </w:pPr>
            <w:r>
              <w:rPr>
                <w:rFonts w:hint="eastAsia"/>
                <w:color w:val="000000" w:themeColor="text1"/>
              </w:rPr>
              <w:t>废气</w:t>
            </w:r>
          </w:p>
        </w:tc>
        <w:tc>
          <w:tcPr>
            <w:tcW w:w="602" w:type="dxa"/>
            <w:vAlign w:val="center"/>
          </w:tcPr>
          <w:p>
            <w:pPr>
              <w:pStyle w:val="55"/>
              <w:rPr>
                <w:color w:val="000000" w:themeColor="text1"/>
              </w:rPr>
            </w:pPr>
            <w:r>
              <w:rPr>
                <w:color w:val="000000" w:themeColor="text1"/>
              </w:rPr>
              <w:t>G1</w:t>
            </w:r>
          </w:p>
        </w:tc>
        <w:tc>
          <w:tcPr>
            <w:tcW w:w="1700" w:type="dxa"/>
            <w:vAlign w:val="center"/>
          </w:tcPr>
          <w:p>
            <w:pPr>
              <w:pStyle w:val="55"/>
              <w:rPr>
                <w:color w:val="000000" w:themeColor="text1"/>
              </w:rPr>
            </w:pPr>
            <w:r>
              <w:rPr>
                <w:rFonts w:hint="eastAsia"/>
                <w:color w:val="000000" w:themeColor="text1"/>
              </w:rPr>
              <w:t>待宰圈</w:t>
            </w:r>
          </w:p>
        </w:tc>
        <w:tc>
          <w:tcPr>
            <w:tcW w:w="3290" w:type="dxa"/>
            <w:vAlign w:val="center"/>
          </w:tcPr>
          <w:p>
            <w:pPr>
              <w:pStyle w:val="55"/>
              <w:rPr>
                <w:color w:val="000000" w:themeColor="text1"/>
              </w:rPr>
            </w:pPr>
            <w:r>
              <w:rPr>
                <w:rFonts w:hint="eastAsia"/>
                <w:color w:val="000000" w:themeColor="text1"/>
              </w:rPr>
              <w:t>恶臭（</w:t>
            </w:r>
            <w:r>
              <w:rPr>
                <w:color w:val="000000" w:themeColor="text1"/>
              </w:rPr>
              <w:t>NH</w:t>
            </w:r>
            <w:r>
              <w:rPr>
                <w:color w:val="000000" w:themeColor="text1"/>
                <w:vertAlign w:val="subscript"/>
              </w:rPr>
              <w:t>3</w:t>
            </w:r>
            <w:r>
              <w:rPr>
                <w:rFonts w:hint="eastAsia"/>
                <w:color w:val="000000" w:themeColor="text1"/>
              </w:rPr>
              <w:t>、</w:t>
            </w:r>
            <w:r>
              <w:rPr>
                <w:color w:val="000000" w:themeColor="text1"/>
              </w:rPr>
              <w:t>H</w:t>
            </w:r>
            <w:r>
              <w:rPr>
                <w:color w:val="000000" w:themeColor="text1"/>
                <w:vertAlign w:val="subscript"/>
              </w:rPr>
              <w:t>2</w:t>
            </w:r>
            <w:r>
              <w:rPr>
                <w:color w:val="000000" w:themeColor="text1"/>
              </w:rPr>
              <w:t>S</w:t>
            </w:r>
            <w:r>
              <w:rPr>
                <w:rFonts w:hint="eastAsia"/>
                <w:color w:val="000000" w:themeColor="text1"/>
              </w:rPr>
              <w:t>）</w:t>
            </w:r>
          </w:p>
        </w:tc>
        <w:tc>
          <w:tcPr>
            <w:tcW w:w="2808" w:type="dxa"/>
            <w:vMerge w:val="restart"/>
            <w:vAlign w:val="center"/>
          </w:tcPr>
          <w:p>
            <w:pPr>
              <w:pStyle w:val="55"/>
              <w:rPr>
                <w:color w:val="000000" w:themeColor="text1"/>
              </w:rPr>
            </w:pPr>
            <w:r>
              <w:rPr>
                <w:rFonts w:hint="eastAsia"/>
                <w:color w:val="000000" w:themeColor="text1"/>
              </w:rPr>
              <w:t>封闭待宰和宰鸡车间，定期清扫并喷洒生物除臭剂，周边设置绿化隔离带等措施除臭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36" w:type="dxa"/>
            <w:vMerge w:val="continue"/>
            <w:vAlign w:val="center"/>
          </w:tcPr>
          <w:p>
            <w:pPr>
              <w:pStyle w:val="55"/>
              <w:rPr>
                <w:color w:val="000000" w:themeColor="text1"/>
              </w:rPr>
            </w:pPr>
          </w:p>
        </w:tc>
        <w:tc>
          <w:tcPr>
            <w:tcW w:w="602" w:type="dxa"/>
            <w:vAlign w:val="center"/>
          </w:tcPr>
          <w:p>
            <w:pPr>
              <w:pStyle w:val="55"/>
              <w:rPr>
                <w:color w:val="000000" w:themeColor="text1"/>
              </w:rPr>
            </w:pPr>
            <w:r>
              <w:rPr>
                <w:color w:val="000000" w:themeColor="text1"/>
              </w:rPr>
              <w:t>G</w:t>
            </w:r>
            <w:r>
              <w:rPr>
                <w:rFonts w:hint="eastAsia"/>
                <w:color w:val="000000" w:themeColor="text1"/>
              </w:rPr>
              <w:t>2</w:t>
            </w:r>
          </w:p>
        </w:tc>
        <w:tc>
          <w:tcPr>
            <w:tcW w:w="1700" w:type="dxa"/>
            <w:vAlign w:val="center"/>
          </w:tcPr>
          <w:p>
            <w:pPr>
              <w:pStyle w:val="55"/>
              <w:rPr>
                <w:color w:val="000000" w:themeColor="text1"/>
              </w:rPr>
            </w:pPr>
            <w:r>
              <w:rPr>
                <w:rFonts w:hint="eastAsia"/>
                <w:color w:val="000000" w:themeColor="text1"/>
              </w:rPr>
              <w:t>宰鸡车间</w:t>
            </w:r>
          </w:p>
        </w:tc>
        <w:tc>
          <w:tcPr>
            <w:tcW w:w="3290" w:type="dxa"/>
            <w:vAlign w:val="center"/>
          </w:tcPr>
          <w:p>
            <w:pPr>
              <w:pStyle w:val="55"/>
              <w:rPr>
                <w:color w:val="000000" w:themeColor="text1"/>
              </w:rPr>
            </w:pPr>
            <w:r>
              <w:rPr>
                <w:rFonts w:hint="eastAsia"/>
                <w:color w:val="000000" w:themeColor="text1"/>
              </w:rPr>
              <w:t>恶臭（</w:t>
            </w:r>
            <w:r>
              <w:rPr>
                <w:color w:val="000000" w:themeColor="text1"/>
              </w:rPr>
              <w:t>NH</w:t>
            </w:r>
            <w:r>
              <w:rPr>
                <w:color w:val="000000" w:themeColor="text1"/>
                <w:vertAlign w:val="subscript"/>
              </w:rPr>
              <w:t>3</w:t>
            </w:r>
            <w:r>
              <w:rPr>
                <w:rFonts w:hint="eastAsia"/>
                <w:color w:val="000000" w:themeColor="text1"/>
              </w:rPr>
              <w:t>、</w:t>
            </w:r>
            <w:r>
              <w:rPr>
                <w:color w:val="000000" w:themeColor="text1"/>
              </w:rPr>
              <w:t>H</w:t>
            </w:r>
            <w:r>
              <w:rPr>
                <w:color w:val="000000" w:themeColor="text1"/>
                <w:vertAlign w:val="subscript"/>
              </w:rPr>
              <w:t>2</w:t>
            </w:r>
            <w:r>
              <w:rPr>
                <w:color w:val="000000" w:themeColor="text1"/>
              </w:rPr>
              <w:t>S</w:t>
            </w:r>
            <w:r>
              <w:rPr>
                <w:rFonts w:hint="eastAsia"/>
                <w:color w:val="000000" w:themeColor="text1"/>
              </w:rPr>
              <w:t>）</w:t>
            </w:r>
          </w:p>
        </w:tc>
        <w:tc>
          <w:tcPr>
            <w:tcW w:w="2808" w:type="dxa"/>
            <w:vMerge w:val="continue"/>
            <w:vAlign w:val="center"/>
          </w:tcPr>
          <w:p>
            <w:pPr>
              <w:pStyle w:val="55"/>
              <w:rPr>
                <w:color w:val="000000" w:themeColor="text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36" w:type="dxa"/>
            <w:vMerge w:val="restart"/>
            <w:vAlign w:val="center"/>
          </w:tcPr>
          <w:p>
            <w:pPr>
              <w:pStyle w:val="55"/>
              <w:rPr>
                <w:color w:val="000000" w:themeColor="text1"/>
              </w:rPr>
            </w:pPr>
            <w:r>
              <w:rPr>
                <w:rFonts w:hint="eastAsia"/>
                <w:color w:val="000000" w:themeColor="text1"/>
              </w:rPr>
              <w:t>废水</w:t>
            </w:r>
          </w:p>
        </w:tc>
        <w:tc>
          <w:tcPr>
            <w:tcW w:w="602" w:type="dxa"/>
            <w:vAlign w:val="center"/>
          </w:tcPr>
          <w:p>
            <w:pPr>
              <w:pStyle w:val="55"/>
              <w:rPr>
                <w:color w:val="000000" w:themeColor="text1"/>
              </w:rPr>
            </w:pPr>
            <w:r>
              <w:rPr>
                <w:color w:val="000000" w:themeColor="text1"/>
              </w:rPr>
              <w:t>W1</w:t>
            </w:r>
          </w:p>
        </w:tc>
        <w:tc>
          <w:tcPr>
            <w:tcW w:w="1700" w:type="dxa"/>
            <w:vAlign w:val="center"/>
          </w:tcPr>
          <w:p>
            <w:pPr>
              <w:pStyle w:val="55"/>
              <w:rPr>
                <w:color w:val="000000" w:themeColor="text1"/>
              </w:rPr>
            </w:pPr>
            <w:r>
              <w:rPr>
                <w:rFonts w:hint="eastAsia"/>
                <w:color w:val="000000" w:themeColor="text1"/>
              </w:rPr>
              <w:t>待宰圈</w:t>
            </w:r>
          </w:p>
        </w:tc>
        <w:tc>
          <w:tcPr>
            <w:tcW w:w="3290" w:type="dxa"/>
            <w:vAlign w:val="center"/>
          </w:tcPr>
          <w:p>
            <w:pPr>
              <w:pStyle w:val="55"/>
              <w:rPr>
                <w:color w:val="000000" w:themeColor="text1"/>
              </w:rPr>
            </w:pPr>
            <w:r>
              <w:rPr>
                <w:rFonts w:hint="eastAsia"/>
                <w:color w:val="000000" w:themeColor="text1"/>
              </w:rPr>
              <w:t>鸡尿、待宰圈冲洗水</w:t>
            </w:r>
          </w:p>
        </w:tc>
        <w:tc>
          <w:tcPr>
            <w:tcW w:w="2808" w:type="dxa"/>
            <w:vMerge w:val="restart"/>
            <w:vAlign w:val="center"/>
          </w:tcPr>
          <w:p>
            <w:pPr>
              <w:pStyle w:val="55"/>
              <w:rPr>
                <w:color w:val="000000" w:themeColor="text1"/>
              </w:rPr>
            </w:pPr>
            <w:r>
              <w:rPr>
                <w:rFonts w:hint="eastAsia"/>
                <w:color w:val="000000" w:themeColor="text1"/>
              </w:rPr>
              <w:t>收集后进入污水处理站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36" w:type="dxa"/>
            <w:vMerge w:val="continue"/>
            <w:vAlign w:val="center"/>
          </w:tcPr>
          <w:p>
            <w:pPr>
              <w:pStyle w:val="55"/>
              <w:rPr>
                <w:color w:val="000000" w:themeColor="text1"/>
              </w:rPr>
            </w:pPr>
          </w:p>
        </w:tc>
        <w:tc>
          <w:tcPr>
            <w:tcW w:w="602" w:type="dxa"/>
            <w:vAlign w:val="center"/>
          </w:tcPr>
          <w:p>
            <w:pPr>
              <w:pStyle w:val="55"/>
              <w:rPr>
                <w:color w:val="000000" w:themeColor="text1"/>
              </w:rPr>
            </w:pPr>
            <w:r>
              <w:rPr>
                <w:color w:val="000000" w:themeColor="text1"/>
              </w:rPr>
              <w:t>W2</w:t>
            </w:r>
          </w:p>
        </w:tc>
        <w:tc>
          <w:tcPr>
            <w:tcW w:w="1700" w:type="dxa"/>
            <w:vAlign w:val="center"/>
          </w:tcPr>
          <w:p>
            <w:pPr>
              <w:pStyle w:val="55"/>
              <w:rPr>
                <w:color w:val="000000" w:themeColor="text1"/>
              </w:rPr>
            </w:pPr>
            <w:r>
              <w:rPr>
                <w:rFonts w:hint="eastAsia"/>
                <w:color w:val="000000" w:themeColor="text1"/>
              </w:rPr>
              <w:t>宰鸡车间</w:t>
            </w:r>
          </w:p>
        </w:tc>
        <w:tc>
          <w:tcPr>
            <w:tcW w:w="3290" w:type="dxa"/>
            <w:vAlign w:val="center"/>
          </w:tcPr>
          <w:p>
            <w:pPr>
              <w:pStyle w:val="55"/>
              <w:rPr>
                <w:color w:val="000000" w:themeColor="text1"/>
              </w:rPr>
            </w:pPr>
            <w:r>
              <w:rPr>
                <w:rFonts w:hint="eastAsia"/>
                <w:color w:val="000000" w:themeColor="text1"/>
              </w:rPr>
              <w:t>浸烫废水、冲洗废水、地面清洗废水、设备清洗废水等</w:t>
            </w:r>
          </w:p>
        </w:tc>
        <w:tc>
          <w:tcPr>
            <w:tcW w:w="2808" w:type="dxa"/>
            <w:vMerge w:val="continue"/>
            <w:vAlign w:val="center"/>
          </w:tcPr>
          <w:p>
            <w:pPr>
              <w:pStyle w:val="55"/>
              <w:rPr>
                <w:color w:val="000000" w:themeColor="text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36" w:type="dxa"/>
            <w:vMerge w:val="restart"/>
            <w:vAlign w:val="center"/>
          </w:tcPr>
          <w:p>
            <w:pPr>
              <w:pStyle w:val="55"/>
              <w:rPr>
                <w:color w:val="000000" w:themeColor="text1"/>
              </w:rPr>
            </w:pPr>
            <w:r>
              <w:rPr>
                <w:rFonts w:hint="eastAsia"/>
                <w:color w:val="000000" w:themeColor="text1"/>
              </w:rPr>
              <w:t>噪声</w:t>
            </w:r>
          </w:p>
        </w:tc>
        <w:tc>
          <w:tcPr>
            <w:tcW w:w="602" w:type="dxa"/>
            <w:vAlign w:val="center"/>
          </w:tcPr>
          <w:p>
            <w:pPr>
              <w:pStyle w:val="55"/>
              <w:rPr>
                <w:color w:val="000000" w:themeColor="text1"/>
              </w:rPr>
            </w:pPr>
            <w:r>
              <w:rPr>
                <w:color w:val="000000" w:themeColor="text1"/>
              </w:rPr>
              <w:t>N1</w:t>
            </w:r>
          </w:p>
        </w:tc>
        <w:tc>
          <w:tcPr>
            <w:tcW w:w="1700" w:type="dxa"/>
            <w:vAlign w:val="center"/>
          </w:tcPr>
          <w:p>
            <w:pPr>
              <w:pStyle w:val="55"/>
              <w:rPr>
                <w:color w:val="000000" w:themeColor="text1"/>
              </w:rPr>
            </w:pPr>
            <w:r>
              <w:rPr>
                <w:color w:val="000000" w:themeColor="text1"/>
              </w:rPr>
              <w:t>检疫</w:t>
            </w:r>
          </w:p>
        </w:tc>
        <w:tc>
          <w:tcPr>
            <w:tcW w:w="3290" w:type="dxa"/>
            <w:vAlign w:val="center"/>
          </w:tcPr>
          <w:p>
            <w:pPr>
              <w:pStyle w:val="55"/>
              <w:rPr>
                <w:color w:val="000000" w:themeColor="text1"/>
              </w:rPr>
            </w:pPr>
            <w:r>
              <w:rPr>
                <w:rFonts w:hint="eastAsia"/>
                <w:color w:val="000000" w:themeColor="text1"/>
              </w:rPr>
              <w:t>鸡叫声</w:t>
            </w:r>
          </w:p>
        </w:tc>
        <w:tc>
          <w:tcPr>
            <w:tcW w:w="2808" w:type="dxa"/>
            <w:vAlign w:val="center"/>
          </w:tcPr>
          <w:p>
            <w:pPr>
              <w:pStyle w:val="55"/>
              <w:rPr>
                <w:color w:val="000000" w:themeColor="text1"/>
              </w:rPr>
            </w:pPr>
            <w:r>
              <w:rPr>
                <w:color w:val="000000" w:themeColor="text1"/>
              </w:rPr>
              <w:t>自然衰减、绿化吸收等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36" w:type="dxa"/>
            <w:vMerge w:val="continue"/>
            <w:vAlign w:val="center"/>
          </w:tcPr>
          <w:p>
            <w:pPr>
              <w:pStyle w:val="55"/>
              <w:rPr>
                <w:color w:val="000000" w:themeColor="text1"/>
              </w:rPr>
            </w:pPr>
          </w:p>
        </w:tc>
        <w:tc>
          <w:tcPr>
            <w:tcW w:w="602" w:type="dxa"/>
            <w:vAlign w:val="center"/>
          </w:tcPr>
          <w:p>
            <w:pPr>
              <w:pStyle w:val="55"/>
              <w:rPr>
                <w:color w:val="000000" w:themeColor="text1"/>
              </w:rPr>
            </w:pPr>
            <w:r>
              <w:rPr>
                <w:color w:val="000000" w:themeColor="text1"/>
              </w:rPr>
              <w:t>N</w:t>
            </w:r>
            <w:r>
              <w:rPr>
                <w:rFonts w:hint="eastAsia"/>
                <w:color w:val="000000" w:themeColor="text1"/>
              </w:rPr>
              <w:t>2</w:t>
            </w:r>
          </w:p>
        </w:tc>
        <w:tc>
          <w:tcPr>
            <w:tcW w:w="1700" w:type="dxa"/>
            <w:vAlign w:val="center"/>
          </w:tcPr>
          <w:p>
            <w:pPr>
              <w:pStyle w:val="55"/>
              <w:rPr>
                <w:color w:val="000000" w:themeColor="text1"/>
              </w:rPr>
            </w:pPr>
            <w:r>
              <w:rPr>
                <w:rFonts w:hint="eastAsia"/>
                <w:color w:val="000000" w:themeColor="text1"/>
              </w:rPr>
              <w:t>待宰圈</w:t>
            </w:r>
          </w:p>
        </w:tc>
        <w:tc>
          <w:tcPr>
            <w:tcW w:w="3290" w:type="dxa"/>
            <w:vAlign w:val="center"/>
          </w:tcPr>
          <w:p>
            <w:pPr>
              <w:pStyle w:val="55"/>
              <w:rPr>
                <w:color w:val="000000" w:themeColor="text1"/>
              </w:rPr>
            </w:pPr>
            <w:r>
              <w:rPr>
                <w:rFonts w:hint="eastAsia"/>
                <w:color w:val="000000" w:themeColor="text1"/>
              </w:rPr>
              <w:t>通风装置，鸡叫声等</w:t>
            </w:r>
          </w:p>
        </w:tc>
        <w:tc>
          <w:tcPr>
            <w:tcW w:w="2808" w:type="dxa"/>
            <w:vAlign w:val="center"/>
          </w:tcPr>
          <w:p>
            <w:pPr>
              <w:pStyle w:val="55"/>
              <w:rPr>
                <w:color w:val="000000" w:themeColor="text1"/>
              </w:rPr>
            </w:pPr>
            <w:r>
              <w:rPr>
                <w:rFonts w:hint="eastAsia"/>
                <w:color w:val="000000" w:themeColor="text1"/>
              </w:rPr>
              <w:t>基础减振、绿化吸收等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36" w:type="dxa"/>
            <w:vMerge w:val="continue"/>
            <w:vAlign w:val="center"/>
          </w:tcPr>
          <w:p>
            <w:pPr>
              <w:pStyle w:val="55"/>
              <w:rPr>
                <w:color w:val="000000" w:themeColor="text1"/>
              </w:rPr>
            </w:pPr>
          </w:p>
        </w:tc>
        <w:tc>
          <w:tcPr>
            <w:tcW w:w="602" w:type="dxa"/>
            <w:vAlign w:val="center"/>
          </w:tcPr>
          <w:p>
            <w:pPr>
              <w:pStyle w:val="55"/>
              <w:rPr>
                <w:color w:val="000000" w:themeColor="text1"/>
              </w:rPr>
            </w:pPr>
            <w:r>
              <w:rPr>
                <w:color w:val="000000" w:themeColor="text1"/>
              </w:rPr>
              <w:t>N</w:t>
            </w:r>
            <w:r>
              <w:rPr>
                <w:rFonts w:hint="eastAsia"/>
                <w:color w:val="000000" w:themeColor="text1"/>
              </w:rPr>
              <w:t>3</w:t>
            </w:r>
          </w:p>
        </w:tc>
        <w:tc>
          <w:tcPr>
            <w:tcW w:w="1700" w:type="dxa"/>
            <w:vAlign w:val="center"/>
          </w:tcPr>
          <w:p>
            <w:pPr>
              <w:pStyle w:val="55"/>
              <w:rPr>
                <w:color w:val="000000" w:themeColor="text1"/>
              </w:rPr>
            </w:pPr>
            <w:r>
              <w:rPr>
                <w:rFonts w:hint="eastAsia"/>
                <w:color w:val="000000" w:themeColor="text1"/>
              </w:rPr>
              <w:t>宰鸡车间</w:t>
            </w:r>
          </w:p>
        </w:tc>
        <w:tc>
          <w:tcPr>
            <w:tcW w:w="3290" w:type="dxa"/>
            <w:vAlign w:val="center"/>
          </w:tcPr>
          <w:p>
            <w:pPr>
              <w:pStyle w:val="55"/>
              <w:rPr>
                <w:color w:val="000000" w:themeColor="text1"/>
              </w:rPr>
            </w:pPr>
            <w:r>
              <w:rPr>
                <w:rFonts w:hint="eastAsia"/>
                <w:color w:val="000000" w:themeColor="text1"/>
              </w:rPr>
              <w:t>设备</w:t>
            </w:r>
          </w:p>
        </w:tc>
        <w:tc>
          <w:tcPr>
            <w:tcW w:w="2808" w:type="dxa"/>
            <w:vAlign w:val="center"/>
          </w:tcPr>
          <w:p>
            <w:pPr>
              <w:pStyle w:val="55"/>
              <w:rPr>
                <w:color w:val="000000" w:themeColor="text1"/>
              </w:rPr>
            </w:pPr>
            <w:r>
              <w:rPr>
                <w:rFonts w:hint="eastAsia"/>
                <w:color w:val="000000" w:themeColor="text1"/>
              </w:rPr>
              <w:t>低噪声设备、减振、隔声、绿化吸收等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36" w:type="dxa"/>
            <w:vMerge w:val="restart"/>
            <w:vAlign w:val="center"/>
          </w:tcPr>
          <w:p>
            <w:pPr>
              <w:pStyle w:val="55"/>
              <w:rPr>
                <w:color w:val="000000" w:themeColor="text1"/>
              </w:rPr>
            </w:pPr>
            <w:r>
              <w:rPr>
                <w:rFonts w:hint="eastAsia"/>
                <w:color w:val="000000" w:themeColor="text1"/>
              </w:rPr>
              <w:t>固废</w:t>
            </w:r>
          </w:p>
        </w:tc>
        <w:tc>
          <w:tcPr>
            <w:tcW w:w="602" w:type="dxa"/>
            <w:vAlign w:val="center"/>
          </w:tcPr>
          <w:p>
            <w:pPr>
              <w:pStyle w:val="55"/>
              <w:rPr>
                <w:color w:val="000000" w:themeColor="text1"/>
              </w:rPr>
            </w:pPr>
            <w:r>
              <w:rPr>
                <w:color w:val="000000" w:themeColor="text1"/>
              </w:rPr>
              <w:t>S1</w:t>
            </w:r>
          </w:p>
        </w:tc>
        <w:tc>
          <w:tcPr>
            <w:tcW w:w="1700" w:type="dxa"/>
            <w:vAlign w:val="center"/>
          </w:tcPr>
          <w:p>
            <w:pPr>
              <w:pStyle w:val="55"/>
              <w:rPr>
                <w:color w:val="000000" w:themeColor="text1"/>
              </w:rPr>
            </w:pPr>
            <w:r>
              <w:rPr>
                <w:rFonts w:hint="eastAsia"/>
                <w:color w:val="000000" w:themeColor="text1"/>
              </w:rPr>
              <w:t>检疫</w:t>
            </w:r>
          </w:p>
        </w:tc>
        <w:tc>
          <w:tcPr>
            <w:tcW w:w="3290" w:type="dxa"/>
            <w:vAlign w:val="center"/>
          </w:tcPr>
          <w:p>
            <w:pPr>
              <w:pStyle w:val="55"/>
              <w:rPr>
                <w:color w:val="000000" w:themeColor="text1"/>
              </w:rPr>
            </w:pPr>
            <w:r>
              <w:rPr>
                <w:rFonts w:hint="eastAsia"/>
                <w:color w:val="000000" w:themeColor="text1"/>
              </w:rPr>
              <w:t>病死鸡</w:t>
            </w:r>
          </w:p>
        </w:tc>
        <w:tc>
          <w:tcPr>
            <w:tcW w:w="2808" w:type="dxa"/>
            <w:vAlign w:val="center"/>
          </w:tcPr>
          <w:p>
            <w:pPr>
              <w:pStyle w:val="55"/>
              <w:rPr>
                <w:color w:val="000000" w:themeColor="text1"/>
              </w:rPr>
            </w:pPr>
            <w:r>
              <w:rPr>
                <w:rFonts w:hint="eastAsia"/>
                <w:color w:val="000000" w:themeColor="text1"/>
              </w:rPr>
              <w:t>使用焚烧炉进行无害化处理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36" w:type="dxa"/>
            <w:vMerge w:val="continue"/>
            <w:vAlign w:val="center"/>
          </w:tcPr>
          <w:p>
            <w:pPr>
              <w:pStyle w:val="55"/>
              <w:rPr>
                <w:color w:val="000000" w:themeColor="text1"/>
              </w:rPr>
            </w:pPr>
          </w:p>
        </w:tc>
        <w:tc>
          <w:tcPr>
            <w:tcW w:w="602" w:type="dxa"/>
            <w:vAlign w:val="center"/>
          </w:tcPr>
          <w:p>
            <w:pPr>
              <w:pStyle w:val="55"/>
              <w:rPr>
                <w:color w:val="000000" w:themeColor="text1"/>
              </w:rPr>
            </w:pPr>
            <w:r>
              <w:rPr>
                <w:color w:val="000000" w:themeColor="text1"/>
              </w:rPr>
              <w:t>S2</w:t>
            </w:r>
          </w:p>
        </w:tc>
        <w:tc>
          <w:tcPr>
            <w:tcW w:w="1700" w:type="dxa"/>
            <w:vAlign w:val="center"/>
          </w:tcPr>
          <w:p>
            <w:pPr>
              <w:pStyle w:val="55"/>
              <w:rPr>
                <w:color w:val="000000" w:themeColor="text1"/>
              </w:rPr>
            </w:pPr>
            <w:r>
              <w:rPr>
                <w:rFonts w:hint="eastAsia"/>
                <w:color w:val="000000" w:themeColor="text1"/>
              </w:rPr>
              <w:t>待宰、内脏处理</w:t>
            </w:r>
          </w:p>
        </w:tc>
        <w:tc>
          <w:tcPr>
            <w:tcW w:w="3290" w:type="dxa"/>
            <w:vAlign w:val="center"/>
          </w:tcPr>
          <w:p>
            <w:pPr>
              <w:pStyle w:val="55"/>
              <w:rPr>
                <w:color w:val="000000" w:themeColor="text1"/>
              </w:rPr>
            </w:pPr>
            <w:r>
              <w:rPr>
                <w:rFonts w:hint="eastAsia"/>
                <w:color w:val="000000" w:themeColor="text1"/>
              </w:rPr>
              <w:t>鸡粪</w:t>
            </w:r>
          </w:p>
        </w:tc>
        <w:tc>
          <w:tcPr>
            <w:tcW w:w="2808" w:type="dxa"/>
            <w:vAlign w:val="center"/>
          </w:tcPr>
          <w:p>
            <w:pPr>
              <w:pStyle w:val="55"/>
              <w:rPr>
                <w:color w:val="000000" w:themeColor="text1"/>
              </w:rPr>
            </w:pPr>
            <w:r>
              <w:rPr>
                <w:rFonts w:hint="eastAsia"/>
                <w:color w:val="000000" w:themeColor="text1"/>
              </w:rPr>
              <w:t>由农户运走作为肥料再利用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36" w:type="dxa"/>
            <w:vMerge w:val="continue"/>
            <w:vAlign w:val="center"/>
          </w:tcPr>
          <w:p>
            <w:pPr>
              <w:pStyle w:val="55"/>
              <w:rPr>
                <w:color w:val="000000" w:themeColor="text1"/>
              </w:rPr>
            </w:pPr>
          </w:p>
        </w:tc>
        <w:tc>
          <w:tcPr>
            <w:tcW w:w="602" w:type="dxa"/>
            <w:vAlign w:val="center"/>
          </w:tcPr>
          <w:p>
            <w:pPr>
              <w:pStyle w:val="55"/>
              <w:rPr>
                <w:color w:val="000000" w:themeColor="text1"/>
              </w:rPr>
            </w:pPr>
            <w:r>
              <w:rPr>
                <w:color w:val="000000" w:themeColor="text1"/>
              </w:rPr>
              <w:t>S3</w:t>
            </w:r>
          </w:p>
        </w:tc>
        <w:tc>
          <w:tcPr>
            <w:tcW w:w="1700" w:type="dxa"/>
            <w:vAlign w:val="center"/>
          </w:tcPr>
          <w:p>
            <w:pPr>
              <w:pStyle w:val="55"/>
              <w:rPr>
                <w:color w:val="000000" w:themeColor="text1"/>
              </w:rPr>
            </w:pPr>
            <w:r>
              <w:rPr>
                <w:rFonts w:hint="eastAsia"/>
                <w:color w:val="000000" w:themeColor="text1"/>
              </w:rPr>
              <w:t>宰鸡、内脏处理</w:t>
            </w:r>
          </w:p>
        </w:tc>
        <w:tc>
          <w:tcPr>
            <w:tcW w:w="3290" w:type="dxa"/>
            <w:vAlign w:val="center"/>
          </w:tcPr>
          <w:p>
            <w:pPr>
              <w:pStyle w:val="55"/>
              <w:rPr>
                <w:color w:val="000000" w:themeColor="text1"/>
              </w:rPr>
            </w:pPr>
            <w:r>
              <w:rPr>
                <w:rFonts w:hint="eastAsia"/>
                <w:color w:val="000000" w:themeColor="text1"/>
              </w:rPr>
              <w:t>不合格产品、碎肉、不可食用内脏</w:t>
            </w:r>
          </w:p>
        </w:tc>
        <w:tc>
          <w:tcPr>
            <w:tcW w:w="2808" w:type="dxa"/>
            <w:vAlign w:val="center"/>
          </w:tcPr>
          <w:p>
            <w:pPr>
              <w:pStyle w:val="55"/>
              <w:rPr>
                <w:color w:val="000000" w:themeColor="text1"/>
              </w:rPr>
            </w:pPr>
            <w:r>
              <w:rPr>
                <w:rFonts w:hint="eastAsia"/>
                <w:color w:val="000000" w:themeColor="text1"/>
              </w:rPr>
              <w:t>使用焚烧炉进行无害化处理</w:t>
            </w:r>
          </w:p>
        </w:tc>
      </w:tr>
    </w:tbl>
    <w:p>
      <w:pPr>
        <w:ind w:firstLine="482"/>
        <w:rPr>
          <w:b/>
          <w:color w:val="000000" w:themeColor="text1"/>
        </w:rPr>
      </w:pPr>
      <w:r>
        <w:rPr>
          <w:rFonts w:hint="eastAsia"/>
          <w:b/>
          <w:color w:val="000000" w:themeColor="text1"/>
        </w:rPr>
        <w:t>3、项目其它产污环节分析</w:t>
      </w:r>
    </w:p>
    <w:p>
      <w:pPr>
        <w:ind w:firstLine="480"/>
        <w:rPr>
          <w:color w:val="000000" w:themeColor="text1"/>
        </w:rPr>
      </w:pPr>
      <w:r>
        <w:rPr>
          <w:rFonts w:hint="eastAsia"/>
          <w:color w:val="000000" w:themeColor="text1"/>
        </w:rPr>
        <w:t>本项目其它产污环节主要包括员工办公生活、污水处理站运行、进厂车辆及厂区消毒等，产污环节分析详见表2.6.2-3。</w:t>
      </w:r>
    </w:p>
    <w:p>
      <w:pPr>
        <w:pStyle w:val="54"/>
        <w:rPr>
          <w:color w:val="000000" w:themeColor="text1"/>
        </w:rPr>
      </w:pPr>
      <w:r>
        <w:rPr>
          <w:rFonts w:hint="eastAsia"/>
          <w:color w:val="000000" w:themeColor="text1"/>
        </w:rPr>
        <w:t>表2.6.2-3  其他工艺产污环节一览表</w:t>
      </w:r>
    </w:p>
    <w:tbl>
      <w:tblPr>
        <w:tblStyle w:val="42"/>
        <w:tblW w:w="8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1729"/>
        <w:gridCol w:w="2559"/>
        <w:gridCol w:w="3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3" w:type="dxa"/>
            <w:vAlign w:val="center"/>
          </w:tcPr>
          <w:p>
            <w:pPr>
              <w:pStyle w:val="55"/>
              <w:rPr>
                <w:b/>
                <w:color w:val="000000" w:themeColor="text1"/>
              </w:rPr>
            </w:pPr>
            <w:r>
              <w:rPr>
                <w:rFonts w:hint="eastAsia"/>
                <w:b/>
                <w:color w:val="000000" w:themeColor="text1"/>
              </w:rPr>
              <w:t>项目</w:t>
            </w:r>
          </w:p>
        </w:tc>
        <w:tc>
          <w:tcPr>
            <w:tcW w:w="1729" w:type="dxa"/>
            <w:vAlign w:val="center"/>
          </w:tcPr>
          <w:p>
            <w:pPr>
              <w:pStyle w:val="55"/>
              <w:rPr>
                <w:b/>
                <w:color w:val="000000" w:themeColor="text1"/>
              </w:rPr>
            </w:pPr>
            <w:r>
              <w:rPr>
                <w:rFonts w:hint="eastAsia"/>
                <w:b/>
                <w:color w:val="000000" w:themeColor="text1"/>
              </w:rPr>
              <w:t>排放源</w:t>
            </w:r>
          </w:p>
        </w:tc>
        <w:tc>
          <w:tcPr>
            <w:tcW w:w="2559" w:type="dxa"/>
            <w:vAlign w:val="center"/>
          </w:tcPr>
          <w:p>
            <w:pPr>
              <w:pStyle w:val="55"/>
              <w:rPr>
                <w:b/>
                <w:color w:val="000000" w:themeColor="text1"/>
              </w:rPr>
            </w:pPr>
            <w:r>
              <w:rPr>
                <w:rFonts w:hint="eastAsia"/>
                <w:b/>
                <w:color w:val="000000" w:themeColor="text1"/>
              </w:rPr>
              <w:t>主要污染物</w:t>
            </w:r>
          </w:p>
        </w:tc>
        <w:tc>
          <w:tcPr>
            <w:tcW w:w="3633" w:type="dxa"/>
            <w:vAlign w:val="center"/>
          </w:tcPr>
          <w:p>
            <w:pPr>
              <w:pStyle w:val="55"/>
              <w:rPr>
                <w:b/>
                <w:color w:val="000000" w:themeColor="text1"/>
              </w:rPr>
            </w:pPr>
            <w:r>
              <w:rPr>
                <w:rFonts w:hint="eastAsia"/>
                <w:b/>
                <w:color w:val="000000" w:themeColor="text1"/>
              </w:rP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3" w:type="dxa"/>
            <w:vAlign w:val="center"/>
          </w:tcPr>
          <w:p>
            <w:pPr>
              <w:pStyle w:val="55"/>
              <w:rPr>
                <w:color w:val="000000" w:themeColor="text1"/>
              </w:rPr>
            </w:pPr>
            <w:r>
              <w:rPr>
                <w:color w:val="000000" w:themeColor="text1"/>
              </w:rPr>
              <w:t>废气</w:t>
            </w:r>
          </w:p>
        </w:tc>
        <w:tc>
          <w:tcPr>
            <w:tcW w:w="1729" w:type="dxa"/>
            <w:vAlign w:val="center"/>
          </w:tcPr>
          <w:p>
            <w:pPr>
              <w:pStyle w:val="55"/>
              <w:rPr>
                <w:color w:val="000000" w:themeColor="text1"/>
              </w:rPr>
            </w:pPr>
            <w:r>
              <w:rPr>
                <w:rFonts w:hint="eastAsia"/>
                <w:color w:val="000000" w:themeColor="text1"/>
              </w:rPr>
              <w:t>污水处理站</w:t>
            </w:r>
          </w:p>
        </w:tc>
        <w:tc>
          <w:tcPr>
            <w:tcW w:w="2559" w:type="dxa"/>
            <w:vAlign w:val="center"/>
          </w:tcPr>
          <w:p>
            <w:pPr>
              <w:pStyle w:val="55"/>
              <w:rPr>
                <w:color w:val="000000" w:themeColor="text1"/>
              </w:rPr>
            </w:pPr>
            <w:r>
              <w:rPr>
                <w:rFonts w:hint="eastAsia"/>
                <w:color w:val="000000" w:themeColor="text1"/>
              </w:rPr>
              <w:t>恶臭（</w:t>
            </w:r>
            <w:r>
              <w:rPr>
                <w:color w:val="000000" w:themeColor="text1"/>
              </w:rPr>
              <w:t>NH</w:t>
            </w:r>
            <w:r>
              <w:rPr>
                <w:color w:val="000000" w:themeColor="text1"/>
                <w:vertAlign w:val="subscript"/>
              </w:rPr>
              <w:t>3</w:t>
            </w:r>
            <w:r>
              <w:rPr>
                <w:rFonts w:hint="eastAsia"/>
                <w:color w:val="000000" w:themeColor="text1"/>
              </w:rPr>
              <w:t>、</w:t>
            </w:r>
            <w:r>
              <w:rPr>
                <w:color w:val="000000" w:themeColor="text1"/>
              </w:rPr>
              <w:t>H</w:t>
            </w:r>
            <w:r>
              <w:rPr>
                <w:color w:val="000000" w:themeColor="text1"/>
                <w:vertAlign w:val="subscript"/>
              </w:rPr>
              <w:t>2</w:t>
            </w:r>
            <w:r>
              <w:rPr>
                <w:color w:val="000000" w:themeColor="text1"/>
              </w:rPr>
              <w:t>S</w:t>
            </w:r>
            <w:r>
              <w:rPr>
                <w:rFonts w:hint="eastAsia"/>
                <w:color w:val="000000" w:themeColor="text1"/>
              </w:rPr>
              <w:t>）</w:t>
            </w:r>
          </w:p>
        </w:tc>
        <w:tc>
          <w:tcPr>
            <w:tcW w:w="3633" w:type="dxa"/>
            <w:vAlign w:val="center"/>
          </w:tcPr>
          <w:p>
            <w:pPr>
              <w:pStyle w:val="55"/>
              <w:rPr>
                <w:color w:val="000000" w:themeColor="text1"/>
              </w:rPr>
            </w:pPr>
            <w:r>
              <w:rPr>
                <w:rFonts w:hint="eastAsia"/>
                <w:color w:val="000000" w:themeColor="text1"/>
              </w:rPr>
              <w:t>污水站设置为地埋式，喷洒生物除臭剂，周边设置绿化隔离带等措施除臭；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3" w:type="dxa"/>
            <w:vMerge w:val="restart"/>
            <w:vAlign w:val="center"/>
          </w:tcPr>
          <w:p>
            <w:pPr>
              <w:pStyle w:val="55"/>
              <w:rPr>
                <w:color w:val="000000" w:themeColor="text1"/>
              </w:rPr>
            </w:pPr>
            <w:r>
              <w:rPr>
                <w:rFonts w:hint="eastAsia"/>
                <w:color w:val="000000" w:themeColor="text1"/>
              </w:rPr>
              <w:t>废水</w:t>
            </w:r>
          </w:p>
        </w:tc>
        <w:tc>
          <w:tcPr>
            <w:tcW w:w="1729" w:type="dxa"/>
            <w:vAlign w:val="center"/>
          </w:tcPr>
          <w:p>
            <w:pPr>
              <w:pStyle w:val="55"/>
              <w:rPr>
                <w:color w:val="000000" w:themeColor="text1"/>
              </w:rPr>
            </w:pPr>
            <w:r>
              <w:rPr>
                <w:rFonts w:hint="eastAsia"/>
                <w:color w:val="000000" w:themeColor="text1"/>
              </w:rPr>
              <w:t>消毒</w:t>
            </w:r>
          </w:p>
        </w:tc>
        <w:tc>
          <w:tcPr>
            <w:tcW w:w="2559" w:type="dxa"/>
            <w:vAlign w:val="center"/>
          </w:tcPr>
          <w:p>
            <w:pPr>
              <w:pStyle w:val="55"/>
              <w:rPr>
                <w:color w:val="000000" w:themeColor="text1"/>
              </w:rPr>
            </w:pPr>
            <w:r>
              <w:rPr>
                <w:rFonts w:hint="eastAsia"/>
                <w:color w:val="000000" w:themeColor="text1"/>
              </w:rPr>
              <w:t>车辆、厂区消毒</w:t>
            </w:r>
          </w:p>
        </w:tc>
        <w:tc>
          <w:tcPr>
            <w:tcW w:w="3633" w:type="dxa"/>
            <w:vAlign w:val="center"/>
          </w:tcPr>
          <w:p>
            <w:pPr>
              <w:pStyle w:val="55"/>
              <w:rPr>
                <w:color w:val="000000" w:themeColor="text1"/>
              </w:rPr>
            </w:pPr>
            <w:r>
              <w:rPr>
                <w:rFonts w:hint="eastAsia"/>
                <w:color w:val="000000" w:themeColor="text1"/>
              </w:rPr>
              <w:t>收集后进入污水处理站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3" w:type="dxa"/>
            <w:vMerge w:val="continue"/>
            <w:vAlign w:val="center"/>
          </w:tcPr>
          <w:p>
            <w:pPr>
              <w:pStyle w:val="55"/>
              <w:rPr>
                <w:color w:val="000000" w:themeColor="text1"/>
              </w:rPr>
            </w:pPr>
          </w:p>
        </w:tc>
        <w:tc>
          <w:tcPr>
            <w:tcW w:w="1729" w:type="dxa"/>
            <w:vAlign w:val="center"/>
          </w:tcPr>
          <w:p>
            <w:pPr>
              <w:pStyle w:val="55"/>
              <w:rPr>
                <w:color w:val="000000" w:themeColor="text1"/>
              </w:rPr>
            </w:pPr>
            <w:r>
              <w:rPr>
                <w:rFonts w:hint="eastAsia"/>
                <w:color w:val="000000" w:themeColor="text1"/>
              </w:rPr>
              <w:t>职工办公生活</w:t>
            </w:r>
          </w:p>
        </w:tc>
        <w:tc>
          <w:tcPr>
            <w:tcW w:w="2559" w:type="dxa"/>
            <w:vAlign w:val="center"/>
          </w:tcPr>
          <w:p>
            <w:pPr>
              <w:pStyle w:val="55"/>
              <w:rPr>
                <w:color w:val="000000" w:themeColor="text1"/>
              </w:rPr>
            </w:pPr>
            <w:r>
              <w:rPr>
                <w:rFonts w:hint="eastAsia"/>
                <w:color w:val="000000" w:themeColor="text1"/>
              </w:rPr>
              <w:t>生活污水</w:t>
            </w:r>
          </w:p>
        </w:tc>
        <w:tc>
          <w:tcPr>
            <w:tcW w:w="3633" w:type="dxa"/>
            <w:vAlign w:val="center"/>
          </w:tcPr>
          <w:p>
            <w:pPr>
              <w:pStyle w:val="55"/>
              <w:rPr>
                <w:color w:val="000000" w:themeColor="text1"/>
              </w:rPr>
            </w:pPr>
            <w:r>
              <w:rPr>
                <w:color w:val="000000" w:themeColor="text1"/>
              </w:rPr>
              <w:t>生活污水先经过化粪池处理后再进入污水处理站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3" w:type="dxa"/>
            <w:vMerge w:val="restart"/>
            <w:vAlign w:val="center"/>
          </w:tcPr>
          <w:p>
            <w:pPr>
              <w:pStyle w:val="55"/>
              <w:rPr>
                <w:color w:val="000000" w:themeColor="text1"/>
              </w:rPr>
            </w:pPr>
            <w:r>
              <w:rPr>
                <w:rFonts w:hint="eastAsia"/>
                <w:color w:val="000000" w:themeColor="text1"/>
              </w:rPr>
              <w:t>噪声</w:t>
            </w:r>
          </w:p>
        </w:tc>
        <w:tc>
          <w:tcPr>
            <w:tcW w:w="1729" w:type="dxa"/>
            <w:vAlign w:val="center"/>
          </w:tcPr>
          <w:p>
            <w:pPr>
              <w:pStyle w:val="55"/>
              <w:rPr>
                <w:color w:val="000000" w:themeColor="text1"/>
              </w:rPr>
            </w:pPr>
            <w:r>
              <w:rPr>
                <w:rFonts w:hint="eastAsia"/>
                <w:color w:val="000000" w:themeColor="text1"/>
              </w:rPr>
              <w:t>污水处理站</w:t>
            </w:r>
          </w:p>
        </w:tc>
        <w:tc>
          <w:tcPr>
            <w:tcW w:w="2559" w:type="dxa"/>
            <w:vAlign w:val="center"/>
          </w:tcPr>
          <w:p>
            <w:pPr>
              <w:pStyle w:val="55"/>
              <w:rPr>
                <w:color w:val="000000" w:themeColor="text1"/>
              </w:rPr>
            </w:pPr>
            <w:r>
              <w:rPr>
                <w:rFonts w:hint="eastAsia"/>
                <w:color w:val="000000" w:themeColor="text1"/>
              </w:rPr>
              <w:t>泵机等</w:t>
            </w:r>
          </w:p>
        </w:tc>
        <w:tc>
          <w:tcPr>
            <w:tcW w:w="3633" w:type="dxa"/>
            <w:vAlign w:val="center"/>
          </w:tcPr>
          <w:p>
            <w:pPr>
              <w:pStyle w:val="55"/>
              <w:rPr>
                <w:color w:val="000000" w:themeColor="text1"/>
              </w:rPr>
            </w:pPr>
            <w:r>
              <w:rPr>
                <w:rFonts w:hint="eastAsia"/>
                <w:color w:val="000000" w:themeColor="text1"/>
              </w:rPr>
              <w:t>隔声、基础减振、绿化吸收等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3" w:type="dxa"/>
            <w:vMerge w:val="continue"/>
            <w:vAlign w:val="center"/>
          </w:tcPr>
          <w:p>
            <w:pPr>
              <w:pStyle w:val="55"/>
              <w:rPr>
                <w:color w:val="000000" w:themeColor="text1"/>
              </w:rPr>
            </w:pPr>
          </w:p>
        </w:tc>
        <w:tc>
          <w:tcPr>
            <w:tcW w:w="1729" w:type="dxa"/>
            <w:vAlign w:val="center"/>
          </w:tcPr>
          <w:p>
            <w:pPr>
              <w:pStyle w:val="55"/>
              <w:rPr>
                <w:color w:val="000000" w:themeColor="text1"/>
              </w:rPr>
            </w:pPr>
            <w:r>
              <w:rPr>
                <w:rFonts w:hint="eastAsia"/>
                <w:color w:val="000000" w:themeColor="text1"/>
              </w:rPr>
              <w:t>场区内</w:t>
            </w:r>
          </w:p>
        </w:tc>
        <w:tc>
          <w:tcPr>
            <w:tcW w:w="2559" w:type="dxa"/>
            <w:vAlign w:val="center"/>
          </w:tcPr>
          <w:p>
            <w:pPr>
              <w:pStyle w:val="55"/>
              <w:rPr>
                <w:color w:val="000000" w:themeColor="text1"/>
              </w:rPr>
            </w:pPr>
            <w:r>
              <w:rPr>
                <w:rFonts w:hint="eastAsia"/>
                <w:color w:val="000000" w:themeColor="text1"/>
              </w:rPr>
              <w:t>进出车辆、人员噪声</w:t>
            </w:r>
          </w:p>
        </w:tc>
        <w:tc>
          <w:tcPr>
            <w:tcW w:w="3633" w:type="dxa"/>
            <w:vAlign w:val="center"/>
          </w:tcPr>
          <w:p>
            <w:pPr>
              <w:pStyle w:val="55"/>
              <w:rPr>
                <w:color w:val="000000" w:themeColor="text1"/>
              </w:rPr>
            </w:pPr>
            <w:r>
              <w:rPr>
                <w:rFonts w:hint="eastAsia"/>
                <w:color w:val="000000" w:themeColor="text1"/>
              </w:rPr>
              <w:t>自然衰减、绿化吸收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3" w:type="dxa"/>
            <w:vMerge w:val="restart"/>
            <w:vAlign w:val="center"/>
          </w:tcPr>
          <w:p>
            <w:pPr>
              <w:pStyle w:val="55"/>
              <w:rPr>
                <w:color w:val="000000" w:themeColor="text1"/>
              </w:rPr>
            </w:pPr>
            <w:r>
              <w:rPr>
                <w:rFonts w:hint="eastAsia"/>
                <w:color w:val="000000" w:themeColor="text1"/>
              </w:rPr>
              <w:t>固废</w:t>
            </w:r>
          </w:p>
        </w:tc>
        <w:tc>
          <w:tcPr>
            <w:tcW w:w="1729" w:type="dxa"/>
            <w:vAlign w:val="center"/>
          </w:tcPr>
          <w:p>
            <w:pPr>
              <w:pStyle w:val="55"/>
              <w:rPr>
                <w:color w:val="000000" w:themeColor="text1"/>
              </w:rPr>
            </w:pPr>
            <w:r>
              <w:rPr>
                <w:rFonts w:hint="eastAsia"/>
                <w:color w:val="000000" w:themeColor="text1"/>
              </w:rPr>
              <w:t>污水处理站</w:t>
            </w:r>
          </w:p>
        </w:tc>
        <w:tc>
          <w:tcPr>
            <w:tcW w:w="2559" w:type="dxa"/>
            <w:vAlign w:val="center"/>
          </w:tcPr>
          <w:p>
            <w:pPr>
              <w:pStyle w:val="55"/>
              <w:rPr>
                <w:color w:val="000000" w:themeColor="text1"/>
              </w:rPr>
            </w:pPr>
            <w:r>
              <w:rPr>
                <w:rFonts w:hint="eastAsia"/>
                <w:color w:val="000000" w:themeColor="text1"/>
              </w:rPr>
              <w:t>污泥、栅渣等</w:t>
            </w:r>
          </w:p>
        </w:tc>
        <w:tc>
          <w:tcPr>
            <w:tcW w:w="3633" w:type="dxa"/>
            <w:vAlign w:val="center"/>
          </w:tcPr>
          <w:p>
            <w:pPr>
              <w:pStyle w:val="55"/>
              <w:rPr>
                <w:color w:val="000000" w:themeColor="text1"/>
              </w:rPr>
            </w:pPr>
            <w:r>
              <w:rPr>
                <w:rFonts w:hint="eastAsia"/>
                <w:color w:val="000000" w:themeColor="text1"/>
              </w:rPr>
              <w:t>定期清掏，消毒脱水后由当地环卫部门进行清运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3" w:type="dxa"/>
            <w:vMerge w:val="continue"/>
            <w:vAlign w:val="center"/>
          </w:tcPr>
          <w:p>
            <w:pPr>
              <w:pStyle w:val="55"/>
              <w:rPr>
                <w:color w:val="000000" w:themeColor="text1"/>
              </w:rPr>
            </w:pPr>
          </w:p>
        </w:tc>
        <w:tc>
          <w:tcPr>
            <w:tcW w:w="1729" w:type="dxa"/>
            <w:vAlign w:val="center"/>
          </w:tcPr>
          <w:p>
            <w:pPr>
              <w:pStyle w:val="55"/>
              <w:rPr>
                <w:color w:val="000000" w:themeColor="text1"/>
              </w:rPr>
            </w:pPr>
            <w:r>
              <w:rPr>
                <w:rFonts w:hint="eastAsia"/>
                <w:color w:val="000000" w:themeColor="text1"/>
              </w:rPr>
              <w:t>水膜除尘系统</w:t>
            </w:r>
          </w:p>
        </w:tc>
        <w:tc>
          <w:tcPr>
            <w:tcW w:w="2559" w:type="dxa"/>
            <w:vAlign w:val="center"/>
          </w:tcPr>
          <w:p>
            <w:pPr>
              <w:pStyle w:val="55"/>
              <w:rPr>
                <w:color w:val="000000" w:themeColor="text1"/>
              </w:rPr>
            </w:pPr>
            <w:r>
              <w:rPr>
                <w:rFonts w:hint="eastAsia"/>
                <w:color w:val="000000" w:themeColor="text1"/>
              </w:rPr>
              <w:t>循环水池沉渣</w:t>
            </w:r>
          </w:p>
        </w:tc>
        <w:tc>
          <w:tcPr>
            <w:tcW w:w="3633" w:type="dxa"/>
            <w:vAlign w:val="center"/>
          </w:tcPr>
          <w:p>
            <w:pPr>
              <w:pStyle w:val="55"/>
              <w:rPr>
                <w:color w:val="000000" w:themeColor="text1"/>
              </w:rPr>
            </w:pPr>
            <w:bookmarkStart w:id="49" w:name="OLE_LINK1"/>
            <w:r>
              <w:rPr>
                <w:rFonts w:hint="eastAsia"/>
                <w:color w:val="000000" w:themeColor="text1"/>
              </w:rPr>
              <w:t>定期打捞后由当地环卫部门进行清运</w:t>
            </w:r>
            <w:bookmarkEnd w:id="4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3" w:type="dxa"/>
            <w:vMerge w:val="continue"/>
            <w:vAlign w:val="center"/>
          </w:tcPr>
          <w:p>
            <w:pPr>
              <w:pStyle w:val="55"/>
              <w:rPr>
                <w:color w:val="000000" w:themeColor="text1"/>
              </w:rPr>
            </w:pPr>
          </w:p>
        </w:tc>
        <w:tc>
          <w:tcPr>
            <w:tcW w:w="1729" w:type="dxa"/>
            <w:vMerge w:val="restart"/>
            <w:vAlign w:val="center"/>
          </w:tcPr>
          <w:p>
            <w:pPr>
              <w:pStyle w:val="55"/>
              <w:rPr>
                <w:color w:val="000000" w:themeColor="text1"/>
              </w:rPr>
            </w:pPr>
            <w:r>
              <w:rPr>
                <w:rFonts w:hint="eastAsia"/>
                <w:color w:val="000000" w:themeColor="text1"/>
              </w:rPr>
              <w:t>职工生活</w:t>
            </w:r>
          </w:p>
        </w:tc>
        <w:tc>
          <w:tcPr>
            <w:tcW w:w="2559" w:type="dxa"/>
            <w:vAlign w:val="center"/>
          </w:tcPr>
          <w:p>
            <w:pPr>
              <w:pStyle w:val="55"/>
              <w:rPr>
                <w:color w:val="000000" w:themeColor="text1"/>
              </w:rPr>
            </w:pPr>
            <w:r>
              <w:rPr>
                <w:rFonts w:hint="eastAsia"/>
                <w:color w:val="000000" w:themeColor="text1"/>
              </w:rPr>
              <w:t>生活垃圾</w:t>
            </w:r>
          </w:p>
        </w:tc>
        <w:tc>
          <w:tcPr>
            <w:tcW w:w="3633" w:type="dxa"/>
            <w:vAlign w:val="center"/>
          </w:tcPr>
          <w:p>
            <w:pPr>
              <w:pStyle w:val="55"/>
              <w:rPr>
                <w:color w:val="000000" w:themeColor="text1"/>
              </w:rPr>
            </w:pPr>
            <w:r>
              <w:rPr>
                <w:rFonts w:hint="eastAsia"/>
                <w:color w:val="000000" w:themeColor="text1"/>
              </w:rPr>
              <w:t>由当地环卫部门进行清运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3" w:type="dxa"/>
            <w:vMerge w:val="continue"/>
            <w:vAlign w:val="center"/>
          </w:tcPr>
          <w:p>
            <w:pPr>
              <w:pStyle w:val="55"/>
              <w:rPr>
                <w:color w:val="000000" w:themeColor="text1"/>
              </w:rPr>
            </w:pPr>
          </w:p>
        </w:tc>
        <w:tc>
          <w:tcPr>
            <w:tcW w:w="1729" w:type="dxa"/>
            <w:vMerge w:val="continue"/>
            <w:vAlign w:val="center"/>
          </w:tcPr>
          <w:p>
            <w:pPr>
              <w:pStyle w:val="55"/>
              <w:rPr>
                <w:color w:val="000000" w:themeColor="text1"/>
              </w:rPr>
            </w:pPr>
          </w:p>
        </w:tc>
        <w:tc>
          <w:tcPr>
            <w:tcW w:w="2559" w:type="dxa"/>
            <w:vAlign w:val="center"/>
          </w:tcPr>
          <w:p>
            <w:pPr>
              <w:pStyle w:val="55"/>
              <w:rPr>
                <w:color w:val="000000" w:themeColor="text1"/>
              </w:rPr>
            </w:pPr>
            <w:r>
              <w:rPr>
                <w:rFonts w:hint="eastAsia"/>
                <w:color w:val="000000" w:themeColor="text1"/>
              </w:rPr>
              <w:t>化粪池污泥</w:t>
            </w:r>
          </w:p>
        </w:tc>
        <w:tc>
          <w:tcPr>
            <w:tcW w:w="3633" w:type="dxa"/>
            <w:vAlign w:val="center"/>
          </w:tcPr>
          <w:p>
            <w:pPr>
              <w:pStyle w:val="55"/>
              <w:rPr>
                <w:color w:val="000000" w:themeColor="text1"/>
              </w:rPr>
            </w:pPr>
            <w:r>
              <w:rPr>
                <w:rFonts w:hint="eastAsia"/>
                <w:color w:val="000000" w:themeColor="text1"/>
              </w:rPr>
              <w:t>定期清掏，消毒脱水后由当地环卫部门进行清运</w:t>
            </w:r>
          </w:p>
        </w:tc>
      </w:tr>
    </w:tbl>
    <w:p>
      <w:pPr>
        <w:pStyle w:val="38"/>
        <w:ind w:firstLine="281"/>
        <w:rPr>
          <w:color w:val="000000" w:themeColor="text1"/>
        </w:rPr>
      </w:pPr>
      <w:bookmarkStart w:id="50" w:name="_Toc47375810"/>
      <w:r>
        <w:rPr>
          <w:rFonts w:hint="eastAsia"/>
          <w:color w:val="000000" w:themeColor="text1"/>
        </w:rPr>
        <w:t>2.6.3物料平衡</w:t>
      </w:r>
      <w:bookmarkEnd w:id="50"/>
    </w:p>
    <w:p>
      <w:pPr>
        <w:ind w:firstLine="480"/>
        <w:rPr>
          <w:rFonts w:ascii="Calibri" w:hAnsi="Calibri" w:cs="Calibri"/>
          <w:color w:val="000000" w:themeColor="text1"/>
        </w:rPr>
      </w:pPr>
      <w:r>
        <w:rPr>
          <w:rFonts w:hint="eastAsia" w:ascii="Calibri" w:hAnsi="Calibri" w:cs="Calibri"/>
          <w:color w:val="000000" w:themeColor="text1"/>
        </w:rPr>
        <w:t>本项目生猪屠宰生产线的产品为生猪肉和副产品（头、蹄、尾、内脏、血、脂肪、猪毛等）。项目共设有1条生猪屠宰生产线，预计年屠宰生猪15万头，每头猪按</w:t>
      </w:r>
      <w:r>
        <w:rPr>
          <w:rFonts w:ascii="Calibri" w:hAnsi="Calibri" w:cs="Calibri"/>
          <w:color w:val="000000" w:themeColor="text1"/>
        </w:rPr>
        <w:t>100kg</w:t>
      </w:r>
      <w:r>
        <w:rPr>
          <w:rFonts w:hint="eastAsia" w:ascii="Calibri" w:hAnsi="Calibri" w:cs="Calibri"/>
          <w:color w:val="000000" w:themeColor="text1"/>
        </w:rPr>
        <w:t>计。项目猪产品物</w:t>
      </w:r>
      <w:r>
        <w:rPr>
          <w:rFonts w:hAnsi="Calibri" w:cs="Times New Roman"/>
          <w:color w:val="000000" w:themeColor="text1"/>
        </w:rPr>
        <w:t>料平衡详见表</w:t>
      </w:r>
      <w:r>
        <w:rPr>
          <w:rFonts w:cs="Times New Roman"/>
          <w:color w:val="000000" w:themeColor="text1"/>
        </w:rPr>
        <w:t>2.6.3-1</w:t>
      </w:r>
      <w:r>
        <w:rPr>
          <w:rFonts w:hAnsi="Calibri" w:cs="Times New Roman"/>
          <w:color w:val="000000" w:themeColor="text1"/>
        </w:rPr>
        <w:t>。</w:t>
      </w:r>
    </w:p>
    <w:p>
      <w:pPr>
        <w:pStyle w:val="54"/>
        <w:rPr>
          <w:color w:val="000000" w:themeColor="text1"/>
        </w:rPr>
      </w:pPr>
      <w:r>
        <w:rPr>
          <w:rFonts w:hint="eastAsia"/>
          <w:color w:val="000000" w:themeColor="text1"/>
        </w:rPr>
        <w:t>表2.6.3-1 项目猪产品物料平衡一览表</w:t>
      </w:r>
    </w:p>
    <w:tbl>
      <w:tblPr>
        <w:tblStyle w:val="42"/>
        <w:tblW w:w="808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992"/>
        <w:gridCol w:w="992"/>
        <w:gridCol w:w="1134"/>
        <w:gridCol w:w="1134"/>
        <w:gridCol w:w="1418"/>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135" w:type="dxa"/>
            <w:vAlign w:val="center"/>
          </w:tcPr>
          <w:p>
            <w:pPr>
              <w:pStyle w:val="55"/>
              <w:rPr>
                <w:color w:val="000000" w:themeColor="text1"/>
              </w:rPr>
            </w:pPr>
            <w:r>
              <w:rPr>
                <w:rFonts w:hint="eastAsia"/>
                <w:color w:val="000000" w:themeColor="text1"/>
              </w:rPr>
              <w:t>投入（</w:t>
            </w:r>
            <w:r>
              <w:rPr>
                <w:color w:val="000000" w:themeColor="text1"/>
              </w:rPr>
              <w:t>t/a</w:t>
            </w:r>
            <w:r>
              <w:rPr>
                <w:rFonts w:hint="eastAsia"/>
                <w:color w:val="000000" w:themeColor="text1"/>
              </w:rPr>
              <w:t>）</w:t>
            </w:r>
          </w:p>
        </w:tc>
        <w:tc>
          <w:tcPr>
            <w:tcW w:w="6945" w:type="dxa"/>
            <w:gridSpan w:val="6"/>
            <w:vAlign w:val="center"/>
          </w:tcPr>
          <w:p>
            <w:pPr>
              <w:pStyle w:val="55"/>
              <w:rPr>
                <w:color w:val="000000" w:themeColor="text1"/>
              </w:rPr>
            </w:pPr>
            <w:r>
              <w:rPr>
                <w:rFonts w:hint="eastAsia"/>
                <w:color w:val="000000" w:themeColor="text1"/>
              </w:rPr>
              <w:t>产出（</w:t>
            </w:r>
            <w:r>
              <w:rPr>
                <w:color w:val="000000" w:themeColor="text1"/>
              </w:rPr>
              <w:t>t/a</w:t>
            </w:r>
            <w:r>
              <w:rPr>
                <w:rFonts w:hint="eastAsia"/>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135" w:type="dxa"/>
            <w:vMerge w:val="restart"/>
            <w:vAlign w:val="center"/>
          </w:tcPr>
          <w:p>
            <w:pPr>
              <w:pStyle w:val="55"/>
              <w:rPr>
                <w:color w:val="000000" w:themeColor="text1"/>
              </w:rPr>
            </w:pPr>
            <w:r>
              <w:rPr>
                <w:rFonts w:hint="eastAsia"/>
                <w:color w:val="000000" w:themeColor="text1"/>
              </w:rPr>
              <w:t>15000</w:t>
            </w:r>
          </w:p>
        </w:tc>
        <w:tc>
          <w:tcPr>
            <w:tcW w:w="1984" w:type="dxa"/>
            <w:gridSpan w:val="2"/>
            <w:vAlign w:val="center"/>
          </w:tcPr>
          <w:p>
            <w:pPr>
              <w:pStyle w:val="55"/>
              <w:rPr>
                <w:color w:val="000000" w:themeColor="text1"/>
              </w:rPr>
            </w:pPr>
            <w:r>
              <w:rPr>
                <w:rFonts w:hint="eastAsia"/>
                <w:color w:val="000000" w:themeColor="text1"/>
              </w:rPr>
              <w:t>主产品</w:t>
            </w:r>
          </w:p>
        </w:tc>
        <w:tc>
          <w:tcPr>
            <w:tcW w:w="2268" w:type="dxa"/>
            <w:gridSpan w:val="2"/>
            <w:vAlign w:val="center"/>
          </w:tcPr>
          <w:p>
            <w:pPr>
              <w:pStyle w:val="55"/>
              <w:rPr>
                <w:color w:val="000000" w:themeColor="text1"/>
              </w:rPr>
            </w:pPr>
            <w:r>
              <w:rPr>
                <w:rFonts w:hint="eastAsia"/>
                <w:color w:val="000000" w:themeColor="text1"/>
              </w:rPr>
              <w:t>副产品</w:t>
            </w:r>
          </w:p>
        </w:tc>
        <w:tc>
          <w:tcPr>
            <w:tcW w:w="2693" w:type="dxa"/>
            <w:gridSpan w:val="2"/>
            <w:vAlign w:val="center"/>
          </w:tcPr>
          <w:p>
            <w:pPr>
              <w:pStyle w:val="55"/>
              <w:rPr>
                <w:color w:val="000000" w:themeColor="text1"/>
              </w:rPr>
            </w:pPr>
            <w:r>
              <w:rPr>
                <w:rFonts w:hint="eastAsia"/>
                <w:color w:val="000000" w:themeColor="text1"/>
              </w:rPr>
              <w:t>固体废物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135" w:type="dxa"/>
            <w:vMerge w:val="continue"/>
            <w:vAlign w:val="center"/>
          </w:tcPr>
          <w:p>
            <w:pPr>
              <w:pStyle w:val="55"/>
              <w:rPr>
                <w:color w:val="000000" w:themeColor="text1"/>
              </w:rPr>
            </w:pPr>
          </w:p>
        </w:tc>
        <w:tc>
          <w:tcPr>
            <w:tcW w:w="992" w:type="dxa"/>
            <w:vMerge w:val="restart"/>
            <w:vAlign w:val="center"/>
          </w:tcPr>
          <w:p>
            <w:pPr>
              <w:pStyle w:val="55"/>
              <w:rPr>
                <w:color w:val="000000" w:themeColor="text1"/>
              </w:rPr>
            </w:pPr>
            <w:r>
              <w:rPr>
                <w:rFonts w:hint="eastAsia"/>
                <w:color w:val="000000" w:themeColor="text1"/>
              </w:rPr>
              <w:t>生猪肉</w:t>
            </w:r>
          </w:p>
        </w:tc>
        <w:tc>
          <w:tcPr>
            <w:tcW w:w="992" w:type="dxa"/>
            <w:vMerge w:val="restart"/>
            <w:vAlign w:val="center"/>
          </w:tcPr>
          <w:p>
            <w:pPr>
              <w:pStyle w:val="55"/>
              <w:rPr>
                <w:color w:val="000000" w:themeColor="text1"/>
              </w:rPr>
            </w:pPr>
            <w:r>
              <w:rPr>
                <w:rFonts w:hint="eastAsia"/>
                <w:color w:val="000000" w:themeColor="text1"/>
              </w:rPr>
              <w:t>12000</w:t>
            </w:r>
          </w:p>
        </w:tc>
        <w:tc>
          <w:tcPr>
            <w:tcW w:w="1134" w:type="dxa"/>
            <w:vAlign w:val="center"/>
          </w:tcPr>
          <w:p>
            <w:pPr>
              <w:pStyle w:val="55"/>
              <w:rPr>
                <w:color w:val="000000" w:themeColor="text1"/>
              </w:rPr>
            </w:pPr>
            <w:r>
              <w:rPr>
                <w:rFonts w:hint="eastAsia"/>
                <w:color w:val="000000" w:themeColor="text1"/>
              </w:rPr>
              <w:t>猪下货</w:t>
            </w:r>
          </w:p>
        </w:tc>
        <w:tc>
          <w:tcPr>
            <w:tcW w:w="1134" w:type="dxa"/>
            <w:vAlign w:val="center"/>
          </w:tcPr>
          <w:p>
            <w:pPr>
              <w:pStyle w:val="55"/>
              <w:rPr>
                <w:color w:val="000000" w:themeColor="text1"/>
              </w:rPr>
            </w:pPr>
            <w:r>
              <w:rPr>
                <w:rFonts w:hint="eastAsia"/>
                <w:color w:val="000000" w:themeColor="text1"/>
              </w:rPr>
              <w:t>1700</w:t>
            </w:r>
          </w:p>
        </w:tc>
        <w:tc>
          <w:tcPr>
            <w:tcW w:w="1418" w:type="dxa"/>
            <w:vAlign w:val="center"/>
          </w:tcPr>
          <w:p>
            <w:pPr>
              <w:pStyle w:val="55"/>
              <w:rPr>
                <w:color w:val="000000" w:themeColor="text1"/>
              </w:rPr>
            </w:pPr>
            <w:r>
              <w:rPr>
                <w:rFonts w:hint="eastAsia"/>
                <w:color w:val="000000" w:themeColor="text1"/>
              </w:rPr>
              <w:t>猪粪</w:t>
            </w:r>
          </w:p>
        </w:tc>
        <w:tc>
          <w:tcPr>
            <w:tcW w:w="1275" w:type="dxa"/>
            <w:vAlign w:val="center"/>
          </w:tcPr>
          <w:p>
            <w:pPr>
              <w:pStyle w:val="55"/>
              <w:rPr>
                <w:color w:val="000000" w:themeColor="text1"/>
              </w:rPr>
            </w:pPr>
            <w:r>
              <w:rPr>
                <w:rFonts w:hint="eastAsia"/>
                <w:color w:val="000000" w:themeColor="text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1135" w:type="dxa"/>
            <w:vMerge w:val="continue"/>
            <w:vAlign w:val="center"/>
          </w:tcPr>
          <w:p>
            <w:pPr>
              <w:pStyle w:val="55"/>
              <w:rPr>
                <w:color w:val="000000" w:themeColor="text1"/>
              </w:rPr>
            </w:pPr>
          </w:p>
        </w:tc>
        <w:tc>
          <w:tcPr>
            <w:tcW w:w="992" w:type="dxa"/>
            <w:vMerge w:val="continue"/>
            <w:vAlign w:val="center"/>
          </w:tcPr>
          <w:p>
            <w:pPr>
              <w:pStyle w:val="55"/>
              <w:rPr>
                <w:color w:val="000000" w:themeColor="text1"/>
              </w:rPr>
            </w:pPr>
          </w:p>
        </w:tc>
        <w:tc>
          <w:tcPr>
            <w:tcW w:w="992" w:type="dxa"/>
            <w:vMerge w:val="continue"/>
            <w:vAlign w:val="center"/>
          </w:tcPr>
          <w:p>
            <w:pPr>
              <w:pStyle w:val="55"/>
              <w:rPr>
                <w:color w:val="000000" w:themeColor="text1"/>
              </w:rPr>
            </w:pPr>
          </w:p>
        </w:tc>
        <w:tc>
          <w:tcPr>
            <w:tcW w:w="1134" w:type="dxa"/>
            <w:vAlign w:val="center"/>
          </w:tcPr>
          <w:p>
            <w:pPr>
              <w:pStyle w:val="55"/>
              <w:rPr>
                <w:color w:val="000000" w:themeColor="text1"/>
              </w:rPr>
            </w:pPr>
            <w:r>
              <w:rPr>
                <w:rFonts w:hint="eastAsia"/>
                <w:color w:val="000000" w:themeColor="text1"/>
              </w:rPr>
              <w:t>猪血</w:t>
            </w:r>
          </w:p>
        </w:tc>
        <w:tc>
          <w:tcPr>
            <w:tcW w:w="1134" w:type="dxa"/>
            <w:vAlign w:val="center"/>
          </w:tcPr>
          <w:p>
            <w:pPr>
              <w:pStyle w:val="55"/>
              <w:rPr>
                <w:color w:val="000000" w:themeColor="text1"/>
              </w:rPr>
            </w:pPr>
            <w:r>
              <w:rPr>
                <w:rFonts w:hint="eastAsia"/>
                <w:color w:val="000000" w:themeColor="text1"/>
              </w:rPr>
              <w:t>370</w:t>
            </w:r>
          </w:p>
        </w:tc>
        <w:tc>
          <w:tcPr>
            <w:tcW w:w="1418" w:type="dxa"/>
            <w:vAlign w:val="center"/>
          </w:tcPr>
          <w:p>
            <w:pPr>
              <w:pStyle w:val="55"/>
              <w:rPr>
                <w:color w:val="000000" w:themeColor="text1"/>
              </w:rPr>
            </w:pPr>
            <w:r>
              <w:rPr>
                <w:rFonts w:hint="eastAsia"/>
                <w:color w:val="000000" w:themeColor="text1"/>
              </w:rPr>
              <w:t>不合格产品</w:t>
            </w:r>
          </w:p>
        </w:tc>
        <w:tc>
          <w:tcPr>
            <w:tcW w:w="1275" w:type="dxa"/>
            <w:vAlign w:val="center"/>
          </w:tcPr>
          <w:p>
            <w:pPr>
              <w:pStyle w:val="55"/>
              <w:rPr>
                <w:color w:val="000000" w:themeColor="text1"/>
              </w:rPr>
            </w:pPr>
            <w:r>
              <w:rPr>
                <w:rFonts w:hint="eastAsia"/>
                <w:color w:val="000000" w:themeColor="text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35" w:type="dxa"/>
            <w:vMerge w:val="continue"/>
            <w:vAlign w:val="center"/>
          </w:tcPr>
          <w:p>
            <w:pPr>
              <w:pStyle w:val="55"/>
              <w:rPr>
                <w:color w:val="000000" w:themeColor="text1"/>
              </w:rPr>
            </w:pPr>
          </w:p>
        </w:tc>
        <w:tc>
          <w:tcPr>
            <w:tcW w:w="992" w:type="dxa"/>
            <w:vMerge w:val="continue"/>
            <w:vAlign w:val="center"/>
          </w:tcPr>
          <w:p>
            <w:pPr>
              <w:pStyle w:val="55"/>
              <w:rPr>
                <w:color w:val="000000" w:themeColor="text1"/>
              </w:rPr>
            </w:pPr>
          </w:p>
        </w:tc>
        <w:tc>
          <w:tcPr>
            <w:tcW w:w="992" w:type="dxa"/>
            <w:vMerge w:val="continue"/>
            <w:vAlign w:val="center"/>
          </w:tcPr>
          <w:p>
            <w:pPr>
              <w:pStyle w:val="55"/>
              <w:rPr>
                <w:color w:val="000000" w:themeColor="text1"/>
              </w:rPr>
            </w:pPr>
          </w:p>
        </w:tc>
        <w:tc>
          <w:tcPr>
            <w:tcW w:w="1134" w:type="dxa"/>
            <w:vAlign w:val="center"/>
          </w:tcPr>
          <w:p>
            <w:pPr>
              <w:pStyle w:val="55"/>
              <w:rPr>
                <w:color w:val="000000" w:themeColor="text1"/>
              </w:rPr>
            </w:pPr>
            <w:r>
              <w:rPr>
                <w:rFonts w:hint="eastAsia"/>
                <w:color w:val="000000" w:themeColor="text1"/>
              </w:rPr>
              <w:t>脂肪</w:t>
            </w:r>
          </w:p>
        </w:tc>
        <w:tc>
          <w:tcPr>
            <w:tcW w:w="1134" w:type="dxa"/>
            <w:vAlign w:val="center"/>
          </w:tcPr>
          <w:p>
            <w:pPr>
              <w:pStyle w:val="55"/>
              <w:rPr>
                <w:color w:val="000000" w:themeColor="text1"/>
              </w:rPr>
            </w:pPr>
            <w:r>
              <w:rPr>
                <w:rFonts w:hint="eastAsia"/>
                <w:color w:val="000000" w:themeColor="text1"/>
              </w:rPr>
              <w:t>700</w:t>
            </w:r>
          </w:p>
        </w:tc>
        <w:tc>
          <w:tcPr>
            <w:tcW w:w="1418" w:type="dxa"/>
            <w:vAlign w:val="center"/>
          </w:tcPr>
          <w:p>
            <w:pPr>
              <w:pStyle w:val="55"/>
              <w:rPr>
                <w:color w:val="000000" w:themeColor="text1"/>
              </w:rPr>
            </w:pPr>
            <w:r>
              <w:rPr>
                <w:rFonts w:hint="eastAsia"/>
                <w:color w:val="000000" w:themeColor="text1"/>
              </w:rPr>
              <w:t>碎肉、碎骨</w:t>
            </w:r>
          </w:p>
        </w:tc>
        <w:tc>
          <w:tcPr>
            <w:tcW w:w="1275" w:type="dxa"/>
            <w:vAlign w:val="center"/>
          </w:tcPr>
          <w:p>
            <w:pPr>
              <w:pStyle w:val="55"/>
              <w:rPr>
                <w:color w:val="000000" w:themeColor="text1"/>
              </w:rPr>
            </w:pPr>
            <w:r>
              <w:rPr>
                <w:rFonts w:hint="eastAsia"/>
                <w:color w:val="000000" w:themeColor="text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135" w:type="dxa"/>
            <w:vMerge w:val="continue"/>
            <w:vAlign w:val="center"/>
          </w:tcPr>
          <w:p>
            <w:pPr>
              <w:pStyle w:val="55"/>
              <w:rPr>
                <w:color w:val="000000" w:themeColor="text1"/>
              </w:rPr>
            </w:pPr>
          </w:p>
        </w:tc>
        <w:tc>
          <w:tcPr>
            <w:tcW w:w="992" w:type="dxa"/>
            <w:vMerge w:val="continue"/>
            <w:vAlign w:val="center"/>
          </w:tcPr>
          <w:p>
            <w:pPr>
              <w:pStyle w:val="55"/>
              <w:rPr>
                <w:color w:val="000000" w:themeColor="text1"/>
              </w:rPr>
            </w:pPr>
          </w:p>
        </w:tc>
        <w:tc>
          <w:tcPr>
            <w:tcW w:w="992" w:type="dxa"/>
            <w:vMerge w:val="continue"/>
            <w:vAlign w:val="center"/>
          </w:tcPr>
          <w:p>
            <w:pPr>
              <w:pStyle w:val="55"/>
              <w:rPr>
                <w:color w:val="000000" w:themeColor="text1"/>
              </w:rPr>
            </w:pPr>
          </w:p>
        </w:tc>
        <w:tc>
          <w:tcPr>
            <w:tcW w:w="1134" w:type="dxa"/>
            <w:vAlign w:val="center"/>
          </w:tcPr>
          <w:p>
            <w:pPr>
              <w:pStyle w:val="55"/>
              <w:rPr>
                <w:color w:val="000000" w:themeColor="text1"/>
              </w:rPr>
            </w:pPr>
            <w:r>
              <w:rPr>
                <w:rFonts w:hint="eastAsia"/>
                <w:color w:val="000000" w:themeColor="text1"/>
              </w:rPr>
              <w:t>猪毛</w:t>
            </w:r>
          </w:p>
        </w:tc>
        <w:tc>
          <w:tcPr>
            <w:tcW w:w="1134" w:type="dxa"/>
            <w:vAlign w:val="center"/>
          </w:tcPr>
          <w:p>
            <w:pPr>
              <w:pStyle w:val="55"/>
              <w:rPr>
                <w:color w:val="000000" w:themeColor="text1"/>
              </w:rPr>
            </w:pPr>
            <w:r>
              <w:rPr>
                <w:rFonts w:hint="eastAsia"/>
                <w:color w:val="000000" w:themeColor="text1"/>
              </w:rPr>
              <w:t>15</w:t>
            </w:r>
          </w:p>
        </w:tc>
        <w:tc>
          <w:tcPr>
            <w:tcW w:w="1418" w:type="dxa"/>
            <w:vAlign w:val="center"/>
          </w:tcPr>
          <w:p>
            <w:pPr>
              <w:pStyle w:val="55"/>
              <w:rPr>
                <w:color w:val="000000" w:themeColor="text1"/>
              </w:rPr>
            </w:pPr>
            <w:r>
              <w:rPr>
                <w:color w:val="000000" w:themeColor="text1"/>
              </w:rPr>
              <w:t>其他</w:t>
            </w:r>
          </w:p>
        </w:tc>
        <w:tc>
          <w:tcPr>
            <w:tcW w:w="1275" w:type="dxa"/>
            <w:vAlign w:val="center"/>
          </w:tcPr>
          <w:p>
            <w:pPr>
              <w:pStyle w:val="55"/>
              <w:rPr>
                <w:color w:val="000000" w:themeColor="text1"/>
              </w:rPr>
            </w:pPr>
            <w:r>
              <w:rPr>
                <w:rFonts w:hint="eastAsia"/>
                <w:color w:val="000000" w:themeColor="text1"/>
              </w:rPr>
              <w:t>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1135" w:type="dxa"/>
            <w:vMerge w:val="continue"/>
            <w:vAlign w:val="center"/>
          </w:tcPr>
          <w:p>
            <w:pPr>
              <w:pStyle w:val="55"/>
              <w:rPr>
                <w:color w:val="000000" w:themeColor="text1"/>
              </w:rPr>
            </w:pPr>
          </w:p>
        </w:tc>
        <w:tc>
          <w:tcPr>
            <w:tcW w:w="992" w:type="dxa"/>
            <w:vMerge w:val="continue"/>
            <w:vAlign w:val="center"/>
          </w:tcPr>
          <w:p>
            <w:pPr>
              <w:pStyle w:val="55"/>
              <w:rPr>
                <w:color w:val="000000" w:themeColor="text1"/>
              </w:rPr>
            </w:pPr>
          </w:p>
        </w:tc>
        <w:tc>
          <w:tcPr>
            <w:tcW w:w="992" w:type="dxa"/>
            <w:vMerge w:val="continue"/>
            <w:vAlign w:val="center"/>
          </w:tcPr>
          <w:p>
            <w:pPr>
              <w:pStyle w:val="55"/>
              <w:rPr>
                <w:color w:val="000000" w:themeColor="text1"/>
              </w:rPr>
            </w:pPr>
          </w:p>
        </w:tc>
        <w:tc>
          <w:tcPr>
            <w:tcW w:w="1134" w:type="dxa"/>
            <w:vAlign w:val="center"/>
          </w:tcPr>
          <w:p>
            <w:pPr>
              <w:pStyle w:val="55"/>
              <w:rPr>
                <w:color w:val="000000" w:themeColor="text1"/>
              </w:rPr>
            </w:pPr>
            <w:r>
              <w:rPr>
                <w:rFonts w:hint="eastAsia"/>
                <w:color w:val="000000" w:themeColor="text1"/>
              </w:rPr>
              <w:t>其他</w:t>
            </w:r>
          </w:p>
        </w:tc>
        <w:tc>
          <w:tcPr>
            <w:tcW w:w="1134" w:type="dxa"/>
            <w:vAlign w:val="center"/>
          </w:tcPr>
          <w:p>
            <w:pPr>
              <w:pStyle w:val="55"/>
              <w:rPr>
                <w:color w:val="000000" w:themeColor="text1"/>
              </w:rPr>
            </w:pPr>
            <w:r>
              <w:rPr>
                <w:rFonts w:hint="eastAsia"/>
                <w:color w:val="000000" w:themeColor="text1"/>
              </w:rPr>
              <w:t>30</w:t>
            </w:r>
          </w:p>
        </w:tc>
        <w:tc>
          <w:tcPr>
            <w:tcW w:w="1418" w:type="dxa"/>
            <w:vAlign w:val="center"/>
          </w:tcPr>
          <w:p>
            <w:pPr>
              <w:pStyle w:val="55"/>
              <w:rPr>
                <w:color w:val="000000" w:themeColor="text1"/>
              </w:rPr>
            </w:pPr>
          </w:p>
        </w:tc>
        <w:tc>
          <w:tcPr>
            <w:tcW w:w="1275" w:type="dxa"/>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135" w:type="dxa"/>
            <w:vMerge w:val="continue"/>
            <w:vAlign w:val="center"/>
          </w:tcPr>
          <w:p>
            <w:pPr>
              <w:pStyle w:val="55"/>
              <w:rPr>
                <w:color w:val="000000" w:themeColor="text1"/>
              </w:rPr>
            </w:pPr>
          </w:p>
        </w:tc>
        <w:tc>
          <w:tcPr>
            <w:tcW w:w="992" w:type="dxa"/>
            <w:vAlign w:val="center"/>
          </w:tcPr>
          <w:p>
            <w:pPr>
              <w:pStyle w:val="55"/>
              <w:rPr>
                <w:color w:val="000000" w:themeColor="text1"/>
              </w:rPr>
            </w:pPr>
            <w:r>
              <w:rPr>
                <w:rFonts w:hint="eastAsia"/>
                <w:color w:val="000000" w:themeColor="text1"/>
              </w:rPr>
              <w:t>年合计</w:t>
            </w:r>
          </w:p>
        </w:tc>
        <w:tc>
          <w:tcPr>
            <w:tcW w:w="992" w:type="dxa"/>
            <w:vAlign w:val="center"/>
          </w:tcPr>
          <w:p>
            <w:pPr>
              <w:pStyle w:val="55"/>
              <w:rPr>
                <w:color w:val="000000" w:themeColor="text1"/>
              </w:rPr>
            </w:pPr>
            <w:r>
              <w:rPr>
                <w:rFonts w:hint="eastAsia"/>
                <w:color w:val="000000" w:themeColor="text1"/>
              </w:rPr>
              <w:t>12000</w:t>
            </w:r>
          </w:p>
        </w:tc>
        <w:tc>
          <w:tcPr>
            <w:tcW w:w="1134" w:type="dxa"/>
            <w:vAlign w:val="center"/>
          </w:tcPr>
          <w:p>
            <w:pPr>
              <w:pStyle w:val="55"/>
              <w:rPr>
                <w:color w:val="000000" w:themeColor="text1"/>
              </w:rPr>
            </w:pPr>
            <w:r>
              <w:rPr>
                <w:rFonts w:hint="eastAsia"/>
                <w:color w:val="000000" w:themeColor="text1"/>
              </w:rPr>
              <w:t>年合计</w:t>
            </w:r>
          </w:p>
        </w:tc>
        <w:tc>
          <w:tcPr>
            <w:tcW w:w="1134" w:type="dxa"/>
            <w:vAlign w:val="center"/>
          </w:tcPr>
          <w:p>
            <w:pPr>
              <w:pStyle w:val="55"/>
              <w:rPr>
                <w:color w:val="000000" w:themeColor="text1"/>
              </w:rPr>
            </w:pPr>
            <w:r>
              <w:rPr>
                <w:rFonts w:hint="eastAsia"/>
                <w:color w:val="000000" w:themeColor="text1"/>
              </w:rPr>
              <w:t>2815</w:t>
            </w:r>
          </w:p>
        </w:tc>
        <w:tc>
          <w:tcPr>
            <w:tcW w:w="1418" w:type="dxa"/>
            <w:vAlign w:val="center"/>
          </w:tcPr>
          <w:p>
            <w:pPr>
              <w:pStyle w:val="55"/>
              <w:rPr>
                <w:color w:val="000000" w:themeColor="text1"/>
              </w:rPr>
            </w:pPr>
            <w:r>
              <w:rPr>
                <w:rFonts w:hint="eastAsia"/>
                <w:color w:val="000000" w:themeColor="text1"/>
              </w:rPr>
              <w:t>年合计</w:t>
            </w:r>
          </w:p>
        </w:tc>
        <w:tc>
          <w:tcPr>
            <w:tcW w:w="1275" w:type="dxa"/>
            <w:vAlign w:val="center"/>
          </w:tcPr>
          <w:p>
            <w:pPr>
              <w:pStyle w:val="55"/>
              <w:rPr>
                <w:color w:val="000000" w:themeColor="text1"/>
              </w:rPr>
            </w:pPr>
            <w:r>
              <w:rPr>
                <w:rFonts w:hint="eastAsia"/>
                <w:color w:val="000000" w:themeColor="text1"/>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135" w:type="dxa"/>
            <w:vMerge w:val="continue"/>
            <w:vAlign w:val="center"/>
          </w:tcPr>
          <w:p>
            <w:pPr>
              <w:pStyle w:val="55"/>
              <w:rPr>
                <w:color w:val="000000" w:themeColor="text1"/>
              </w:rPr>
            </w:pPr>
          </w:p>
        </w:tc>
        <w:tc>
          <w:tcPr>
            <w:tcW w:w="6945" w:type="dxa"/>
            <w:gridSpan w:val="6"/>
            <w:vAlign w:val="center"/>
          </w:tcPr>
          <w:p>
            <w:pPr>
              <w:pStyle w:val="55"/>
              <w:rPr>
                <w:color w:val="000000" w:themeColor="text1"/>
              </w:rPr>
            </w:pPr>
            <w:r>
              <w:rPr>
                <w:rFonts w:hint="eastAsia"/>
                <w:color w:val="000000" w:themeColor="text1"/>
              </w:rPr>
              <w:t>总计：15000</w:t>
            </w:r>
          </w:p>
        </w:tc>
      </w:tr>
    </w:tbl>
    <w:p>
      <w:pPr>
        <w:ind w:firstLine="480"/>
        <w:rPr>
          <w:rFonts w:ascii="Calibri" w:hAnsi="Calibri" w:cs="Calibri"/>
          <w:color w:val="000000" w:themeColor="text1"/>
        </w:rPr>
      </w:pPr>
      <w:r>
        <w:rPr>
          <w:color w:val="000000" w:themeColor="text1"/>
        </w:rPr>
        <w:t>本项目宰鸡场的产品为白条鸡</w:t>
      </w:r>
      <w:r>
        <w:rPr>
          <w:rFonts w:hint="eastAsia" w:ascii="Calibri" w:hAnsi="Calibri" w:cs="Calibri"/>
          <w:color w:val="000000" w:themeColor="text1"/>
        </w:rPr>
        <w:t>（不进行分割和去头爪）</w:t>
      </w:r>
      <w:r>
        <w:rPr>
          <w:color w:val="000000" w:themeColor="text1"/>
        </w:rPr>
        <w:t>和副产品</w:t>
      </w:r>
      <w:r>
        <w:rPr>
          <w:rFonts w:hint="eastAsia"/>
          <w:color w:val="000000" w:themeColor="text1"/>
        </w:rPr>
        <w:t>。项目共设有1条</w:t>
      </w:r>
      <w:r>
        <w:rPr>
          <w:rFonts w:hint="eastAsia"/>
          <w:color w:val="FF0000"/>
        </w:rPr>
        <w:t>家禽屠宰生产线</w:t>
      </w:r>
      <w:r>
        <w:rPr>
          <w:rFonts w:hint="eastAsia"/>
          <w:color w:val="000000" w:themeColor="text1"/>
        </w:rPr>
        <w:t>，预计年屠宰生鸡80万只，每只鸡按3</w:t>
      </w:r>
      <w:r>
        <w:rPr>
          <w:color w:val="000000" w:themeColor="text1"/>
        </w:rPr>
        <w:t>kg</w:t>
      </w:r>
      <w:r>
        <w:rPr>
          <w:rFonts w:hint="eastAsia"/>
          <w:color w:val="000000" w:themeColor="text1"/>
        </w:rPr>
        <w:t>计</w:t>
      </w:r>
      <w:r>
        <w:rPr>
          <w:rFonts w:hint="eastAsia" w:ascii="Calibri" w:hAnsi="Calibri" w:cs="Calibri"/>
          <w:color w:val="000000" w:themeColor="text1"/>
        </w:rPr>
        <w:t>。项目猪产品物料平衡详见</w:t>
      </w:r>
      <w:r>
        <w:rPr>
          <w:rFonts w:hAnsi="Calibri" w:cs="Times New Roman"/>
          <w:color w:val="000000" w:themeColor="text1"/>
        </w:rPr>
        <w:t>表</w:t>
      </w:r>
      <w:r>
        <w:rPr>
          <w:rFonts w:cs="Times New Roman"/>
          <w:color w:val="000000" w:themeColor="text1"/>
        </w:rPr>
        <w:t>2.6.3-2</w:t>
      </w:r>
      <w:r>
        <w:rPr>
          <w:rFonts w:hAnsi="Calibri" w:cs="Times New Roman"/>
          <w:color w:val="000000" w:themeColor="text1"/>
        </w:rPr>
        <w:t>。</w:t>
      </w:r>
    </w:p>
    <w:p>
      <w:pPr>
        <w:pStyle w:val="54"/>
        <w:rPr>
          <w:color w:val="000000" w:themeColor="text1"/>
        </w:rPr>
      </w:pPr>
      <w:r>
        <w:rPr>
          <w:rFonts w:hint="eastAsia"/>
          <w:color w:val="000000" w:themeColor="text1"/>
        </w:rPr>
        <w:t>表2.6.3-2 项目鸡产品物料平衡一览表</w:t>
      </w:r>
    </w:p>
    <w:tbl>
      <w:tblPr>
        <w:tblStyle w:val="42"/>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134"/>
        <w:gridCol w:w="709"/>
        <w:gridCol w:w="2268"/>
        <w:gridCol w:w="992"/>
        <w:gridCol w:w="1276"/>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276" w:type="dxa"/>
            <w:vAlign w:val="center"/>
          </w:tcPr>
          <w:p>
            <w:pPr>
              <w:pStyle w:val="55"/>
              <w:rPr>
                <w:color w:val="000000" w:themeColor="text1"/>
              </w:rPr>
            </w:pPr>
            <w:r>
              <w:rPr>
                <w:rFonts w:hint="eastAsia"/>
                <w:color w:val="000000" w:themeColor="text1"/>
              </w:rPr>
              <w:t>投入（</w:t>
            </w:r>
            <w:r>
              <w:rPr>
                <w:color w:val="000000" w:themeColor="text1"/>
              </w:rPr>
              <w:t>t/a</w:t>
            </w:r>
            <w:r>
              <w:rPr>
                <w:rFonts w:hint="eastAsia"/>
                <w:color w:val="000000" w:themeColor="text1"/>
              </w:rPr>
              <w:t>）</w:t>
            </w:r>
          </w:p>
        </w:tc>
        <w:tc>
          <w:tcPr>
            <w:tcW w:w="7229" w:type="dxa"/>
            <w:gridSpan w:val="6"/>
            <w:vAlign w:val="center"/>
          </w:tcPr>
          <w:p>
            <w:pPr>
              <w:pStyle w:val="55"/>
              <w:rPr>
                <w:color w:val="000000" w:themeColor="text1"/>
              </w:rPr>
            </w:pPr>
            <w:r>
              <w:rPr>
                <w:rFonts w:hint="eastAsia"/>
                <w:color w:val="000000" w:themeColor="text1"/>
              </w:rPr>
              <w:t>产出（</w:t>
            </w:r>
            <w:r>
              <w:rPr>
                <w:color w:val="000000" w:themeColor="text1"/>
              </w:rPr>
              <w:t>t/a</w:t>
            </w:r>
            <w:r>
              <w:rPr>
                <w:rFonts w:hint="eastAsia"/>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276" w:type="dxa"/>
            <w:vMerge w:val="restart"/>
            <w:vAlign w:val="center"/>
          </w:tcPr>
          <w:p>
            <w:pPr>
              <w:pStyle w:val="55"/>
              <w:rPr>
                <w:color w:val="000000" w:themeColor="text1"/>
              </w:rPr>
            </w:pPr>
            <w:r>
              <w:rPr>
                <w:rFonts w:hint="eastAsia"/>
                <w:color w:val="000000" w:themeColor="text1"/>
              </w:rPr>
              <w:t>2400</w:t>
            </w:r>
          </w:p>
        </w:tc>
        <w:tc>
          <w:tcPr>
            <w:tcW w:w="1843" w:type="dxa"/>
            <w:gridSpan w:val="2"/>
            <w:vAlign w:val="center"/>
          </w:tcPr>
          <w:p>
            <w:pPr>
              <w:pStyle w:val="55"/>
              <w:rPr>
                <w:color w:val="000000" w:themeColor="text1"/>
              </w:rPr>
            </w:pPr>
            <w:r>
              <w:rPr>
                <w:rFonts w:hint="eastAsia"/>
                <w:color w:val="000000" w:themeColor="text1"/>
              </w:rPr>
              <w:t>主产品</w:t>
            </w:r>
          </w:p>
        </w:tc>
        <w:tc>
          <w:tcPr>
            <w:tcW w:w="3260" w:type="dxa"/>
            <w:gridSpan w:val="2"/>
            <w:vAlign w:val="center"/>
          </w:tcPr>
          <w:p>
            <w:pPr>
              <w:pStyle w:val="55"/>
              <w:rPr>
                <w:color w:val="000000" w:themeColor="text1"/>
              </w:rPr>
            </w:pPr>
            <w:r>
              <w:rPr>
                <w:rFonts w:hint="eastAsia"/>
                <w:color w:val="000000" w:themeColor="text1"/>
              </w:rPr>
              <w:t>副产品</w:t>
            </w:r>
          </w:p>
        </w:tc>
        <w:tc>
          <w:tcPr>
            <w:tcW w:w="2126" w:type="dxa"/>
            <w:gridSpan w:val="2"/>
            <w:vAlign w:val="center"/>
          </w:tcPr>
          <w:p>
            <w:pPr>
              <w:pStyle w:val="55"/>
              <w:rPr>
                <w:color w:val="000000" w:themeColor="text1"/>
              </w:rPr>
            </w:pPr>
            <w:r>
              <w:rPr>
                <w:rFonts w:hint="eastAsia"/>
                <w:color w:val="000000" w:themeColor="text1"/>
              </w:rPr>
              <w:t>固体废物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276" w:type="dxa"/>
            <w:vMerge w:val="continue"/>
            <w:vAlign w:val="center"/>
          </w:tcPr>
          <w:p>
            <w:pPr>
              <w:pStyle w:val="55"/>
              <w:rPr>
                <w:color w:val="000000" w:themeColor="text1"/>
              </w:rPr>
            </w:pPr>
          </w:p>
        </w:tc>
        <w:tc>
          <w:tcPr>
            <w:tcW w:w="1134" w:type="dxa"/>
            <w:vMerge w:val="restart"/>
            <w:vAlign w:val="center"/>
          </w:tcPr>
          <w:p>
            <w:pPr>
              <w:pStyle w:val="55"/>
              <w:rPr>
                <w:color w:val="000000" w:themeColor="text1"/>
              </w:rPr>
            </w:pPr>
            <w:r>
              <w:rPr>
                <w:rFonts w:hint="eastAsia"/>
                <w:color w:val="000000" w:themeColor="text1"/>
              </w:rPr>
              <w:t>白条鸡</w:t>
            </w:r>
          </w:p>
        </w:tc>
        <w:tc>
          <w:tcPr>
            <w:tcW w:w="709" w:type="dxa"/>
            <w:vMerge w:val="restart"/>
            <w:vAlign w:val="center"/>
          </w:tcPr>
          <w:p>
            <w:pPr>
              <w:pStyle w:val="55"/>
              <w:rPr>
                <w:color w:val="000000" w:themeColor="text1"/>
              </w:rPr>
            </w:pPr>
            <w:r>
              <w:rPr>
                <w:rFonts w:hint="eastAsia"/>
                <w:color w:val="000000" w:themeColor="text1"/>
              </w:rPr>
              <w:t>1920</w:t>
            </w:r>
          </w:p>
        </w:tc>
        <w:tc>
          <w:tcPr>
            <w:tcW w:w="2268" w:type="dxa"/>
            <w:vAlign w:val="center"/>
          </w:tcPr>
          <w:p>
            <w:pPr>
              <w:pStyle w:val="55"/>
              <w:rPr>
                <w:color w:val="000000" w:themeColor="text1"/>
              </w:rPr>
            </w:pPr>
            <w:r>
              <w:rPr>
                <w:rFonts w:hint="eastAsia" w:ascii="Calibri" w:hAnsi="Calibri"/>
                <w:color w:val="000000" w:themeColor="text1"/>
                <w:szCs w:val="21"/>
              </w:rPr>
              <w:t>心、肝、肠、胃</w:t>
            </w:r>
            <w:r>
              <w:rPr>
                <w:rFonts w:hint="eastAsia"/>
                <w:color w:val="000000" w:themeColor="text1"/>
              </w:rPr>
              <w:t>等可食内脏</w:t>
            </w:r>
          </w:p>
        </w:tc>
        <w:tc>
          <w:tcPr>
            <w:tcW w:w="992" w:type="dxa"/>
            <w:vAlign w:val="center"/>
          </w:tcPr>
          <w:p>
            <w:pPr>
              <w:pStyle w:val="55"/>
              <w:rPr>
                <w:color w:val="000000" w:themeColor="text1"/>
              </w:rPr>
            </w:pPr>
            <w:r>
              <w:rPr>
                <w:rFonts w:hint="eastAsia"/>
                <w:color w:val="000000" w:themeColor="text1"/>
              </w:rPr>
              <w:t>150</w:t>
            </w:r>
          </w:p>
        </w:tc>
        <w:tc>
          <w:tcPr>
            <w:tcW w:w="1276" w:type="dxa"/>
            <w:vAlign w:val="center"/>
          </w:tcPr>
          <w:p>
            <w:pPr>
              <w:pStyle w:val="55"/>
              <w:rPr>
                <w:color w:val="000000" w:themeColor="text1"/>
              </w:rPr>
            </w:pPr>
            <w:r>
              <w:rPr>
                <w:rFonts w:hint="eastAsia" w:ascii="Calibri" w:hAnsi="Calibri"/>
                <w:color w:val="000000" w:themeColor="text1"/>
                <w:szCs w:val="21"/>
              </w:rPr>
              <w:t>鸡粪</w:t>
            </w:r>
          </w:p>
        </w:tc>
        <w:tc>
          <w:tcPr>
            <w:tcW w:w="850" w:type="dxa"/>
            <w:vAlign w:val="center"/>
          </w:tcPr>
          <w:p>
            <w:pPr>
              <w:pStyle w:val="55"/>
              <w:rPr>
                <w:color w:val="000000" w:themeColor="text1"/>
              </w:rPr>
            </w:pPr>
            <w:r>
              <w:rPr>
                <w:rFonts w:hint="eastAsia"/>
                <w:color w:val="000000" w:themeColor="text1"/>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276" w:type="dxa"/>
            <w:vMerge w:val="continue"/>
            <w:vAlign w:val="center"/>
          </w:tcPr>
          <w:p>
            <w:pPr>
              <w:pStyle w:val="55"/>
              <w:rPr>
                <w:color w:val="000000" w:themeColor="text1"/>
              </w:rPr>
            </w:pPr>
          </w:p>
        </w:tc>
        <w:tc>
          <w:tcPr>
            <w:tcW w:w="1134" w:type="dxa"/>
            <w:vMerge w:val="continue"/>
            <w:vAlign w:val="center"/>
          </w:tcPr>
          <w:p>
            <w:pPr>
              <w:pStyle w:val="55"/>
              <w:rPr>
                <w:color w:val="000000" w:themeColor="text1"/>
              </w:rPr>
            </w:pPr>
          </w:p>
        </w:tc>
        <w:tc>
          <w:tcPr>
            <w:tcW w:w="709" w:type="dxa"/>
            <w:vMerge w:val="continue"/>
            <w:vAlign w:val="center"/>
          </w:tcPr>
          <w:p>
            <w:pPr>
              <w:pStyle w:val="55"/>
              <w:rPr>
                <w:color w:val="000000" w:themeColor="text1"/>
              </w:rPr>
            </w:pPr>
          </w:p>
        </w:tc>
        <w:tc>
          <w:tcPr>
            <w:tcW w:w="2268" w:type="dxa"/>
            <w:vAlign w:val="center"/>
          </w:tcPr>
          <w:p>
            <w:pPr>
              <w:pStyle w:val="55"/>
              <w:rPr>
                <w:color w:val="000000" w:themeColor="text1"/>
              </w:rPr>
            </w:pPr>
            <w:r>
              <w:rPr>
                <w:rFonts w:hint="eastAsia"/>
                <w:color w:val="000000" w:themeColor="text1"/>
              </w:rPr>
              <w:t>鸡毛</w:t>
            </w:r>
          </w:p>
        </w:tc>
        <w:tc>
          <w:tcPr>
            <w:tcW w:w="992" w:type="dxa"/>
            <w:vAlign w:val="center"/>
          </w:tcPr>
          <w:p>
            <w:pPr>
              <w:pStyle w:val="55"/>
              <w:rPr>
                <w:color w:val="000000" w:themeColor="text1"/>
              </w:rPr>
            </w:pPr>
            <w:r>
              <w:rPr>
                <w:rFonts w:hint="eastAsia"/>
                <w:color w:val="000000" w:themeColor="text1"/>
              </w:rPr>
              <w:t>96</w:t>
            </w:r>
          </w:p>
        </w:tc>
        <w:tc>
          <w:tcPr>
            <w:tcW w:w="1276" w:type="dxa"/>
            <w:vAlign w:val="center"/>
          </w:tcPr>
          <w:p>
            <w:pPr>
              <w:pStyle w:val="55"/>
              <w:rPr>
                <w:color w:val="000000" w:themeColor="text1"/>
              </w:rPr>
            </w:pPr>
            <w:r>
              <w:rPr>
                <w:rFonts w:hint="eastAsia" w:ascii="Calibri" w:hAnsi="Calibri"/>
                <w:color w:val="000000" w:themeColor="text1"/>
                <w:szCs w:val="21"/>
              </w:rPr>
              <w:t>不合格产品</w:t>
            </w:r>
          </w:p>
        </w:tc>
        <w:tc>
          <w:tcPr>
            <w:tcW w:w="850" w:type="dxa"/>
            <w:vAlign w:val="center"/>
          </w:tcPr>
          <w:p>
            <w:pPr>
              <w:pStyle w:val="55"/>
              <w:rPr>
                <w:color w:val="000000" w:themeColor="text1"/>
              </w:rPr>
            </w:pPr>
            <w:r>
              <w:rPr>
                <w:rFonts w:hint="eastAsia"/>
                <w:color w:val="000000" w:themeColor="text1"/>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1276" w:type="dxa"/>
            <w:vMerge w:val="continue"/>
            <w:vAlign w:val="center"/>
          </w:tcPr>
          <w:p>
            <w:pPr>
              <w:pStyle w:val="55"/>
              <w:rPr>
                <w:color w:val="000000" w:themeColor="text1"/>
              </w:rPr>
            </w:pPr>
          </w:p>
        </w:tc>
        <w:tc>
          <w:tcPr>
            <w:tcW w:w="1134" w:type="dxa"/>
            <w:vMerge w:val="continue"/>
            <w:vAlign w:val="center"/>
          </w:tcPr>
          <w:p>
            <w:pPr>
              <w:pStyle w:val="55"/>
              <w:rPr>
                <w:color w:val="000000" w:themeColor="text1"/>
              </w:rPr>
            </w:pPr>
          </w:p>
        </w:tc>
        <w:tc>
          <w:tcPr>
            <w:tcW w:w="709" w:type="dxa"/>
            <w:vMerge w:val="continue"/>
            <w:vAlign w:val="center"/>
          </w:tcPr>
          <w:p>
            <w:pPr>
              <w:pStyle w:val="55"/>
              <w:rPr>
                <w:color w:val="000000" w:themeColor="text1"/>
              </w:rPr>
            </w:pPr>
          </w:p>
        </w:tc>
        <w:tc>
          <w:tcPr>
            <w:tcW w:w="2268" w:type="dxa"/>
            <w:vAlign w:val="center"/>
          </w:tcPr>
          <w:p>
            <w:pPr>
              <w:pStyle w:val="55"/>
              <w:rPr>
                <w:color w:val="000000" w:themeColor="text1"/>
              </w:rPr>
            </w:pPr>
            <w:r>
              <w:rPr>
                <w:rFonts w:hint="eastAsia" w:ascii="Calibri" w:hAnsi="Calibri"/>
                <w:color w:val="000000" w:themeColor="text1"/>
                <w:szCs w:val="21"/>
              </w:rPr>
              <w:t>鸡血</w:t>
            </w:r>
          </w:p>
        </w:tc>
        <w:tc>
          <w:tcPr>
            <w:tcW w:w="992" w:type="dxa"/>
            <w:vAlign w:val="center"/>
          </w:tcPr>
          <w:p>
            <w:pPr>
              <w:pStyle w:val="55"/>
              <w:rPr>
                <w:color w:val="000000" w:themeColor="text1"/>
              </w:rPr>
            </w:pPr>
            <w:r>
              <w:rPr>
                <w:rFonts w:hint="eastAsia"/>
                <w:color w:val="000000" w:themeColor="text1"/>
              </w:rPr>
              <w:t>110</w:t>
            </w:r>
          </w:p>
        </w:tc>
        <w:tc>
          <w:tcPr>
            <w:tcW w:w="1276" w:type="dxa"/>
            <w:vAlign w:val="center"/>
          </w:tcPr>
          <w:p>
            <w:pPr>
              <w:pStyle w:val="55"/>
              <w:rPr>
                <w:color w:val="000000" w:themeColor="text1"/>
              </w:rPr>
            </w:pPr>
            <w:r>
              <w:rPr>
                <w:color w:val="000000" w:themeColor="text1"/>
              </w:rPr>
              <w:t>其他</w:t>
            </w:r>
          </w:p>
        </w:tc>
        <w:tc>
          <w:tcPr>
            <w:tcW w:w="850" w:type="dxa"/>
            <w:vAlign w:val="center"/>
          </w:tcPr>
          <w:p>
            <w:pPr>
              <w:pStyle w:val="55"/>
              <w:rPr>
                <w:color w:val="000000" w:themeColor="text1"/>
              </w:rPr>
            </w:pPr>
            <w:r>
              <w:rPr>
                <w:rFonts w:hint="eastAsia"/>
                <w:color w:val="000000" w:themeColor="text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1276" w:type="dxa"/>
            <w:vMerge w:val="continue"/>
            <w:vAlign w:val="center"/>
          </w:tcPr>
          <w:p>
            <w:pPr>
              <w:pStyle w:val="55"/>
              <w:rPr>
                <w:color w:val="000000" w:themeColor="text1"/>
              </w:rPr>
            </w:pPr>
          </w:p>
        </w:tc>
        <w:tc>
          <w:tcPr>
            <w:tcW w:w="1134" w:type="dxa"/>
            <w:vMerge w:val="continue"/>
            <w:vAlign w:val="center"/>
          </w:tcPr>
          <w:p>
            <w:pPr>
              <w:pStyle w:val="55"/>
              <w:rPr>
                <w:color w:val="000000" w:themeColor="text1"/>
              </w:rPr>
            </w:pPr>
          </w:p>
        </w:tc>
        <w:tc>
          <w:tcPr>
            <w:tcW w:w="709" w:type="dxa"/>
            <w:vMerge w:val="continue"/>
            <w:vAlign w:val="center"/>
          </w:tcPr>
          <w:p>
            <w:pPr>
              <w:pStyle w:val="55"/>
              <w:rPr>
                <w:color w:val="000000" w:themeColor="text1"/>
              </w:rPr>
            </w:pPr>
          </w:p>
        </w:tc>
        <w:tc>
          <w:tcPr>
            <w:tcW w:w="2268" w:type="dxa"/>
            <w:vAlign w:val="center"/>
          </w:tcPr>
          <w:p>
            <w:pPr>
              <w:pStyle w:val="55"/>
              <w:rPr>
                <w:rFonts w:ascii="Calibri" w:hAnsi="Calibri"/>
                <w:color w:val="000000" w:themeColor="text1"/>
                <w:szCs w:val="21"/>
              </w:rPr>
            </w:pPr>
            <w:r>
              <w:rPr>
                <w:rFonts w:hint="eastAsia" w:ascii="Calibri" w:hAnsi="Calibri"/>
                <w:color w:val="000000" w:themeColor="text1"/>
                <w:szCs w:val="21"/>
              </w:rPr>
              <w:t>其他</w:t>
            </w:r>
          </w:p>
        </w:tc>
        <w:tc>
          <w:tcPr>
            <w:tcW w:w="992" w:type="dxa"/>
            <w:vAlign w:val="center"/>
          </w:tcPr>
          <w:p>
            <w:pPr>
              <w:pStyle w:val="55"/>
              <w:rPr>
                <w:color w:val="000000" w:themeColor="text1"/>
              </w:rPr>
            </w:pPr>
            <w:r>
              <w:rPr>
                <w:rFonts w:hint="eastAsia"/>
                <w:color w:val="000000" w:themeColor="text1"/>
              </w:rPr>
              <w:t>6</w:t>
            </w:r>
          </w:p>
        </w:tc>
        <w:tc>
          <w:tcPr>
            <w:tcW w:w="1276" w:type="dxa"/>
            <w:vAlign w:val="center"/>
          </w:tcPr>
          <w:p>
            <w:pPr>
              <w:pStyle w:val="55"/>
              <w:rPr>
                <w:color w:val="000000" w:themeColor="text1"/>
              </w:rPr>
            </w:pPr>
          </w:p>
        </w:tc>
        <w:tc>
          <w:tcPr>
            <w:tcW w:w="850" w:type="dxa"/>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276" w:type="dxa"/>
            <w:vMerge w:val="continue"/>
            <w:vAlign w:val="center"/>
          </w:tcPr>
          <w:p>
            <w:pPr>
              <w:pStyle w:val="55"/>
              <w:rPr>
                <w:color w:val="000000" w:themeColor="text1"/>
              </w:rPr>
            </w:pPr>
          </w:p>
        </w:tc>
        <w:tc>
          <w:tcPr>
            <w:tcW w:w="1134" w:type="dxa"/>
            <w:vAlign w:val="center"/>
          </w:tcPr>
          <w:p>
            <w:pPr>
              <w:pStyle w:val="55"/>
              <w:rPr>
                <w:color w:val="000000" w:themeColor="text1"/>
              </w:rPr>
            </w:pPr>
            <w:r>
              <w:rPr>
                <w:rFonts w:hint="eastAsia"/>
                <w:color w:val="000000" w:themeColor="text1"/>
              </w:rPr>
              <w:t>年合计</w:t>
            </w:r>
          </w:p>
        </w:tc>
        <w:tc>
          <w:tcPr>
            <w:tcW w:w="709" w:type="dxa"/>
            <w:vAlign w:val="center"/>
          </w:tcPr>
          <w:p>
            <w:pPr>
              <w:pStyle w:val="55"/>
              <w:rPr>
                <w:color w:val="000000" w:themeColor="text1"/>
              </w:rPr>
            </w:pPr>
            <w:r>
              <w:rPr>
                <w:rFonts w:hint="eastAsia"/>
                <w:color w:val="000000" w:themeColor="text1"/>
              </w:rPr>
              <w:t>1920</w:t>
            </w:r>
          </w:p>
        </w:tc>
        <w:tc>
          <w:tcPr>
            <w:tcW w:w="2268" w:type="dxa"/>
            <w:vAlign w:val="center"/>
          </w:tcPr>
          <w:p>
            <w:pPr>
              <w:pStyle w:val="55"/>
              <w:rPr>
                <w:color w:val="000000" w:themeColor="text1"/>
              </w:rPr>
            </w:pPr>
            <w:r>
              <w:rPr>
                <w:rFonts w:hint="eastAsia"/>
                <w:color w:val="000000" w:themeColor="text1"/>
              </w:rPr>
              <w:t>年合计</w:t>
            </w:r>
          </w:p>
        </w:tc>
        <w:tc>
          <w:tcPr>
            <w:tcW w:w="992" w:type="dxa"/>
            <w:vAlign w:val="center"/>
          </w:tcPr>
          <w:p>
            <w:pPr>
              <w:pStyle w:val="55"/>
              <w:rPr>
                <w:color w:val="000000" w:themeColor="text1"/>
              </w:rPr>
            </w:pPr>
            <w:r>
              <w:rPr>
                <w:rFonts w:hint="eastAsia"/>
                <w:color w:val="000000" w:themeColor="text1"/>
              </w:rPr>
              <w:t>362</w:t>
            </w:r>
          </w:p>
        </w:tc>
        <w:tc>
          <w:tcPr>
            <w:tcW w:w="1276" w:type="dxa"/>
            <w:vAlign w:val="center"/>
          </w:tcPr>
          <w:p>
            <w:pPr>
              <w:pStyle w:val="55"/>
              <w:rPr>
                <w:color w:val="000000" w:themeColor="text1"/>
              </w:rPr>
            </w:pPr>
            <w:r>
              <w:rPr>
                <w:rFonts w:hint="eastAsia"/>
                <w:color w:val="000000" w:themeColor="text1"/>
              </w:rPr>
              <w:t>年合计</w:t>
            </w:r>
          </w:p>
        </w:tc>
        <w:tc>
          <w:tcPr>
            <w:tcW w:w="850" w:type="dxa"/>
            <w:vAlign w:val="center"/>
          </w:tcPr>
          <w:p>
            <w:pPr>
              <w:pStyle w:val="55"/>
              <w:rPr>
                <w:color w:val="000000" w:themeColor="text1"/>
              </w:rPr>
            </w:pPr>
            <w:r>
              <w:rPr>
                <w:rFonts w:hint="eastAsia"/>
                <w:color w:val="000000" w:themeColor="text1"/>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276" w:type="dxa"/>
            <w:vMerge w:val="continue"/>
            <w:vAlign w:val="center"/>
          </w:tcPr>
          <w:p>
            <w:pPr>
              <w:pStyle w:val="55"/>
              <w:rPr>
                <w:color w:val="000000" w:themeColor="text1"/>
              </w:rPr>
            </w:pPr>
          </w:p>
        </w:tc>
        <w:tc>
          <w:tcPr>
            <w:tcW w:w="7229" w:type="dxa"/>
            <w:gridSpan w:val="6"/>
            <w:vAlign w:val="center"/>
          </w:tcPr>
          <w:p>
            <w:pPr>
              <w:pStyle w:val="55"/>
              <w:rPr>
                <w:color w:val="000000" w:themeColor="text1"/>
              </w:rPr>
            </w:pPr>
            <w:r>
              <w:rPr>
                <w:rFonts w:hint="eastAsia"/>
                <w:color w:val="000000" w:themeColor="text1"/>
              </w:rPr>
              <w:t>总计：2400</w:t>
            </w:r>
          </w:p>
        </w:tc>
      </w:tr>
    </w:tbl>
    <w:p>
      <w:pPr>
        <w:pStyle w:val="3"/>
        <w:rPr>
          <w:color w:val="000000" w:themeColor="text1"/>
        </w:rPr>
      </w:pPr>
      <w:bookmarkStart w:id="51" w:name="_Toc47375811"/>
      <w:r>
        <w:rPr>
          <w:rFonts w:hint="eastAsia"/>
          <w:color w:val="000000" w:themeColor="text1"/>
        </w:rPr>
        <w:t>2.7项目运营期污染源强及治理措施分析</w:t>
      </w:r>
      <w:bookmarkEnd w:id="51"/>
    </w:p>
    <w:p>
      <w:pPr>
        <w:pStyle w:val="38"/>
        <w:ind w:firstLine="281"/>
        <w:rPr>
          <w:color w:val="000000" w:themeColor="text1"/>
        </w:rPr>
      </w:pPr>
      <w:bookmarkStart w:id="52" w:name="_Toc47375812"/>
      <w:r>
        <w:rPr>
          <w:rFonts w:hint="eastAsia"/>
          <w:color w:val="000000" w:themeColor="text1"/>
        </w:rPr>
        <w:t>2.7.1废水</w:t>
      </w:r>
      <w:bookmarkEnd w:id="52"/>
    </w:p>
    <w:p>
      <w:pPr>
        <w:ind w:firstLine="482"/>
        <w:rPr>
          <w:b/>
          <w:color w:val="000000" w:themeColor="text1"/>
        </w:rPr>
      </w:pPr>
      <w:r>
        <w:rPr>
          <w:rFonts w:hint="eastAsia"/>
          <w:b/>
          <w:color w:val="000000" w:themeColor="text1"/>
        </w:rPr>
        <w:t>1、项目用水量及废水产生量</w:t>
      </w:r>
    </w:p>
    <w:p>
      <w:pPr>
        <w:ind w:firstLine="480"/>
        <w:rPr>
          <w:color w:val="FF0000"/>
        </w:rPr>
      </w:pPr>
      <w:r>
        <w:rPr>
          <w:rFonts w:hint="eastAsia"/>
          <w:color w:val="FF0000"/>
        </w:rPr>
        <w:t>①生猪、生鸡饮水及排泄</w:t>
      </w:r>
    </w:p>
    <w:p>
      <w:pPr>
        <w:ind w:firstLine="480"/>
        <w:rPr>
          <w:rFonts w:hAnsi="宋体"/>
          <w:color w:val="FF0000"/>
        </w:rPr>
      </w:pPr>
      <w:r>
        <w:rPr>
          <w:rFonts w:hint="eastAsia"/>
          <w:bCs/>
          <w:color w:val="FF0000"/>
        </w:rPr>
        <w:t>生猪及生鸡屠宰前需断食暂养</w:t>
      </w:r>
      <w:r>
        <w:rPr>
          <w:bCs/>
          <w:color w:val="FF0000"/>
        </w:rPr>
        <w:t>8~12</w:t>
      </w:r>
      <w:r>
        <w:rPr>
          <w:rFonts w:hint="eastAsia"/>
          <w:bCs/>
          <w:color w:val="FF0000"/>
        </w:rPr>
        <w:t>小时，静养期间只饮水，不进食。</w:t>
      </w:r>
      <w:r>
        <w:rPr>
          <w:rFonts w:hint="eastAsia" w:hAnsi="宋体"/>
          <w:color w:val="FF0000"/>
        </w:rPr>
        <w:t>本项目生猪及生鸡总饮用水量均计入全厂屠宰用水量中，不再单独计算。生猪及生鸡饮用水以尿液的形式排出（废水量计入屠宰废水产生量中，不再单独计算），经过收集后排入厂区污水处理站。</w:t>
      </w:r>
    </w:p>
    <w:p>
      <w:pPr>
        <w:ind w:firstLine="480"/>
        <w:rPr>
          <w:color w:val="FF0000"/>
        </w:rPr>
      </w:pPr>
      <w:r>
        <w:rPr>
          <w:rFonts w:hint="eastAsia"/>
          <w:color w:val="FF0000"/>
        </w:rPr>
        <w:t>②屠宰用水量及屠宰废水产生量</w:t>
      </w:r>
    </w:p>
    <w:p>
      <w:pPr>
        <w:ind w:firstLine="480"/>
        <w:rPr>
          <w:color w:val="FF0000"/>
        </w:rPr>
      </w:pPr>
      <w:r>
        <w:rPr>
          <w:rFonts w:hint="eastAsia"/>
          <w:color w:val="FF0000"/>
        </w:rPr>
        <w:t>本项目</w:t>
      </w:r>
      <w:r>
        <w:rPr>
          <w:rFonts w:cs="Times New Roman"/>
          <w:color w:val="FF0000"/>
        </w:rPr>
        <w:t>设计</w:t>
      </w:r>
      <w:r>
        <w:rPr>
          <w:rFonts w:hAnsi="Calibri" w:cs="Times New Roman"/>
          <w:color w:val="FF0000"/>
        </w:rPr>
        <w:t>年屠宰生猪</w:t>
      </w:r>
      <w:r>
        <w:rPr>
          <w:rFonts w:cs="Times New Roman"/>
          <w:color w:val="FF0000"/>
        </w:rPr>
        <w:t>15</w:t>
      </w:r>
      <w:r>
        <w:rPr>
          <w:rFonts w:hAnsi="Calibri" w:cs="Times New Roman"/>
          <w:color w:val="FF0000"/>
        </w:rPr>
        <w:t>万头，年屠宰生鸡</w:t>
      </w:r>
      <w:r>
        <w:rPr>
          <w:rFonts w:cs="Times New Roman"/>
          <w:color w:val="FF0000"/>
        </w:rPr>
        <w:t>80万只。本项目</w:t>
      </w:r>
      <w:r>
        <w:rPr>
          <w:rFonts w:hint="eastAsia"/>
          <w:color w:val="FF0000"/>
        </w:rPr>
        <w:t>屠宰生猪的废水产生量取0.5</w:t>
      </w:r>
      <w:r>
        <w:rPr>
          <w:color w:val="FF0000"/>
        </w:rPr>
        <w:t>m</w:t>
      </w:r>
      <w:r>
        <w:rPr>
          <w:color w:val="FF0000"/>
          <w:vertAlign w:val="superscript"/>
        </w:rPr>
        <w:t>3</w:t>
      </w:r>
      <w:r>
        <w:rPr>
          <w:color w:val="FF0000"/>
        </w:rPr>
        <w:t>/</w:t>
      </w:r>
      <w:r>
        <w:rPr>
          <w:rFonts w:hint="eastAsia"/>
          <w:color w:val="FF0000"/>
        </w:rPr>
        <w:t>头；屠宰生鸡的废水产生量取1.0</w:t>
      </w:r>
      <w:r>
        <w:rPr>
          <w:color w:val="FF0000"/>
        </w:rPr>
        <w:t>m</w:t>
      </w:r>
      <w:r>
        <w:rPr>
          <w:color w:val="FF0000"/>
          <w:vertAlign w:val="superscript"/>
        </w:rPr>
        <w:t>3</w:t>
      </w:r>
      <w:r>
        <w:rPr>
          <w:color w:val="FF0000"/>
        </w:rPr>
        <w:t>/</w:t>
      </w:r>
      <w:r>
        <w:rPr>
          <w:rFonts w:hint="eastAsia"/>
          <w:color w:val="FF0000"/>
        </w:rPr>
        <w:t>百只。按照排污系数0.8计算，可得出项目生猪屠宰用水量约为0.625</w:t>
      </w:r>
      <w:r>
        <w:rPr>
          <w:color w:val="FF0000"/>
        </w:rPr>
        <w:t>m</w:t>
      </w:r>
      <w:r>
        <w:rPr>
          <w:color w:val="FF0000"/>
          <w:vertAlign w:val="superscript"/>
        </w:rPr>
        <w:t>3</w:t>
      </w:r>
      <w:r>
        <w:rPr>
          <w:color w:val="FF0000"/>
        </w:rPr>
        <w:t>/</w:t>
      </w:r>
      <w:r>
        <w:rPr>
          <w:rFonts w:hint="eastAsia"/>
          <w:color w:val="FF0000"/>
        </w:rPr>
        <w:t>头，生鸡屠宰用水量约为1.25</w:t>
      </w:r>
      <w:r>
        <w:rPr>
          <w:color w:val="FF0000"/>
        </w:rPr>
        <w:t xml:space="preserve"> m</w:t>
      </w:r>
      <w:r>
        <w:rPr>
          <w:color w:val="FF0000"/>
          <w:vertAlign w:val="superscript"/>
        </w:rPr>
        <w:t>3</w:t>
      </w:r>
      <w:r>
        <w:rPr>
          <w:color w:val="FF0000"/>
        </w:rPr>
        <w:t>/</w:t>
      </w:r>
      <w:r>
        <w:rPr>
          <w:rFonts w:hint="eastAsia"/>
          <w:color w:val="FF0000"/>
        </w:rPr>
        <w:t>百只，因此可计算出项目生猪屠宰用水量为93750</w:t>
      </w:r>
      <w:r>
        <w:rPr>
          <w:color w:val="FF0000"/>
        </w:rPr>
        <w:t xml:space="preserve"> m</w:t>
      </w:r>
      <w:r>
        <w:rPr>
          <w:color w:val="FF0000"/>
          <w:vertAlign w:val="superscript"/>
        </w:rPr>
        <w:t>3</w:t>
      </w:r>
      <w:r>
        <w:rPr>
          <w:color w:val="FF0000"/>
        </w:rPr>
        <w:t>/</w:t>
      </w:r>
      <w:r>
        <w:rPr>
          <w:rFonts w:hint="eastAsia"/>
          <w:color w:val="FF0000"/>
        </w:rPr>
        <w:t>a，生鸡屠宰用水量为10000</w:t>
      </w:r>
      <w:r>
        <w:rPr>
          <w:color w:val="FF0000"/>
        </w:rPr>
        <w:t xml:space="preserve"> m</w:t>
      </w:r>
      <w:r>
        <w:rPr>
          <w:color w:val="FF0000"/>
          <w:vertAlign w:val="superscript"/>
        </w:rPr>
        <w:t>3</w:t>
      </w:r>
      <w:r>
        <w:rPr>
          <w:color w:val="FF0000"/>
        </w:rPr>
        <w:t>/</w:t>
      </w:r>
      <w:r>
        <w:rPr>
          <w:rFonts w:hint="eastAsia"/>
          <w:color w:val="FF0000"/>
        </w:rPr>
        <w:t>a，全厂屠宰用水总量为103750</w:t>
      </w:r>
      <w:r>
        <w:rPr>
          <w:color w:val="FF0000"/>
        </w:rPr>
        <w:t>m</w:t>
      </w:r>
      <w:r>
        <w:rPr>
          <w:color w:val="FF0000"/>
          <w:vertAlign w:val="superscript"/>
        </w:rPr>
        <w:t>3</w:t>
      </w:r>
      <w:r>
        <w:rPr>
          <w:color w:val="FF0000"/>
        </w:rPr>
        <w:t>/</w:t>
      </w:r>
      <w:r>
        <w:rPr>
          <w:rFonts w:hint="eastAsia"/>
          <w:color w:val="FF0000"/>
        </w:rPr>
        <w:t>a（285m³/d，</w:t>
      </w:r>
      <w:r>
        <w:rPr>
          <w:rFonts w:hint="eastAsia" w:hAnsi="宋体"/>
          <w:color w:val="FF0000"/>
        </w:rPr>
        <w:t>按一年</w:t>
      </w:r>
      <w:r>
        <w:rPr>
          <w:rFonts w:hAnsi="宋体"/>
          <w:color w:val="FF0000"/>
        </w:rPr>
        <w:t>3</w:t>
      </w:r>
      <w:r>
        <w:rPr>
          <w:rFonts w:hint="eastAsia" w:hAnsi="宋体"/>
          <w:color w:val="FF0000"/>
        </w:rPr>
        <w:t>64天计</w:t>
      </w:r>
      <w:r>
        <w:rPr>
          <w:rFonts w:hint="eastAsia"/>
          <w:color w:val="FF0000"/>
        </w:rPr>
        <w:t>）。</w:t>
      </w:r>
    </w:p>
    <w:p>
      <w:pPr>
        <w:ind w:firstLine="480"/>
        <w:rPr>
          <w:color w:val="FF0000"/>
        </w:rPr>
      </w:pPr>
      <w:r>
        <w:rPr>
          <w:rFonts w:hint="eastAsia"/>
          <w:color w:val="FF0000"/>
        </w:rPr>
        <w:t>根据《</w:t>
      </w:r>
      <w:r>
        <w:rPr>
          <w:rFonts w:hint="eastAsia"/>
          <w:color w:val="FF0000"/>
          <w:kern w:val="0"/>
        </w:rPr>
        <w:t>屠宰与肉类加工废水治理工程技术规范》（</w:t>
      </w:r>
      <w:r>
        <w:rPr>
          <w:color w:val="FF0000"/>
          <w:kern w:val="0"/>
        </w:rPr>
        <w:t>HJ2004-2010</w:t>
      </w:r>
      <w:r>
        <w:rPr>
          <w:rFonts w:hint="eastAsia"/>
          <w:color w:val="FF0000"/>
          <w:kern w:val="0"/>
        </w:rPr>
        <w:t>）中3.3及3.4可知，屠宰废水是指屠宰过程中产生的废水，屠宰过程包括了圈栏冲洗、宰前冲淋、宰后烫毛或剥皮、开腔、劈半、解体、内脏洗涤及车间冲洗等过程。</w:t>
      </w:r>
      <w:r>
        <w:rPr>
          <w:rFonts w:cs="Times New Roman"/>
          <w:color w:val="FF0000"/>
        </w:rPr>
        <w:t>根据</w:t>
      </w:r>
      <w:r>
        <w:rPr>
          <w:rFonts w:hint="eastAsia"/>
          <w:color w:val="FF0000"/>
        </w:rPr>
        <w:t>《</w:t>
      </w:r>
      <w:r>
        <w:rPr>
          <w:rFonts w:hint="eastAsia"/>
          <w:color w:val="FF0000"/>
          <w:kern w:val="0"/>
        </w:rPr>
        <w:t>屠宰与肉类加工废水治理工程技术规范》（</w:t>
      </w:r>
      <w:r>
        <w:rPr>
          <w:color w:val="FF0000"/>
          <w:kern w:val="0"/>
        </w:rPr>
        <w:t>HJ2004-2010</w:t>
      </w:r>
      <w:r>
        <w:rPr>
          <w:rFonts w:hint="eastAsia"/>
          <w:color w:val="FF0000"/>
          <w:kern w:val="0"/>
        </w:rPr>
        <w:t>）中4.2.1</w:t>
      </w:r>
      <w:r>
        <w:rPr>
          <w:rFonts w:hint="eastAsia"/>
          <w:color w:val="FF0000"/>
        </w:rPr>
        <w:t>，屠宰生猪的废水产生量为0.5~0.7</w:t>
      </w:r>
      <w:r>
        <w:rPr>
          <w:color w:val="FF0000"/>
        </w:rPr>
        <w:t>m</w:t>
      </w:r>
      <w:r>
        <w:rPr>
          <w:color w:val="FF0000"/>
          <w:vertAlign w:val="superscript"/>
        </w:rPr>
        <w:t>3</w:t>
      </w:r>
      <w:r>
        <w:rPr>
          <w:color w:val="FF0000"/>
        </w:rPr>
        <w:t>/</w:t>
      </w:r>
      <w:r>
        <w:rPr>
          <w:rFonts w:hint="eastAsia"/>
          <w:color w:val="FF0000"/>
        </w:rPr>
        <w:t>头，本项目取0.5</w:t>
      </w:r>
      <w:r>
        <w:rPr>
          <w:color w:val="FF0000"/>
        </w:rPr>
        <w:t>m</w:t>
      </w:r>
      <w:r>
        <w:rPr>
          <w:color w:val="FF0000"/>
          <w:vertAlign w:val="superscript"/>
        </w:rPr>
        <w:t>3</w:t>
      </w:r>
      <w:r>
        <w:rPr>
          <w:color w:val="FF0000"/>
        </w:rPr>
        <w:t>/</w:t>
      </w:r>
      <w:r>
        <w:rPr>
          <w:rFonts w:hint="eastAsia"/>
          <w:color w:val="FF0000"/>
        </w:rPr>
        <w:t>头；屠宰生鸡的废水产生量为1.0~1.5</w:t>
      </w:r>
      <w:r>
        <w:rPr>
          <w:color w:val="FF0000"/>
        </w:rPr>
        <w:t>m</w:t>
      </w:r>
      <w:r>
        <w:rPr>
          <w:color w:val="FF0000"/>
          <w:vertAlign w:val="superscript"/>
        </w:rPr>
        <w:t>3</w:t>
      </w:r>
      <w:r>
        <w:rPr>
          <w:color w:val="FF0000"/>
        </w:rPr>
        <w:t>/</w:t>
      </w:r>
      <w:r>
        <w:rPr>
          <w:rFonts w:hint="eastAsia"/>
          <w:color w:val="FF0000"/>
        </w:rPr>
        <w:t>百只，本项目取1.0</w:t>
      </w:r>
      <w:r>
        <w:rPr>
          <w:color w:val="FF0000"/>
        </w:rPr>
        <w:t>m</w:t>
      </w:r>
      <w:r>
        <w:rPr>
          <w:color w:val="FF0000"/>
          <w:vertAlign w:val="superscript"/>
        </w:rPr>
        <w:t>3</w:t>
      </w:r>
      <w:r>
        <w:rPr>
          <w:color w:val="FF0000"/>
        </w:rPr>
        <w:t>/</w:t>
      </w:r>
      <w:r>
        <w:rPr>
          <w:rFonts w:hint="eastAsia"/>
          <w:color w:val="FF0000"/>
        </w:rPr>
        <w:t>百只。由此可计算出本项目生猪屠宰废水产生量为75000</w:t>
      </w:r>
      <w:r>
        <w:rPr>
          <w:color w:val="FF0000"/>
        </w:rPr>
        <w:t xml:space="preserve"> m</w:t>
      </w:r>
      <w:r>
        <w:rPr>
          <w:color w:val="FF0000"/>
          <w:vertAlign w:val="superscript"/>
        </w:rPr>
        <w:t>3</w:t>
      </w:r>
      <w:r>
        <w:rPr>
          <w:color w:val="FF0000"/>
        </w:rPr>
        <w:t>/</w:t>
      </w:r>
      <w:r>
        <w:rPr>
          <w:rFonts w:hint="eastAsia"/>
          <w:color w:val="FF0000"/>
        </w:rPr>
        <w:t>a，生鸡屠宰废水产生量为8000</w:t>
      </w:r>
      <w:r>
        <w:rPr>
          <w:color w:val="FF0000"/>
        </w:rPr>
        <w:t>m</w:t>
      </w:r>
      <w:r>
        <w:rPr>
          <w:color w:val="FF0000"/>
          <w:vertAlign w:val="superscript"/>
        </w:rPr>
        <w:t>3</w:t>
      </w:r>
      <w:r>
        <w:rPr>
          <w:color w:val="FF0000"/>
        </w:rPr>
        <w:t>/</w:t>
      </w:r>
      <w:r>
        <w:rPr>
          <w:rFonts w:hint="eastAsia"/>
          <w:color w:val="FF0000"/>
        </w:rPr>
        <w:t>a，全厂屠宰废水产生总量为83000</w:t>
      </w:r>
      <w:r>
        <w:rPr>
          <w:color w:val="FF0000"/>
        </w:rPr>
        <w:t>m</w:t>
      </w:r>
      <w:r>
        <w:rPr>
          <w:color w:val="FF0000"/>
          <w:vertAlign w:val="superscript"/>
        </w:rPr>
        <w:t>3</w:t>
      </w:r>
      <w:r>
        <w:rPr>
          <w:color w:val="FF0000"/>
        </w:rPr>
        <w:t>/</w:t>
      </w:r>
      <w:r>
        <w:rPr>
          <w:rFonts w:hint="eastAsia"/>
          <w:color w:val="FF0000"/>
        </w:rPr>
        <w:t>a（228m³/d，</w:t>
      </w:r>
      <w:r>
        <w:rPr>
          <w:rFonts w:hint="eastAsia" w:hAnsi="宋体"/>
          <w:color w:val="FF0000"/>
        </w:rPr>
        <w:t>按一年</w:t>
      </w:r>
      <w:r>
        <w:rPr>
          <w:rFonts w:hAnsi="宋体"/>
          <w:color w:val="FF0000"/>
        </w:rPr>
        <w:t>3</w:t>
      </w:r>
      <w:r>
        <w:rPr>
          <w:rFonts w:hint="eastAsia" w:hAnsi="宋体"/>
          <w:color w:val="FF0000"/>
        </w:rPr>
        <w:t>64天计</w:t>
      </w:r>
      <w:r>
        <w:rPr>
          <w:rFonts w:hint="eastAsia"/>
          <w:color w:val="FF0000"/>
        </w:rPr>
        <w:t>）。</w:t>
      </w:r>
    </w:p>
    <w:p>
      <w:pPr>
        <w:ind w:firstLine="480"/>
        <w:rPr>
          <w:color w:val="FF0000"/>
        </w:rPr>
      </w:pPr>
      <w:r>
        <w:rPr>
          <w:rFonts w:hint="eastAsia"/>
          <w:color w:val="FF0000"/>
        </w:rPr>
        <w:t>③车辆冲洗消毒用水量及废水产生量</w:t>
      </w:r>
    </w:p>
    <w:p>
      <w:pPr>
        <w:ind w:firstLine="480"/>
        <w:rPr>
          <w:bCs/>
          <w:color w:val="FF0000"/>
        </w:rPr>
      </w:pPr>
      <w:r>
        <w:rPr>
          <w:rFonts w:hint="eastAsia"/>
          <w:bCs/>
          <w:color w:val="FF0000"/>
        </w:rPr>
        <w:t>项目需对进场的运输生猪、生鸡的车辆进行冲洗消毒，去掉表面的污物并除臭，冲洗使用高压水枪，项目清洗车辆用水量按</w:t>
      </w:r>
      <w:r>
        <w:rPr>
          <w:bCs/>
          <w:color w:val="FF0000"/>
        </w:rPr>
        <w:t>0.2m</w:t>
      </w:r>
      <w:r>
        <w:rPr>
          <w:bCs/>
          <w:color w:val="FF0000"/>
          <w:vertAlign w:val="superscript"/>
        </w:rPr>
        <w:t>3</w:t>
      </w:r>
      <w:r>
        <w:rPr>
          <w:bCs/>
          <w:color w:val="FF0000"/>
        </w:rPr>
        <w:t>/</w:t>
      </w:r>
      <w:r>
        <w:rPr>
          <w:rFonts w:hint="eastAsia"/>
          <w:bCs/>
          <w:color w:val="FF0000"/>
        </w:rPr>
        <w:t>（辆</w:t>
      </w:r>
      <w:r>
        <w:rPr>
          <w:bCs/>
          <w:color w:val="FF0000"/>
        </w:rPr>
        <w:t>·</w:t>
      </w:r>
      <w:r>
        <w:rPr>
          <w:rFonts w:hint="eastAsia"/>
          <w:bCs/>
          <w:color w:val="FF0000"/>
        </w:rPr>
        <w:t>次）计，项目年屠宰生猪</w:t>
      </w:r>
      <w:r>
        <w:rPr>
          <w:bCs/>
          <w:color w:val="FF0000"/>
        </w:rPr>
        <w:t>15000</w:t>
      </w:r>
      <w:r>
        <w:rPr>
          <w:rFonts w:hint="eastAsia"/>
          <w:bCs/>
          <w:color w:val="FF0000"/>
        </w:rPr>
        <w:t>0头，屠宰生鸡80万只。主要为砚山县</w:t>
      </w:r>
      <w:r>
        <w:rPr>
          <w:rFonts w:hint="eastAsia"/>
          <w:snapToGrid w:val="0"/>
          <w:color w:val="FF0000"/>
          <w:kern w:val="0"/>
        </w:rPr>
        <w:t>周边养殖户或养殖场</w:t>
      </w:r>
      <w:r>
        <w:rPr>
          <w:rFonts w:hint="eastAsia"/>
          <w:bCs/>
          <w:color w:val="FF0000"/>
        </w:rPr>
        <w:t>运输至场内，按照年运输约12000次计，故车辆清洗用水量为6.59</w:t>
      </w:r>
      <w:r>
        <w:rPr>
          <w:bCs/>
          <w:color w:val="FF0000"/>
        </w:rPr>
        <w:t>m</w:t>
      </w:r>
      <w:r>
        <w:rPr>
          <w:bCs/>
          <w:color w:val="FF0000"/>
          <w:vertAlign w:val="superscript"/>
        </w:rPr>
        <w:t>3</w:t>
      </w:r>
      <w:r>
        <w:rPr>
          <w:bCs/>
          <w:color w:val="FF0000"/>
        </w:rPr>
        <w:t>/d</w:t>
      </w:r>
      <w:r>
        <w:rPr>
          <w:rFonts w:hint="eastAsia"/>
          <w:bCs/>
          <w:color w:val="FF0000"/>
        </w:rPr>
        <w:t>，2400</w:t>
      </w:r>
      <w:r>
        <w:rPr>
          <w:bCs/>
          <w:color w:val="FF0000"/>
        </w:rPr>
        <w:t>m</w:t>
      </w:r>
      <w:r>
        <w:rPr>
          <w:bCs/>
          <w:color w:val="FF0000"/>
          <w:vertAlign w:val="superscript"/>
        </w:rPr>
        <w:t>3</w:t>
      </w:r>
      <w:r>
        <w:rPr>
          <w:bCs/>
          <w:color w:val="FF0000"/>
        </w:rPr>
        <w:t>/a</w:t>
      </w:r>
      <w:r>
        <w:rPr>
          <w:rFonts w:hint="eastAsia"/>
          <w:bCs/>
          <w:color w:val="FF0000"/>
        </w:rPr>
        <w:t>。废水产生量按用水量的</w:t>
      </w:r>
      <w:r>
        <w:rPr>
          <w:bCs/>
          <w:color w:val="FF0000"/>
        </w:rPr>
        <w:t>80%</w:t>
      </w:r>
      <w:r>
        <w:rPr>
          <w:rFonts w:hint="eastAsia"/>
          <w:bCs/>
          <w:color w:val="FF0000"/>
        </w:rPr>
        <w:t>计，废水产生量为5.27</w:t>
      </w:r>
      <w:r>
        <w:rPr>
          <w:bCs/>
          <w:color w:val="FF0000"/>
        </w:rPr>
        <w:t>m</w:t>
      </w:r>
      <w:r>
        <w:rPr>
          <w:bCs/>
          <w:color w:val="FF0000"/>
          <w:vertAlign w:val="superscript"/>
        </w:rPr>
        <w:t>3</w:t>
      </w:r>
      <w:r>
        <w:rPr>
          <w:bCs/>
          <w:color w:val="FF0000"/>
        </w:rPr>
        <w:t>/d</w:t>
      </w:r>
      <w:r>
        <w:rPr>
          <w:rFonts w:hint="eastAsia"/>
          <w:bCs/>
          <w:color w:val="FF0000"/>
        </w:rPr>
        <w:t>，1920</w:t>
      </w:r>
      <w:r>
        <w:rPr>
          <w:bCs/>
          <w:color w:val="FF0000"/>
        </w:rPr>
        <w:t>m</w:t>
      </w:r>
      <w:r>
        <w:rPr>
          <w:bCs/>
          <w:color w:val="FF0000"/>
          <w:vertAlign w:val="superscript"/>
        </w:rPr>
        <w:t>3</w:t>
      </w:r>
      <w:r>
        <w:rPr>
          <w:bCs/>
          <w:color w:val="FF0000"/>
        </w:rPr>
        <w:t>/a</w:t>
      </w:r>
      <w:r>
        <w:rPr>
          <w:rFonts w:hint="eastAsia"/>
          <w:bCs/>
          <w:color w:val="FF0000"/>
        </w:rPr>
        <w:t>，废水中的污染物主要是</w:t>
      </w:r>
      <w:r>
        <w:rPr>
          <w:bCs/>
          <w:color w:val="FF0000"/>
        </w:rPr>
        <w:t>SS</w:t>
      </w:r>
      <w:r>
        <w:rPr>
          <w:rFonts w:hint="eastAsia"/>
          <w:bCs/>
          <w:color w:val="FF0000"/>
        </w:rPr>
        <w:t>、石油类。</w:t>
      </w:r>
    </w:p>
    <w:p>
      <w:pPr>
        <w:ind w:firstLine="480"/>
        <w:rPr>
          <w:color w:val="FF0000"/>
        </w:rPr>
      </w:pPr>
      <w:r>
        <w:rPr>
          <w:rFonts w:hint="eastAsia"/>
          <w:color w:val="FF0000"/>
        </w:rPr>
        <w:t>④生活用水量及生活污水量</w:t>
      </w:r>
    </w:p>
    <w:p>
      <w:pPr>
        <w:ind w:firstLine="480"/>
        <w:rPr>
          <w:color w:val="FF0000"/>
        </w:rPr>
      </w:pPr>
      <w:r>
        <w:rPr>
          <w:rFonts w:hint="eastAsia"/>
          <w:color w:val="FF0000"/>
        </w:rPr>
        <w:t>本项目拟定工作人员为20人，工作人员只在厂区住宿，厂区不设食堂，员工餐食向外订购。项目位于砚山县干河乡，根据《云南省用水定额》（</w:t>
      </w:r>
      <w:r>
        <w:rPr>
          <w:color w:val="FF0000"/>
        </w:rPr>
        <w:t>DB53/T 168-2019</w:t>
      </w:r>
      <w:r>
        <w:rPr>
          <w:rFonts w:hint="eastAsia"/>
          <w:color w:val="FF0000"/>
        </w:rPr>
        <w:t>）规定，砚山县属于亚热带地区（Ⅱ区），农村居民用水定额为</w:t>
      </w:r>
      <w:r>
        <w:rPr>
          <w:color w:val="FF0000"/>
        </w:rPr>
        <w:t>40~55L</w:t>
      </w:r>
      <w:r>
        <w:rPr>
          <w:rFonts w:hint="eastAsia"/>
          <w:color w:val="FF0000"/>
        </w:rPr>
        <w:t>（人·</w:t>
      </w:r>
      <w:r>
        <w:rPr>
          <w:color w:val="FF0000"/>
        </w:rPr>
        <w:t>d</w:t>
      </w:r>
      <w:r>
        <w:rPr>
          <w:rFonts w:hint="eastAsia"/>
          <w:color w:val="FF0000"/>
        </w:rPr>
        <w:t>），本项目用水量取45</w:t>
      </w:r>
      <w:r>
        <w:rPr>
          <w:color w:val="FF0000"/>
        </w:rPr>
        <w:t>L</w:t>
      </w:r>
      <w:r>
        <w:rPr>
          <w:rFonts w:hint="eastAsia"/>
          <w:color w:val="FF0000"/>
        </w:rPr>
        <w:t>（人·</w:t>
      </w:r>
      <w:r>
        <w:rPr>
          <w:color w:val="FF0000"/>
        </w:rPr>
        <w:t>d</w:t>
      </w:r>
      <w:r>
        <w:rPr>
          <w:rFonts w:hint="eastAsia"/>
          <w:color w:val="FF0000"/>
        </w:rPr>
        <w:t>），经计算项目生活用水量为</w:t>
      </w:r>
      <w:r>
        <w:rPr>
          <w:color w:val="FF0000"/>
        </w:rPr>
        <w:t>0.</w:t>
      </w:r>
      <w:r>
        <w:rPr>
          <w:rFonts w:hint="eastAsia"/>
          <w:color w:val="FF0000"/>
        </w:rPr>
        <w:t>9</w:t>
      </w:r>
      <w:r>
        <w:rPr>
          <w:color w:val="FF0000"/>
        </w:rPr>
        <w:t>m</w:t>
      </w:r>
      <w:r>
        <w:rPr>
          <w:color w:val="FF0000"/>
          <w:vertAlign w:val="superscript"/>
        </w:rPr>
        <w:t>3</w:t>
      </w:r>
      <w:r>
        <w:rPr>
          <w:color w:val="FF0000"/>
        </w:rPr>
        <w:t>/d</w:t>
      </w:r>
      <w:r>
        <w:rPr>
          <w:rFonts w:hint="eastAsia"/>
          <w:color w:val="FF0000"/>
        </w:rPr>
        <w:t>（一年按</w:t>
      </w:r>
      <w:r>
        <w:rPr>
          <w:color w:val="FF0000"/>
        </w:rPr>
        <w:t>3</w:t>
      </w:r>
      <w:r>
        <w:rPr>
          <w:rFonts w:hint="eastAsia"/>
          <w:color w:val="FF0000"/>
        </w:rPr>
        <w:t>64天计，327.6</w:t>
      </w:r>
      <w:r>
        <w:rPr>
          <w:color w:val="FF0000"/>
        </w:rPr>
        <w:t>m</w:t>
      </w:r>
      <w:r>
        <w:rPr>
          <w:color w:val="FF0000"/>
          <w:vertAlign w:val="superscript"/>
        </w:rPr>
        <w:t>3</w:t>
      </w:r>
      <w:r>
        <w:rPr>
          <w:color w:val="FF0000"/>
        </w:rPr>
        <w:t>/a</w:t>
      </w:r>
      <w:r>
        <w:rPr>
          <w:rFonts w:hint="eastAsia"/>
          <w:color w:val="FF0000"/>
        </w:rPr>
        <w:t>）。本项目生活污水</w:t>
      </w:r>
      <w:r>
        <w:rPr>
          <w:rFonts w:hint="eastAsia"/>
          <w:color w:val="FF0000"/>
          <w:szCs w:val="24"/>
        </w:rPr>
        <w:t>产生率按用水量的</w:t>
      </w:r>
      <w:r>
        <w:rPr>
          <w:color w:val="FF0000"/>
          <w:szCs w:val="24"/>
        </w:rPr>
        <w:t>80%</w:t>
      </w:r>
      <w:r>
        <w:rPr>
          <w:rFonts w:hint="eastAsia"/>
          <w:color w:val="FF0000"/>
          <w:szCs w:val="24"/>
        </w:rPr>
        <w:t>计，则废水产生量为</w:t>
      </w:r>
      <w:r>
        <w:rPr>
          <w:color w:val="FF0000"/>
          <w:szCs w:val="24"/>
        </w:rPr>
        <w:t>0.</w:t>
      </w:r>
      <w:r>
        <w:rPr>
          <w:rFonts w:hint="eastAsia"/>
          <w:color w:val="FF0000"/>
          <w:szCs w:val="24"/>
        </w:rPr>
        <w:t>72</w:t>
      </w:r>
      <w:r>
        <w:rPr>
          <w:color w:val="FF0000"/>
          <w:szCs w:val="24"/>
        </w:rPr>
        <w:t>m</w:t>
      </w:r>
      <w:r>
        <w:rPr>
          <w:color w:val="FF0000"/>
          <w:szCs w:val="24"/>
          <w:vertAlign w:val="superscript"/>
        </w:rPr>
        <w:t>3</w:t>
      </w:r>
      <w:r>
        <w:rPr>
          <w:color w:val="FF0000"/>
          <w:szCs w:val="24"/>
        </w:rPr>
        <w:t>/d</w:t>
      </w:r>
      <w:r>
        <w:rPr>
          <w:rFonts w:hint="eastAsia"/>
          <w:color w:val="FF0000"/>
          <w:szCs w:val="24"/>
        </w:rPr>
        <w:t>（262.08</w:t>
      </w:r>
      <w:r>
        <w:rPr>
          <w:color w:val="FF0000"/>
          <w:szCs w:val="24"/>
        </w:rPr>
        <w:t>m</w:t>
      </w:r>
      <w:r>
        <w:rPr>
          <w:color w:val="FF0000"/>
          <w:szCs w:val="24"/>
          <w:vertAlign w:val="superscript"/>
        </w:rPr>
        <w:t>3</w:t>
      </w:r>
      <w:r>
        <w:rPr>
          <w:color w:val="FF0000"/>
          <w:szCs w:val="24"/>
        </w:rPr>
        <w:t>/a</w:t>
      </w:r>
      <w:r>
        <w:rPr>
          <w:rFonts w:hint="eastAsia"/>
          <w:color w:val="FF0000"/>
          <w:szCs w:val="24"/>
        </w:rPr>
        <w:t>）。本项目生活污水先经过化粪池处理后再进入污水处理站处理。</w:t>
      </w:r>
    </w:p>
    <w:p>
      <w:pPr>
        <w:ind w:firstLine="480"/>
        <w:rPr>
          <w:color w:val="FF0000"/>
        </w:rPr>
      </w:pPr>
      <w:r>
        <w:rPr>
          <w:rFonts w:hint="eastAsia"/>
          <w:color w:val="FF0000"/>
        </w:rPr>
        <w:t>⑤绿化用水</w:t>
      </w:r>
    </w:p>
    <w:p>
      <w:pPr>
        <w:ind w:firstLine="480"/>
        <w:rPr>
          <w:color w:val="FF0000"/>
        </w:rPr>
      </w:pPr>
      <w:r>
        <w:rPr>
          <w:rFonts w:hint="eastAsia"/>
          <w:color w:val="FF0000"/>
        </w:rPr>
        <w:t>根据工程设计，本项目拟建绿化面积2444.71</w:t>
      </w:r>
      <w:r>
        <w:rPr>
          <w:color w:val="FF0000"/>
        </w:rPr>
        <w:t>m</w:t>
      </w:r>
      <w:r>
        <w:rPr>
          <w:color w:val="FF0000"/>
          <w:vertAlign w:val="superscript"/>
        </w:rPr>
        <w:t>2</w:t>
      </w:r>
      <w:r>
        <w:rPr>
          <w:rFonts w:hint="eastAsia"/>
          <w:color w:val="FF0000"/>
        </w:rPr>
        <w:t>，根据《云南省地方标准</w:t>
      </w:r>
      <w:r>
        <w:rPr>
          <w:color w:val="FF0000"/>
        </w:rPr>
        <w:t xml:space="preserve"> </w:t>
      </w:r>
      <w:r>
        <w:rPr>
          <w:rFonts w:hint="eastAsia"/>
          <w:color w:val="FF0000"/>
        </w:rPr>
        <w:t>用水定额》（</w:t>
      </w:r>
      <w:r>
        <w:rPr>
          <w:color w:val="FF0000"/>
        </w:rPr>
        <w:t>DB53/T168-20</w:t>
      </w:r>
      <w:r>
        <w:rPr>
          <w:rFonts w:hint="eastAsia"/>
          <w:color w:val="FF0000"/>
        </w:rPr>
        <w:t>19），灌溉日绿化用水量按</w:t>
      </w:r>
      <w:r>
        <w:rPr>
          <w:color w:val="FF0000"/>
        </w:rPr>
        <w:t>3L/</w:t>
      </w:r>
      <w:r>
        <w:rPr>
          <w:rFonts w:hint="eastAsia"/>
          <w:color w:val="FF0000"/>
        </w:rPr>
        <w:t>（</w:t>
      </w:r>
      <w:r>
        <w:rPr>
          <w:color w:val="FF0000"/>
        </w:rPr>
        <w:t>m</w:t>
      </w:r>
      <w:r>
        <w:rPr>
          <w:color w:val="FF0000"/>
          <w:vertAlign w:val="superscript"/>
        </w:rPr>
        <w:t>2</w:t>
      </w:r>
      <w:r>
        <w:rPr>
          <w:color w:val="FF0000"/>
        </w:rPr>
        <w:t>·</w:t>
      </w:r>
      <w:r>
        <w:rPr>
          <w:rFonts w:hint="eastAsia"/>
          <w:color w:val="FF0000"/>
        </w:rPr>
        <w:t>次）计。根据砚山县多年统计资料，多年平均非雨天</w:t>
      </w:r>
      <w:r>
        <w:rPr>
          <w:color w:val="FF0000"/>
        </w:rPr>
        <w:t>200</w:t>
      </w:r>
      <w:r>
        <w:rPr>
          <w:rFonts w:hint="eastAsia"/>
          <w:color w:val="FF0000"/>
        </w:rPr>
        <w:t>天，雨天不用浇水，晴天两天一次，</w:t>
      </w:r>
      <w:r>
        <w:rPr>
          <w:rFonts w:hint="eastAsia"/>
          <w:bCs/>
          <w:color w:val="FF0000"/>
        </w:rPr>
        <w:t>需要灌溉</w:t>
      </w:r>
      <w:r>
        <w:rPr>
          <w:bCs/>
          <w:color w:val="FF0000"/>
        </w:rPr>
        <w:t>100</w:t>
      </w:r>
      <w:r>
        <w:rPr>
          <w:rFonts w:hint="eastAsia"/>
          <w:bCs/>
          <w:color w:val="FF0000"/>
        </w:rPr>
        <w:t>次</w:t>
      </w:r>
      <w:r>
        <w:rPr>
          <w:rFonts w:hint="eastAsia"/>
          <w:color w:val="FF0000"/>
        </w:rPr>
        <w:t>，则绿化用水量约7.334</w:t>
      </w:r>
      <w:r>
        <w:rPr>
          <w:color w:val="FF0000"/>
        </w:rPr>
        <w:t>m</w:t>
      </w:r>
      <w:r>
        <w:rPr>
          <w:color w:val="FF0000"/>
          <w:vertAlign w:val="superscript"/>
        </w:rPr>
        <w:t>3</w:t>
      </w:r>
      <w:r>
        <w:rPr>
          <w:color w:val="FF0000"/>
        </w:rPr>
        <w:t>/</w:t>
      </w:r>
      <w:r>
        <w:rPr>
          <w:rFonts w:hint="eastAsia"/>
          <w:color w:val="FF0000"/>
        </w:rPr>
        <w:t>次，733.4</w:t>
      </w:r>
      <w:r>
        <w:rPr>
          <w:color w:val="FF0000"/>
        </w:rPr>
        <w:t>m</w:t>
      </w:r>
      <w:r>
        <w:rPr>
          <w:color w:val="FF0000"/>
          <w:vertAlign w:val="superscript"/>
        </w:rPr>
        <w:t>3</w:t>
      </w:r>
      <w:r>
        <w:rPr>
          <w:color w:val="FF0000"/>
        </w:rPr>
        <w:t>/a</w:t>
      </w:r>
      <w:r>
        <w:rPr>
          <w:rFonts w:hint="eastAsia"/>
          <w:color w:val="FF0000"/>
        </w:rPr>
        <w:t>（2.015</w:t>
      </w:r>
      <w:r>
        <w:rPr>
          <w:color w:val="FF0000"/>
        </w:rPr>
        <w:t xml:space="preserve"> m</w:t>
      </w:r>
      <w:r>
        <w:rPr>
          <w:color w:val="FF0000"/>
          <w:vertAlign w:val="superscript"/>
        </w:rPr>
        <w:t>3</w:t>
      </w:r>
      <w:r>
        <w:rPr>
          <w:color w:val="FF0000"/>
        </w:rPr>
        <w:t>/</w:t>
      </w:r>
      <w:r>
        <w:rPr>
          <w:rFonts w:hint="eastAsia"/>
          <w:color w:val="FF0000"/>
        </w:rPr>
        <w:t>d），</w:t>
      </w:r>
      <w:r>
        <w:rPr>
          <w:rFonts w:hint="eastAsia"/>
          <w:color w:val="FF0000"/>
          <w:szCs w:val="24"/>
        </w:rPr>
        <w:t>绿化用水使用经污水处理站处理达标后的水，</w:t>
      </w:r>
      <w:r>
        <w:rPr>
          <w:rFonts w:hint="eastAsia"/>
          <w:color w:val="FF0000"/>
        </w:rPr>
        <w:t>绿化用水全部蒸发和渗透损耗。</w:t>
      </w:r>
    </w:p>
    <w:p>
      <w:pPr>
        <w:ind w:firstLine="480"/>
        <w:rPr>
          <w:color w:val="FF0000"/>
        </w:rPr>
      </w:pPr>
      <w:r>
        <w:rPr>
          <w:rFonts w:hint="eastAsia"/>
          <w:color w:val="FF0000"/>
        </w:rPr>
        <w:t>⑥锅炉用水</w:t>
      </w:r>
    </w:p>
    <w:p>
      <w:pPr>
        <w:ind w:firstLine="480"/>
        <w:rPr>
          <w:color w:val="FF0000"/>
        </w:rPr>
      </w:pPr>
      <w:r>
        <w:rPr>
          <w:rFonts w:hint="eastAsia" w:ascii="Calibri" w:hAnsi="Calibri"/>
          <w:color w:val="FF0000"/>
        </w:rPr>
        <w:t>本次项目拟在厂区配套</w:t>
      </w:r>
      <w:r>
        <w:rPr>
          <w:rFonts w:ascii="Calibri" w:hAnsi="Calibri"/>
          <w:color w:val="FF0000"/>
        </w:rPr>
        <w:t>1</w:t>
      </w:r>
      <w:r>
        <w:rPr>
          <w:rFonts w:hint="eastAsia" w:ascii="Calibri" w:hAnsi="Calibri"/>
          <w:color w:val="FF0000"/>
        </w:rPr>
        <w:t>台0.25</w:t>
      </w:r>
      <w:r>
        <w:rPr>
          <w:rFonts w:ascii="Calibri" w:hAnsi="Calibri"/>
          <w:color w:val="FF0000"/>
        </w:rPr>
        <w:t>t/h 的</w:t>
      </w:r>
      <w:r>
        <w:rPr>
          <w:rFonts w:hint="eastAsia" w:ascii="Calibri" w:hAnsi="Calibri"/>
          <w:color w:val="FF0000"/>
        </w:rPr>
        <w:t>生物质蒸汽锅炉，在冬季或天气恶劣时为项目生产提供热源，根据业主经验，项目锅炉年运行约150天，每天运行16h。因此可计算出锅炉用水量约为600</w:t>
      </w:r>
      <w:r>
        <w:rPr>
          <w:color w:val="FF0000"/>
        </w:rPr>
        <w:t xml:space="preserve"> m</w:t>
      </w:r>
      <w:r>
        <w:rPr>
          <w:color w:val="FF0000"/>
          <w:vertAlign w:val="superscript"/>
        </w:rPr>
        <w:t>3</w:t>
      </w:r>
      <w:r>
        <w:rPr>
          <w:color w:val="FF0000"/>
        </w:rPr>
        <w:t>/a</w:t>
      </w:r>
      <w:r>
        <w:rPr>
          <w:rFonts w:hint="eastAsia"/>
          <w:color w:val="FF0000"/>
        </w:rPr>
        <w:t>（平均1.65</w:t>
      </w:r>
      <w:r>
        <w:rPr>
          <w:color w:val="FF0000"/>
        </w:rPr>
        <w:t xml:space="preserve"> m</w:t>
      </w:r>
      <w:r>
        <w:rPr>
          <w:color w:val="FF0000"/>
          <w:vertAlign w:val="superscript"/>
        </w:rPr>
        <w:t>3</w:t>
      </w:r>
      <w:r>
        <w:rPr>
          <w:color w:val="FF0000"/>
        </w:rPr>
        <w:t>/</w:t>
      </w:r>
      <w:r>
        <w:rPr>
          <w:rFonts w:hint="eastAsia"/>
          <w:color w:val="FF0000"/>
        </w:rPr>
        <w:t>d）。锅炉用水主要是制造蒸汽提供热源，不产生废水。</w:t>
      </w:r>
    </w:p>
    <w:p>
      <w:pPr>
        <w:ind w:firstLine="480"/>
        <w:rPr>
          <w:color w:val="FF0000"/>
        </w:rPr>
      </w:pPr>
      <w:r>
        <w:rPr>
          <w:rFonts w:hint="eastAsia"/>
          <w:color w:val="FF0000"/>
        </w:rPr>
        <w:t>⑦水膜除尘系统补充水</w:t>
      </w:r>
    </w:p>
    <w:p>
      <w:pPr>
        <w:ind w:firstLine="480"/>
        <w:rPr>
          <w:rFonts w:ascii="Calibri" w:hAnsi="Calibri"/>
          <w:color w:val="FF0000"/>
        </w:rPr>
      </w:pPr>
      <w:r>
        <w:rPr>
          <w:rFonts w:hint="eastAsia"/>
          <w:color w:val="FF0000"/>
        </w:rPr>
        <w:t>项目拟为生物质锅炉配备一套水膜除尘系统，除尘用水总量约3m</w:t>
      </w:r>
      <w:r>
        <w:rPr>
          <w:rFonts w:hint="eastAsia"/>
          <w:color w:val="FF0000"/>
          <w:vertAlign w:val="superscript"/>
        </w:rPr>
        <w:t>3</w:t>
      </w:r>
      <w:r>
        <w:rPr>
          <w:rFonts w:hint="eastAsia"/>
          <w:color w:val="FF0000"/>
        </w:rPr>
        <w:t>。除尘废水经过沉淀处理后循环使用，除尘废水不外排，只</w:t>
      </w:r>
      <w:r>
        <w:rPr>
          <w:rFonts w:cs="Times New Roman"/>
          <w:color w:val="FF0000"/>
        </w:rPr>
        <w:t>需定期补充新水，根据业主经验，每天新水补充量约为</w:t>
      </w:r>
      <w:r>
        <w:rPr>
          <w:rFonts w:hint="eastAsia"/>
          <w:color w:val="FF0000"/>
        </w:rPr>
        <w:t>0.5</w:t>
      </w:r>
      <w:r>
        <w:rPr>
          <w:color w:val="FF0000"/>
        </w:rPr>
        <w:t xml:space="preserve"> m</w:t>
      </w:r>
      <w:r>
        <w:rPr>
          <w:color w:val="FF0000"/>
          <w:vertAlign w:val="superscript"/>
        </w:rPr>
        <w:t>3</w:t>
      </w:r>
      <w:r>
        <w:rPr>
          <w:rFonts w:hint="eastAsia" w:cs="Times New Roman"/>
          <w:color w:val="FF0000"/>
        </w:rPr>
        <w:t>，</w:t>
      </w:r>
      <w:r>
        <w:rPr>
          <w:rFonts w:cs="Times New Roman"/>
          <w:color w:val="FF0000"/>
        </w:rPr>
        <w:t>75m³/a</w:t>
      </w:r>
      <w:r>
        <w:rPr>
          <w:rFonts w:hint="eastAsia" w:cs="Times New Roman"/>
          <w:color w:val="FF0000"/>
        </w:rPr>
        <w:t>（</w:t>
      </w:r>
      <w:r>
        <w:rPr>
          <w:rFonts w:cs="Times New Roman"/>
          <w:color w:val="FF0000"/>
        </w:rPr>
        <w:t>按锅炉使用时间150天计算</w:t>
      </w:r>
      <w:r>
        <w:rPr>
          <w:rFonts w:hint="eastAsia" w:cs="Times New Roman"/>
          <w:color w:val="FF0000"/>
        </w:rPr>
        <w:t>），平均补充水量为0.20</w:t>
      </w:r>
      <w:r>
        <w:rPr>
          <w:rFonts w:cs="Times New Roman"/>
          <w:color w:val="FF0000"/>
        </w:rPr>
        <w:t>6m³/d。</w:t>
      </w:r>
    </w:p>
    <w:p>
      <w:pPr>
        <w:ind w:firstLine="480"/>
        <w:rPr>
          <w:color w:val="000000" w:themeColor="text1"/>
        </w:rPr>
      </w:pPr>
      <w:r>
        <w:rPr>
          <w:rFonts w:hint="eastAsia"/>
          <w:color w:val="000000" w:themeColor="text1"/>
        </w:rPr>
        <w:t>综上所述，本项目主要涉及的用水情况及污水产生量见表2.7.1-1，项目水平衡情况如图2.7.1-1所示。</w:t>
      </w:r>
    </w:p>
    <w:p>
      <w:pPr>
        <w:pStyle w:val="54"/>
        <w:rPr>
          <w:color w:val="000000" w:themeColor="text1"/>
        </w:rPr>
      </w:pPr>
      <w:r>
        <w:rPr>
          <w:rFonts w:hint="eastAsia"/>
          <w:color w:val="000000" w:themeColor="text1"/>
        </w:rPr>
        <w:t>表2.7.1-1 项目用水量和污水量估算表</w:t>
      </w:r>
    </w:p>
    <w:tbl>
      <w:tblPr>
        <w:tblStyle w:val="42"/>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972"/>
        <w:gridCol w:w="1680"/>
        <w:gridCol w:w="1562"/>
        <w:gridCol w:w="1417"/>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30" w:type="dxa"/>
            <w:vMerge w:val="restart"/>
            <w:tcBorders>
              <w:top w:val="single" w:color="auto" w:sz="4" w:space="0"/>
              <w:left w:val="single" w:color="auto" w:sz="4" w:space="0"/>
              <w:right w:val="single" w:color="auto" w:sz="4" w:space="0"/>
            </w:tcBorders>
            <w:vAlign w:val="center"/>
          </w:tcPr>
          <w:p>
            <w:pPr>
              <w:pStyle w:val="55"/>
              <w:rPr>
                <w:color w:val="000000" w:themeColor="text1"/>
                <w:szCs w:val="20"/>
              </w:rPr>
            </w:pPr>
            <w:r>
              <w:rPr>
                <w:rFonts w:hint="eastAsia"/>
                <w:color w:val="000000" w:themeColor="text1"/>
                <w:szCs w:val="21"/>
              </w:rPr>
              <w:t>序号</w:t>
            </w:r>
          </w:p>
        </w:tc>
        <w:tc>
          <w:tcPr>
            <w:tcW w:w="1972" w:type="dxa"/>
            <w:vMerge w:val="restart"/>
            <w:tcBorders>
              <w:top w:val="single" w:color="auto" w:sz="4" w:space="0"/>
              <w:left w:val="single" w:color="auto" w:sz="4" w:space="0"/>
              <w:right w:val="single" w:color="auto" w:sz="4" w:space="0"/>
            </w:tcBorders>
            <w:vAlign w:val="center"/>
          </w:tcPr>
          <w:p>
            <w:pPr>
              <w:pStyle w:val="55"/>
              <w:rPr>
                <w:color w:val="000000" w:themeColor="text1"/>
                <w:szCs w:val="20"/>
              </w:rPr>
            </w:pPr>
            <w:r>
              <w:rPr>
                <w:rFonts w:hint="eastAsia"/>
                <w:color w:val="000000" w:themeColor="text1"/>
                <w:szCs w:val="21"/>
              </w:rPr>
              <w:t>用水工序</w:t>
            </w:r>
          </w:p>
        </w:tc>
        <w:tc>
          <w:tcPr>
            <w:tcW w:w="3242" w:type="dxa"/>
            <w:gridSpan w:val="2"/>
            <w:tcBorders>
              <w:top w:val="single" w:color="auto" w:sz="4" w:space="0"/>
              <w:left w:val="single" w:color="auto" w:sz="4" w:space="0"/>
              <w:bottom w:val="single" w:color="auto" w:sz="4" w:space="0"/>
              <w:right w:val="single" w:color="auto" w:sz="4" w:space="0"/>
            </w:tcBorders>
            <w:vAlign w:val="center"/>
          </w:tcPr>
          <w:p>
            <w:pPr>
              <w:pStyle w:val="55"/>
              <w:rPr>
                <w:b/>
                <w:color w:val="000000" w:themeColor="text1"/>
                <w:szCs w:val="20"/>
              </w:rPr>
            </w:pPr>
            <w:r>
              <w:rPr>
                <w:rFonts w:hint="eastAsia"/>
                <w:b/>
                <w:color w:val="000000" w:themeColor="text1"/>
              </w:rPr>
              <w:t>新水用量</w:t>
            </w:r>
          </w:p>
        </w:tc>
        <w:tc>
          <w:tcPr>
            <w:tcW w:w="2884" w:type="dxa"/>
            <w:gridSpan w:val="2"/>
            <w:tcBorders>
              <w:top w:val="single" w:color="auto" w:sz="4" w:space="0"/>
              <w:left w:val="single" w:color="auto" w:sz="4" w:space="0"/>
              <w:right w:val="single" w:color="auto" w:sz="4" w:space="0"/>
            </w:tcBorders>
            <w:vAlign w:val="center"/>
          </w:tcPr>
          <w:p>
            <w:pPr>
              <w:pStyle w:val="55"/>
              <w:rPr>
                <w:b/>
                <w:color w:val="000000" w:themeColor="text1"/>
                <w:szCs w:val="20"/>
              </w:rPr>
            </w:pPr>
            <w:r>
              <w:rPr>
                <w:rFonts w:hint="eastAsia"/>
                <w:b/>
                <w:color w:val="000000" w:themeColor="text1"/>
              </w:rPr>
              <w:t>污水产生量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30"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1972"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168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szCs w:val="21"/>
              </w:rPr>
              <w:t>m</w:t>
            </w:r>
            <w:r>
              <w:rPr>
                <w:color w:val="000000" w:themeColor="text1"/>
                <w:szCs w:val="21"/>
                <w:vertAlign w:val="superscript"/>
              </w:rPr>
              <w:t>3</w:t>
            </w:r>
            <w:r>
              <w:rPr>
                <w:color w:val="000000" w:themeColor="text1"/>
                <w:szCs w:val="21"/>
              </w:rPr>
              <w:t>/d</w:t>
            </w:r>
          </w:p>
        </w:tc>
        <w:tc>
          <w:tcPr>
            <w:tcW w:w="156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szCs w:val="21"/>
              </w:rPr>
              <w:t>m</w:t>
            </w:r>
            <w:r>
              <w:rPr>
                <w:color w:val="000000" w:themeColor="text1"/>
                <w:szCs w:val="21"/>
                <w:vertAlign w:val="superscript"/>
              </w:rPr>
              <w:t>3</w:t>
            </w:r>
            <w:r>
              <w:rPr>
                <w:color w:val="000000" w:themeColor="text1"/>
                <w:szCs w:val="21"/>
              </w:rPr>
              <w:t>/a</w:t>
            </w:r>
          </w:p>
        </w:tc>
        <w:tc>
          <w:tcPr>
            <w:tcW w:w="1417" w:type="dxa"/>
            <w:tcBorders>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szCs w:val="21"/>
              </w:rPr>
              <w:t>m</w:t>
            </w:r>
            <w:r>
              <w:rPr>
                <w:color w:val="000000" w:themeColor="text1"/>
                <w:szCs w:val="21"/>
                <w:vertAlign w:val="superscript"/>
              </w:rPr>
              <w:t>3</w:t>
            </w:r>
            <w:r>
              <w:rPr>
                <w:color w:val="000000" w:themeColor="text1"/>
                <w:szCs w:val="21"/>
              </w:rPr>
              <w:t>/d</w:t>
            </w:r>
          </w:p>
        </w:tc>
        <w:tc>
          <w:tcPr>
            <w:tcW w:w="1467" w:type="dxa"/>
            <w:tcBorders>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szCs w:val="21"/>
              </w:rPr>
              <w:t>m</w:t>
            </w:r>
            <w:r>
              <w:rPr>
                <w:color w:val="000000" w:themeColor="text1"/>
                <w:szCs w:val="21"/>
                <w:vertAlign w:val="superscript"/>
              </w:rPr>
              <w:t>3</w:t>
            </w:r>
            <w:r>
              <w:rPr>
                <w:color w:val="000000" w:themeColor="text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szCs w:val="21"/>
              </w:rPr>
              <w:t>1</w:t>
            </w:r>
          </w:p>
        </w:tc>
        <w:tc>
          <w:tcPr>
            <w:tcW w:w="19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szCs w:val="21"/>
              </w:rPr>
              <w:t>屠宰用水</w:t>
            </w:r>
            <w:r>
              <w:rPr>
                <w:rFonts w:hint="eastAsia"/>
                <w:color w:val="000000" w:themeColor="text1"/>
              </w:rPr>
              <w:t>（包括猪、鸡饮用水）</w:t>
            </w:r>
          </w:p>
        </w:tc>
        <w:tc>
          <w:tcPr>
            <w:tcW w:w="168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285</w:t>
            </w:r>
          </w:p>
        </w:tc>
        <w:tc>
          <w:tcPr>
            <w:tcW w:w="156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103750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228</w:t>
            </w:r>
          </w:p>
        </w:tc>
        <w:tc>
          <w:tcPr>
            <w:tcW w:w="146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83000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szCs w:val="21"/>
              </w:rPr>
              <w:t>2</w:t>
            </w:r>
          </w:p>
        </w:tc>
        <w:tc>
          <w:tcPr>
            <w:tcW w:w="19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szCs w:val="21"/>
              </w:rPr>
              <w:t>车辆冲洗</w:t>
            </w:r>
            <w:r>
              <w:rPr>
                <w:rFonts w:hint="eastAsia"/>
                <w:color w:val="000000" w:themeColor="text1"/>
              </w:rPr>
              <w:t>消毒</w:t>
            </w:r>
            <w:r>
              <w:rPr>
                <w:rFonts w:hint="eastAsia"/>
                <w:color w:val="000000" w:themeColor="text1"/>
                <w:szCs w:val="21"/>
              </w:rPr>
              <w:t>用水</w:t>
            </w:r>
          </w:p>
        </w:tc>
        <w:tc>
          <w:tcPr>
            <w:tcW w:w="168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6.59</w:t>
            </w:r>
          </w:p>
        </w:tc>
        <w:tc>
          <w:tcPr>
            <w:tcW w:w="156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2400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5.27</w:t>
            </w:r>
          </w:p>
        </w:tc>
        <w:tc>
          <w:tcPr>
            <w:tcW w:w="146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1920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szCs w:val="21"/>
              </w:rPr>
              <w:t>3</w:t>
            </w:r>
          </w:p>
        </w:tc>
        <w:tc>
          <w:tcPr>
            <w:tcW w:w="19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szCs w:val="21"/>
              </w:rPr>
              <w:t>生活用水</w:t>
            </w:r>
          </w:p>
        </w:tc>
        <w:tc>
          <w:tcPr>
            <w:tcW w:w="168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0.9</w:t>
            </w:r>
          </w:p>
        </w:tc>
        <w:tc>
          <w:tcPr>
            <w:tcW w:w="156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327.6</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0.72</w:t>
            </w:r>
          </w:p>
        </w:tc>
        <w:tc>
          <w:tcPr>
            <w:tcW w:w="146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262.08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bookmarkStart w:id="53" w:name="_Hlk387829518"/>
            <w:r>
              <w:rPr>
                <w:color w:val="000000" w:themeColor="text1"/>
                <w:szCs w:val="21"/>
              </w:rPr>
              <w:t>4</w:t>
            </w:r>
          </w:p>
        </w:tc>
        <w:tc>
          <w:tcPr>
            <w:tcW w:w="19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szCs w:val="21"/>
              </w:rPr>
              <w:t>绿化用水</w:t>
            </w:r>
            <w:r>
              <w:rPr>
                <w:rFonts w:hint="eastAsia"/>
                <w:color w:val="000000" w:themeColor="text1"/>
              </w:rPr>
              <w:t>（回用水、不计入新水用量）</w:t>
            </w:r>
          </w:p>
        </w:tc>
        <w:tc>
          <w:tcPr>
            <w:tcW w:w="168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2.015（不计入）</w:t>
            </w:r>
          </w:p>
        </w:tc>
        <w:tc>
          <w:tcPr>
            <w:tcW w:w="156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733.4（不计入）</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w:t>
            </w:r>
          </w:p>
        </w:tc>
        <w:tc>
          <w:tcPr>
            <w:tcW w:w="146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43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5</w:t>
            </w:r>
          </w:p>
        </w:tc>
        <w:tc>
          <w:tcPr>
            <w:tcW w:w="19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锅炉用水</w:t>
            </w:r>
          </w:p>
        </w:tc>
        <w:tc>
          <w:tcPr>
            <w:tcW w:w="168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1.65</w:t>
            </w:r>
          </w:p>
        </w:tc>
        <w:tc>
          <w:tcPr>
            <w:tcW w:w="156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600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szCs w:val="21"/>
              </w:rPr>
              <w:t>/</w:t>
            </w:r>
          </w:p>
        </w:tc>
        <w:tc>
          <w:tcPr>
            <w:tcW w:w="146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6</w:t>
            </w:r>
          </w:p>
        </w:tc>
        <w:tc>
          <w:tcPr>
            <w:tcW w:w="19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水膜除尘系统补充水</w:t>
            </w:r>
          </w:p>
        </w:tc>
        <w:tc>
          <w:tcPr>
            <w:tcW w:w="168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0.206</w:t>
            </w:r>
          </w:p>
        </w:tc>
        <w:tc>
          <w:tcPr>
            <w:tcW w:w="156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75</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szCs w:val="21"/>
              </w:rPr>
              <w:t>/</w:t>
            </w:r>
          </w:p>
        </w:tc>
        <w:tc>
          <w:tcPr>
            <w:tcW w:w="146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szCs w:val="21"/>
              </w:rPr>
              <w:t>/</w:t>
            </w:r>
          </w:p>
        </w:tc>
      </w:tr>
      <w:bookmarkEnd w:id="5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402"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szCs w:val="21"/>
              </w:rPr>
              <w:t>合计</w:t>
            </w:r>
          </w:p>
        </w:tc>
        <w:tc>
          <w:tcPr>
            <w:tcW w:w="168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294.346</w:t>
            </w:r>
          </w:p>
        </w:tc>
        <w:tc>
          <w:tcPr>
            <w:tcW w:w="156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107152.6</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234</w:t>
            </w:r>
          </w:p>
        </w:tc>
        <w:tc>
          <w:tcPr>
            <w:tcW w:w="146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85182.08</w:t>
            </w:r>
          </w:p>
        </w:tc>
      </w:tr>
    </w:tbl>
    <w:p>
      <w:pPr>
        <w:adjustRightInd w:val="0"/>
        <w:snapToGrid w:val="0"/>
        <w:ind w:firstLine="482"/>
        <w:jc w:val="center"/>
        <w:rPr>
          <w:b/>
          <w:color w:val="000000" w:themeColor="text1"/>
          <w:szCs w:val="24"/>
        </w:rPr>
      </w:pPr>
    </w:p>
    <w:p>
      <w:pPr>
        <w:pStyle w:val="54"/>
        <w:rPr>
          <w:b w:val="0"/>
          <w:color w:val="000000" w:themeColor="text1"/>
          <w:szCs w:val="21"/>
        </w:rPr>
      </w:pPr>
      <w:r>
        <w:rPr>
          <w:color w:val="000000" w:themeColor="text1"/>
        </w:rPr>
        <w:object>
          <v:shape id="_x0000_i1028" o:spt="75" type="#_x0000_t75" style="height:498.55pt;width:415.7pt;" o:ole="t" filled="f" o:preferrelative="t" stroked="f" coordsize="21600,21600">
            <v:path/>
            <v:fill on="f" focussize="0,0"/>
            <v:stroke on="f" joinstyle="miter"/>
            <v:imagedata r:id="rId21" o:title=""/>
            <o:lock v:ext="edit" aspectratio="t"/>
            <w10:wrap type="none"/>
            <w10:anchorlock/>
          </v:shape>
          <o:OLEObject Type="Embed" ProgID="Visio.Drawing.11" ShapeID="_x0000_i1028" DrawAspect="Content" ObjectID="_1468075728" r:id="rId20">
            <o:LockedField>false</o:LockedField>
          </o:OLEObject>
        </w:object>
      </w:r>
      <w:r>
        <w:rPr>
          <w:rFonts w:hint="eastAsia"/>
          <w:color w:val="000000" w:themeColor="text1"/>
        </w:rPr>
        <w:t>图2.7.1-1</w:t>
      </w:r>
      <w:r>
        <w:rPr>
          <w:color w:val="000000" w:themeColor="text1"/>
        </w:rPr>
        <w:t xml:space="preserve">  </w:t>
      </w:r>
      <w:r>
        <w:rPr>
          <w:rFonts w:hint="eastAsia"/>
          <w:color w:val="000000" w:themeColor="text1"/>
        </w:rPr>
        <w:t xml:space="preserve"> 项目水平衡图</w:t>
      </w:r>
      <w:r>
        <w:rPr>
          <w:color w:val="000000" w:themeColor="text1"/>
        </w:rPr>
        <w:t xml:space="preserve">    </w:t>
      </w:r>
      <w:r>
        <w:rPr>
          <w:rFonts w:hint="eastAsia"/>
          <w:color w:val="000000" w:themeColor="text1"/>
        </w:rPr>
        <w:t>单位：</w:t>
      </w:r>
      <w:r>
        <w:rPr>
          <w:color w:val="000000" w:themeColor="text1"/>
        </w:rPr>
        <w:t>m</w:t>
      </w:r>
      <w:r>
        <w:rPr>
          <w:color w:val="000000" w:themeColor="text1"/>
          <w:vertAlign w:val="superscript"/>
        </w:rPr>
        <w:t>3</w:t>
      </w:r>
      <w:r>
        <w:rPr>
          <w:color w:val="000000" w:themeColor="text1"/>
        </w:rPr>
        <w:t>/</w:t>
      </w:r>
      <w:r>
        <w:rPr>
          <w:rFonts w:hint="eastAsia"/>
          <w:color w:val="000000" w:themeColor="text1"/>
        </w:rPr>
        <w:t>d</w:t>
      </w:r>
    </w:p>
    <w:p>
      <w:pPr>
        <w:ind w:firstLine="482"/>
        <w:rPr>
          <w:b/>
          <w:color w:val="000000" w:themeColor="text1"/>
        </w:rPr>
      </w:pPr>
    </w:p>
    <w:p>
      <w:pPr>
        <w:ind w:firstLine="482"/>
        <w:rPr>
          <w:b/>
          <w:color w:val="000000" w:themeColor="text1"/>
        </w:rPr>
      </w:pPr>
      <w:r>
        <w:rPr>
          <w:rFonts w:hint="eastAsia"/>
          <w:b/>
          <w:color w:val="000000" w:themeColor="text1"/>
        </w:rPr>
        <w:t>2、污水处理站工艺流程</w:t>
      </w:r>
    </w:p>
    <w:p>
      <w:pPr>
        <w:ind w:firstLine="480"/>
        <w:rPr>
          <w:color w:val="000000" w:themeColor="text1"/>
        </w:rPr>
      </w:pPr>
      <w:r>
        <w:rPr>
          <w:rFonts w:hint="eastAsia"/>
          <w:color w:val="000000" w:themeColor="text1"/>
        </w:rPr>
        <w:t>本项目产生的废水以屠宰加工废水为主，屠宰废水一般呈红褐色，有难闻的腥臭味，其中含有大量的血污、油脂质、毛、肉屑、骨屑、内脏杂物、未消化的食物、粪便等污物，固体悬浮物含量高。根据云南宗泰环保科技有限公司提供的本项目污水处理站设计方案，结合《屠宰与肉类加工废水治理工程技术规范》（</w:t>
      </w:r>
      <w:r>
        <w:rPr>
          <w:color w:val="000000" w:themeColor="text1"/>
        </w:rPr>
        <w:t>HJ2004-2010</w:t>
      </w:r>
      <w:r>
        <w:rPr>
          <w:rFonts w:hint="eastAsia"/>
          <w:color w:val="000000" w:themeColor="text1"/>
        </w:rPr>
        <w:t>）推荐的相关污水处理模式，本项目废水拟采用“隔油沉砂</w:t>
      </w:r>
      <w:r>
        <w:rPr>
          <w:color w:val="000000" w:themeColor="text1"/>
        </w:rPr>
        <w:t>+</w:t>
      </w:r>
      <w:r>
        <w:rPr>
          <w:rFonts w:hint="eastAsia"/>
          <w:color w:val="000000" w:themeColor="text1"/>
        </w:rPr>
        <w:t>调节</w:t>
      </w:r>
      <w:r>
        <w:rPr>
          <w:color w:val="000000" w:themeColor="text1"/>
        </w:rPr>
        <w:t>+</w:t>
      </w:r>
      <w:r>
        <w:rPr>
          <w:rFonts w:hint="eastAsia"/>
          <w:color w:val="000000" w:themeColor="text1"/>
        </w:rPr>
        <w:t>气浮</w:t>
      </w:r>
      <w:r>
        <w:rPr>
          <w:color w:val="000000" w:themeColor="text1"/>
        </w:rPr>
        <w:t>+</w:t>
      </w:r>
      <w:r>
        <w:rPr>
          <w:rFonts w:hint="eastAsia"/>
          <w:color w:val="000000" w:themeColor="text1"/>
        </w:rPr>
        <w:t>厌氧</w:t>
      </w:r>
      <w:r>
        <w:rPr>
          <w:color w:val="000000" w:themeColor="text1"/>
        </w:rPr>
        <w:t>+</w:t>
      </w:r>
      <w:r>
        <w:rPr>
          <w:rFonts w:hint="eastAsia"/>
          <w:color w:val="000000" w:themeColor="text1"/>
        </w:rPr>
        <w:t>接触氧化</w:t>
      </w:r>
      <w:r>
        <w:rPr>
          <w:color w:val="000000" w:themeColor="text1"/>
        </w:rPr>
        <w:t>+</w:t>
      </w:r>
      <w:r>
        <w:rPr>
          <w:rFonts w:hint="eastAsia"/>
          <w:color w:val="000000" w:themeColor="text1"/>
        </w:rPr>
        <w:t>沉淀消毒”的工艺进行处理，污水</w:t>
      </w:r>
      <w:r>
        <w:rPr>
          <w:rFonts w:cs="Times New Roman"/>
          <w:color w:val="000000" w:themeColor="text1"/>
        </w:rPr>
        <w:t>处理规模为300m³/d</w:t>
      </w:r>
      <w:r>
        <w:rPr>
          <w:rFonts w:hint="eastAsia"/>
          <w:color w:val="000000" w:themeColor="text1"/>
        </w:rPr>
        <w:t>。</w:t>
      </w:r>
    </w:p>
    <w:p>
      <w:pPr>
        <w:adjustRightInd w:val="0"/>
        <w:snapToGrid w:val="0"/>
        <w:ind w:firstLine="480"/>
        <w:rPr>
          <w:color w:val="000000" w:themeColor="text1"/>
          <w:szCs w:val="24"/>
        </w:rPr>
      </w:pPr>
      <w:r>
        <w:rPr>
          <w:rFonts w:hint="eastAsia"/>
          <w:color w:val="000000" w:themeColor="text1"/>
          <w:szCs w:val="24"/>
        </w:rPr>
        <w:t>①工艺流程</w:t>
      </w:r>
    </w:p>
    <w:p>
      <w:pPr>
        <w:ind w:firstLine="480"/>
        <w:rPr>
          <w:color w:val="000000" w:themeColor="text1"/>
        </w:rPr>
      </w:pPr>
      <w:r>
        <w:rPr>
          <w:rFonts w:hint="eastAsia"/>
          <w:color w:val="000000" w:themeColor="text1"/>
        </w:rPr>
        <w:t>本项目排放的废水，首先经过格栅去除毛、内脏碎块等大块杂物，防止管道和水泵堵塞，然后进入隔油调节池进行水质、水量的调节并隔出部分油脂以及沉淀出大块的杂质。出水进入溶气气浮机，在药剂的作用下，进一步去除废水中的悬浮物和部分有机物，并将油脂及未拦截的细绒毛去除。进入水解酸化池，污水在其内进行水解酸化，将难生物降解的大分子有机物分解为易于生物降解的小分子有机物，水解酸化池出水进入接触氧化池。在曝气状态下中大量繁殖的活性污泥中微生物以及硝化菌群、磷细菌，降解或吸附水中含碳、氨氮、磷有机污染物质，去除大部分的</w:t>
      </w:r>
      <w:r>
        <w:rPr>
          <w:color w:val="000000" w:themeColor="text1"/>
        </w:rPr>
        <w:t>COD</w:t>
      </w:r>
      <w:r>
        <w:rPr>
          <w:rFonts w:hint="eastAsia"/>
          <w:color w:val="000000" w:themeColor="text1"/>
        </w:rPr>
        <w:t>，出水进入沉淀池中使悬浮物和浊度进一步降低，同时，为保证出水氨氮达标，设置从接触氧化池到水解酸化池的回流，在水解池内完成反硝化反应，去除氨氮。接触氧化池出水进入沉淀池，沉淀池出水经二氧化氯消毒后最终实现达标排放。污水处理站工艺流程图详见图2.7.1-2所示。</w:t>
      </w:r>
    </w:p>
    <w:p>
      <w:pPr>
        <w:adjustRightInd w:val="0"/>
        <w:snapToGrid w:val="0"/>
        <w:ind w:firstLine="480"/>
        <w:rPr>
          <w:color w:val="000000" w:themeColor="text1"/>
          <w:szCs w:val="24"/>
        </w:rPr>
      </w:pPr>
    </w:p>
    <w:p>
      <w:pPr>
        <w:adjustRightInd w:val="0"/>
        <w:snapToGrid w:val="0"/>
        <w:ind w:firstLine="480"/>
        <w:jc w:val="center"/>
        <w:rPr>
          <w:color w:val="000000" w:themeColor="text1"/>
          <w:szCs w:val="24"/>
        </w:rPr>
      </w:pPr>
      <w:r>
        <w:rPr>
          <w:rFonts w:hint="eastAsia"/>
          <w:color w:val="000000" w:themeColor="text1"/>
          <w:szCs w:val="24"/>
        </w:rPr>
        <w:drawing>
          <wp:inline distT="0" distB="0" distL="0" distR="0">
            <wp:extent cx="5274310" cy="6633210"/>
            <wp:effectExtent l="1905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2"/>
                    <a:srcRect/>
                    <a:stretch>
                      <a:fillRect/>
                    </a:stretch>
                  </pic:blipFill>
                  <pic:spPr>
                    <a:xfrm>
                      <a:off x="0" y="0"/>
                      <a:ext cx="5274310" cy="6633335"/>
                    </a:xfrm>
                    <a:prstGeom prst="rect">
                      <a:avLst/>
                    </a:prstGeom>
                    <a:noFill/>
                    <a:ln w="9525">
                      <a:noFill/>
                      <a:miter lim="800000"/>
                      <a:headEnd/>
                      <a:tailEnd/>
                    </a:ln>
                  </pic:spPr>
                </pic:pic>
              </a:graphicData>
            </a:graphic>
          </wp:inline>
        </w:drawing>
      </w:r>
    </w:p>
    <w:p>
      <w:pPr>
        <w:pStyle w:val="54"/>
        <w:rPr>
          <w:color w:val="000000" w:themeColor="text1"/>
        </w:rPr>
      </w:pPr>
      <w:r>
        <w:rPr>
          <w:rFonts w:hint="eastAsia"/>
          <w:color w:val="000000" w:themeColor="text1"/>
        </w:rPr>
        <w:t>图2.7.1-2 污水处理站工艺流程图</w:t>
      </w:r>
    </w:p>
    <w:p>
      <w:pPr>
        <w:adjustRightInd w:val="0"/>
        <w:snapToGrid w:val="0"/>
        <w:ind w:firstLine="480"/>
        <w:rPr>
          <w:color w:val="000000" w:themeColor="text1"/>
          <w:szCs w:val="24"/>
        </w:rPr>
      </w:pPr>
      <w:r>
        <w:rPr>
          <w:rFonts w:hint="eastAsia"/>
          <w:color w:val="000000" w:themeColor="text1"/>
          <w:szCs w:val="24"/>
        </w:rPr>
        <w:t>②污水水质</w:t>
      </w:r>
    </w:p>
    <w:p>
      <w:pPr>
        <w:ind w:firstLine="480"/>
        <w:rPr>
          <w:color w:val="000000" w:themeColor="text1"/>
        </w:rPr>
      </w:pPr>
      <w:r>
        <w:rPr>
          <w:rFonts w:cs="Times New Roman"/>
          <w:color w:val="000000" w:themeColor="text1"/>
        </w:rPr>
        <w:t>根据</w:t>
      </w:r>
      <w:r>
        <w:rPr>
          <w:rFonts w:hint="eastAsia"/>
          <w:color w:val="000000" w:themeColor="text1"/>
        </w:rPr>
        <w:t>《</w:t>
      </w:r>
      <w:r>
        <w:rPr>
          <w:rFonts w:hint="eastAsia"/>
          <w:color w:val="000000" w:themeColor="text1"/>
          <w:kern w:val="0"/>
        </w:rPr>
        <w:t>屠宰与肉类加工废水治理工程技术规范》（</w:t>
      </w:r>
      <w:r>
        <w:rPr>
          <w:color w:val="000000" w:themeColor="text1"/>
          <w:kern w:val="0"/>
        </w:rPr>
        <w:t>HJ2004-2010</w:t>
      </w:r>
      <w:r>
        <w:rPr>
          <w:rFonts w:hint="eastAsia"/>
          <w:color w:val="000000" w:themeColor="text1"/>
          <w:kern w:val="0"/>
        </w:rPr>
        <w:t>）中4.3</w:t>
      </w:r>
      <w:r>
        <w:rPr>
          <w:rFonts w:hint="eastAsia"/>
          <w:color w:val="000000" w:themeColor="text1"/>
        </w:rPr>
        <w:t>，在废水水质没有实际监测数据时可参照该标准中表3所列数据。因此本项目生产废水水质取值情况如下表所示：</w:t>
      </w:r>
    </w:p>
    <w:p>
      <w:pPr>
        <w:pStyle w:val="54"/>
        <w:rPr>
          <w:color w:val="000000" w:themeColor="text1"/>
        </w:rPr>
      </w:pPr>
      <w:r>
        <w:rPr>
          <w:rFonts w:hint="eastAsia"/>
          <w:color w:val="000000" w:themeColor="text1"/>
        </w:rPr>
        <w:t>表2.7.1-2  本项目污水产生及排放情况一览表</w:t>
      </w:r>
    </w:p>
    <w:tbl>
      <w:tblPr>
        <w:tblStyle w:val="4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1451"/>
        <w:gridCol w:w="992"/>
        <w:gridCol w:w="992"/>
        <w:gridCol w:w="851"/>
        <w:gridCol w:w="992"/>
        <w:gridCol w:w="992"/>
        <w:gridCol w:w="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废水量</w:t>
            </w:r>
          </w:p>
        </w:tc>
        <w:tc>
          <w:tcPr>
            <w:tcW w:w="145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COD</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BOD</w:t>
            </w:r>
            <w:r>
              <w:rPr>
                <w:color w:val="000000" w:themeColor="text1"/>
                <w:vertAlign w:val="subscript"/>
              </w:rPr>
              <w:t>5</w:t>
            </w: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SS</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NH</w:t>
            </w:r>
            <w:r>
              <w:rPr>
                <w:color w:val="000000" w:themeColor="text1"/>
                <w:vertAlign w:val="subscript"/>
              </w:rPr>
              <w:t>3</w:t>
            </w:r>
            <w:r>
              <w:rPr>
                <w:color w:val="000000" w:themeColor="text1"/>
              </w:rPr>
              <w:t>-N</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动植物油</w:t>
            </w:r>
          </w:p>
        </w:tc>
        <w:tc>
          <w:tcPr>
            <w:tcW w:w="90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大肠菌群数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生产废水84920</w:t>
            </w:r>
            <w:r>
              <w:rPr>
                <w:color w:val="000000" w:themeColor="text1"/>
                <w:sz w:val="24"/>
              </w:rPr>
              <w:t>m³/a</w:t>
            </w:r>
          </w:p>
        </w:tc>
        <w:tc>
          <w:tcPr>
            <w:tcW w:w="1451"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产生浓度</w:t>
            </w:r>
            <w:r>
              <w:rPr>
                <w:bCs/>
                <w:color w:val="000000" w:themeColor="text1"/>
              </w:rPr>
              <w:t>mg/L</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bCs/>
                <w:color w:val="000000" w:themeColor="text1"/>
              </w:rPr>
              <w:t>1500</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bCs/>
                <w:color w:val="000000" w:themeColor="text1"/>
              </w:rPr>
              <w:t>7</w:t>
            </w:r>
            <w:r>
              <w:rPr>
                <w:rFonts w:hint="eastAsia"/>
                <w:bCs/>
                <w:color w:val="000000" w:themeColor="text1"/>
              </w:rPr>
              <w:t>50</w:t>
            </w: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8</w:t>
            </w:r>
            <w:r>
              <w:rPr>
                <w:bCs/>
                <w:color w:val="000000" w:themeColor="text1"/>
              </w:rPr>
              <w:t>00</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50</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50</w:t>
            </w:r>
          </w:p>
        </w:tc>
        <w:tc>
          <w:tcPr>
            <w:tcW w:w="901"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bCs/>
                <w:color w:val="000000" w:themeColor="text1"/>
              </w:rPr>
              <w:t>4.6*10</w:t>
            </w:r>
            <w:r>
              <w:rPr>
                <w:bCs/>
                <w:color w:val="000000" w:themeColor="text1"/>
                <w:vertAlign w:val="super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p>
        </w:tc>
        <w:tc>
          <w:tcPr>
            <w:tcW w:w="1451"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产生量</w:t>
            </w:r>
            <w:r>
              <w:rPr>
                <w:bCs/>
                <w:color w:val="000000" w:themeColor="text1"/>
              </w:rPr>
              <w:t>t/a</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127.38</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63.69</w:t>
            </w: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67.94</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4.246</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4.246</w:t>
            </w:r>
          </w:p>
        </w:tc>
        <w:tc>
          <w:tcPr>
            <w:tcW w:w="901"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bCs/>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生活废水262.08</w:t>
            </w:r>
            <w:r>
              <w:rPr>
                <w:color w:val="000000" w:themeColor="text1"/>
                <w:sz w:val="24"/>
              </w:rPr>
              <w:t>m³/a</w:t>
            </w:r>
          </w:p>
        </w:tc>
        <w:tc>
          <w:tcPr>
            <w:tcW w:w="1451"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产生浓度</w:t>
            </w:r>
            <w:r>
              <w:rPr>
                <w:bCs/>
                <w:color w:val="000000" w:themeColor="text1"/>
              </w:rPr>
              <w:t>mg/L</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bCs/>
                <w:color w:val="000000" w:themeColor="text1"/>
              </w:rPr>
              <w:t>300</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bCs/>
                <w:color w:val="000000" w:themeColor="text1"/>
              </w:rPr>
              <w:t>130</w:t>
            </w: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bCs/>
                <w:color w:val="000000" w:themeColor="text1"/>
              </w:rPr>
              <w:t>150</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bCs/>
                <w:color w:val="000000" w:themeColor="text1"/>
              </w:rPr>
              <w:t>45</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bCs/>
                <w:color w:val="000000" w:themeColor="text1"/>
              </w:rPr>
              <w:t>20</w:t>
            </w:r>
          </w:p>
        </w:tc>
        <w:tc>
          <w:tcPr>
            <w:tcW w:w="90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p>
        </w:tc>
        <w:tc>
          <w:tcPr>
            <w:tcW w:w="1451"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产生量</w:t>
            </w:r>
            <w:r>
              <w:rPr>
                <w:bCs/>
                <w:color w:val="000000" w:themeColor="text1"/>
              </w:rPr>
              <w:t>t/a</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0.0786</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0.034</w:t>
            </w: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0.039</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0.012</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0.005</w:t>
            </w:r>
          </w:p>
        </w:tc>
        <w:tc>
          <w:tcPr>
            <w:tcW w:w="90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351"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全厂混水</w:t>
            </w:r>
          </w:p>
          <w:p>
            <w:pPr>
              <w:pStyle w:val="55"/>
              <w:rPr>
                <w:bCs/>
                <w:color w:val="000000" w:themeColor="text1"/>
              </w:rPr>
            </w:pPr>
            <w:r>
              <w:rPr>
                <w:rFonts w:hint="eastAsia"/>
                <w:color w:val="000000" w:themeColor="text1"/>
              </w:rPr>
              <w:t>85182.08</w:t>
            </w:r>
          </w:p>
        </w:tc>
        <w:tc>
          <w:tcPr>
            <w:tcW w:w="1451"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浓度</w:t>
            </w:r>
            <w:r>
              <w:rPr>
                <w:bCs/>
                <w:color w:val="000000" w:themeColor="text1"/>
              </w:rPr>
              <w:t>mg/L</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bCs/>
                <w:color w:val="000000" w:themeColor="text1"/>
              </w:rPr>
              <w:t>149</w:t>
            </w:r>
            <w:r>
              <w:rPr>
                <w:rFonts w:hint="eastAsia"/>
                <w:bCs/>
                <w:color w:val="000000" w:themeColor="text1"/>
              </w:rPr>
              <w:t>6</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748</w:t>
            </w: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798</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50</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49</w:t>
            </w:r>
          </w:p>
        </w:tc>
        <w:tc>
          <w:tcPr>
            <w:tcW w:w="90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bCs/>
                <w:color w:val="000000" w:themeColor="text1"/>
              </w:rPr>
              <w:t>4.6*10</w:t>
            </w:r>
            <w:r>
              <w:rPr>
                <w:bCs/>
                <w:color w:val="000000" w:themeColor="text1"/>
                <w:vertAlign w:val="super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351"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1451"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产生量</w:t>
            </w:r>
            <w:r>
              <w:rPr>
                <w:bCs/>
                <w:color w:val="000000" w:themeColor="text1"/>
              </w:rPr>
              <w:t>t/a</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127.46</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63.72</w:t>
            </w: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67.98</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4.258</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4.215</w:t>
            </w:r>
          </w:p>
        </w:tc>
        <w:tc>
          <w:tcPr>
            <w:tcW w:w="901"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w:t>
            </w:r>
          </w:p>
        </w:tc>
      </w:tr>
    </w:tbl>
    <w:p>
      <w:pPr>
        <w:adjustRightInd w:val="0"/>
        <w:snapToGrid w:val="0"/>
        <w:ind w:firstLine="480"/>
        <w:rPr>
          <w:color w:val="000000" w:themeColor="text1"/>
          <w:szCs w:val="24"/>
        </w:rPr>
      </w:pPr>
      <w:r>
        <w:rPr>
          <w:rFonts w:hint="eastAsia"/>
          <w:color w:val="000000" w:themeColor="text1"/>
          <w:szCs w:val="24"/>
        </w:rPr>
        <w:t>根据本项目的污水处理站设计方案，</w:t>
      </w:r>
      <w:r>
        <w:rPr>
          <w:rFonts w:hint="eastAsia" w:ascii="宋体" w:hAnsi="宋体" w:cs="宋体"/>
          <w:color w:val="000000" w:themeColor="text1"/>
          <w:szCs w:val="24"/>
        </w:rPr>
        <w:t>此污水处理工艺对污染物的去除率为：</w:t>
      </w:r>
      <w:r>
        <w:rPr>
          <w:color w:val="000000" w:themeColor="text1"/>
          <w:szCs w:val="24"/>
        </w:rPr>
        <w:t>COD</w:t>
      </w:r>
      <w:r>
        <w:rPr>
          <w:rFonts w:hint="eastAsia"/>
          <w:color w:val="000000" w:themeColor="text1"/>
          <w:szCs w:val="24"/>
        </w:rPr>
        <w:t>：</w:t>
      </w:r>
      <w:r>
        <w:rPr>
          <w:color w:val="000000" w:themeColor="text1"/>
          <w:szCs w:val="24"/>
        </w:rPr>
        <w:t>96%</w:t>
      </w:r>
      <w:r>
        <w:rPr>
          <w:rFonts w:hint="eastAsia"/>
          <w:color w:val="000000" w:themeColor="text1"/>
          <w:szCs w:val="24"/>
        </w:rPr>
        <w:t>；</w:t>
      </w:r>
      <w:r>
        <w:rPr>
          <w:color w:val="000000" w:themeColor="text1"/>
          <w:szCs w:val="24"/>
        </w:rPr>
        <w:t>BOD</w:t>
      </w:r>
      <w:r>
        <w:rPr>
          <w:color w:val="000000" w:themeColor="text1"/>
          <w:szCs w:val="24"/>
          <w:vertAlign w:val="subscript"/>
        </w:rPr>
        <w:t>5</w:t>
      </w:r>
      <w:r>
        <w:rPr>
          <w:rFonts w:hint="eastAsia"/>
          <w:color w:val="000000" w:themeColor="text1"/>
          <w:szCs w:val="24"/>
        </w:rPr>
        <w:t>：</w:t>
      </w:r>
      <w:r>
        <w:rPr>
          <w:color w:val="000000" w:themeColor="text1"/>
          <w:szCs w:val="24"/>
        </w:rPr>
        <w:t>9</w:t>
      </w:r>
      <w:r>
        <w:rPr>
          <w:rFonts w:hint="eastAsia"/>
          <w:color w:val="000000" w:themeColor="text1"/>
          <w:szCs w:val="24"/>
        </w:rPr>
        <w:t>6.47</w:t>
      </w:r>
      <w:r>
        <w:rPr>
          <w:color w:val="000000" w:themeColor="text1"/>
          <w:szCs w:val="24"/>
        </w:rPr>
        <w:t>%</w:t>
      </w:r>
      <w:r>
        <w:rPr>
          <w:rFonts w:hint="eastAsia"/>
          <w:color w:val="000000" w:themeColor="text1"/>
          <w:szCs w:val="24"/>
        </w:rPr>
        <w:t>；动植物油：81.25</w:t>
      </w:r>
      <w:r>
        <w:rPr>
          <w:color w:val="000000" w:themeColor="text1"/>
          <w:szCs w:val="24"/>
        </w:rPr>
        <w:t>%</w:t>
      </w:r>
      <w:r>
        <w:rPr>
          <w:rFonts w:hint="eastAsia"/>
          <w:color w:val="000000" w:themeColor="text1"/>
          <w:szCs w:val="24"/>
        </w:rPr>
        <w:t>；</w:t>
      </w:r>
      <w:r>
        <w:rPr>
          <w:color w:val="000000" w:themeColor="text1"/>
          <w:szCs w:val="24"/>
        </w:rPr>
        <w:t>SS</w:t>
      </w:r>
      <w:r>
        <w:rPr>
          <w:rFonts w:hint="eastAsia"/>
          <w:color w:val="000000" w:themeColor="text1"/>
          <w:szCs w:val="24"/>
        </w:rPr>
        <w:t>：90</w:t>
      </w:r>
      <w:r>
        <w:rPr>
          <w:color w:val="000000" w:themeColor="text1"/>
          <w:szCs w:val="24"/>
        </w:rPr>
        <w:t>%</w:t>
      </w:r>
      <w:r>
        <w:rPr>
          <w:rFonts w:hint="eastAsia"/>
          <w:color w:val="000000" w:themeColor="text1"/>
          <w:szCs w:val="24"/>
        </w:rPr>
        <w:t>；</w:t>
      </w:r>
      <w:r>
        <w:rPr>
          <w:color w:val="000000" w:themeColor="text1"/>
          <w:szCs w:val="24"/>
        </w:rPr>
        <w:t>NH</w:t>
      </w:r>
      <w:r>
        <w:rPr>
          <w:color w:val="000000" w:themeColor="text1"/>
          <w:szCs w:val="24"/>
          <w:vertAlign w:val="subscript"/>
        </w:rPr>
        <w:t>3</w:t>
      </w:r>
      <w:r>
        <w:rPr>
          <w:color w:val="000000" w:themeColor="text1"/>
          <w:szCs w:val="24"/>
        </w:rPr>
        <w:t>-N</w:t>
      </w:r>
      <w:r>
        <w:rPr>
          <w:rFonts w:hint="eastAsia"/>
          <w:color w:val="000000" w:themeColor="text1"/>
          <w:szCs w:val="24"/>
        </w:rPr>
        <w:t>：81.25</w:t>
      </w:r>
      <w:r>
        <w:rPr>
          <w:color w:val="000000" w:themeColor="text1"/>
          <w:szCs w:val="24"/>
        </w:rPr>
        <w:t>%</w:t>
      </w:r>
      <w:r>
        <w:rPr>
          <w:rFonts w:hint="eastAsia"/>
          <w:color w:val="000000" w:themeColor="text1"/>
          <w:szCs w:val="24"/>
        </w:rPr>
        <w:t>；大肠菌群数：</w:t>
      </w:r>
      <w:r>
        <w:rPr>
          <w:color w:val="000000" w:themeColor="text1"/>
          <w:szCs w:val="24"/>
        </w:rPr>
        <w:t>99%</w:t>
      </w:r>
      <w:r>
        <w:rPr>
          <w:rFonts w:hint="eastAsia"/>
          <w:color w:val="000000" w:themeColor="text1"/>
          <w:szCs w:val="24"/>
        </w:rPr>
        <w:t>。进出水水质指标详见表2.7.1-3所示，经处理后污染物排放量见表2.7.1-4所示。</w:t>
      </w:r>
    </w:p>
    <w:p>
      <w:pPr>
        <w:pStyle w:val="54"/>
        <w:rPr>
          <w:color w:val="000000" w:themeColor="text1"/>
        </w:rPr>
      </w:pPr>
      <w:r>
        <w:rPr>
          <w:rFonts w:hint="eastAsia"/>
          <w:color w:val="000000" w:themeColor="text1"/>
        </w:rPr>
        <w:t>表2.7.1-3  本项目污水处理站进出口水质指标一览表   单位：</w:t>
      </w:r>
      <w:r>
        <w:rPr>
          <w:color w:val="000000" w:themeColor="text1"/>
        </w:rPr>
        <w:t>mg/L</w:t>
      </w:r>
    </w:p>
    <w:tbl>
      <w:tblPr>
        <w:tblStyle w:val="42"/>
        <w:tblW w:w="6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250"/>
        <w:gridCol w:w="1817"/>
        <w:gridCol w:w="1418"/>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序号</w:t>
            </w:r>
          </w:p>
        </w:tc>
        <w:tc>
          <w:tcPr>
            <w:tcW w:w="125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污染物</w:t>
            </w:r>
          </w:p>
        </w:tc>
        <w:tc>
          <w:tcPr>
            <w:tcW w:w="18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全厂混水后进口水质</w:t>
            </w:r>
          </w:p>
        </w:tc>
        <w:tc>
          <w:tcPr>
            <w:tcW w:w="141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出口水质</w:t>
            </w:r>
          </w:p>
        </w:tc>
        <w:tc>
          <w:tcPr>
            <w:tcW w:w="168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处理效率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9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rPr>
              <w:t>1</w:t>
            </w:r>
          </w:p>
        </w:tc>
        <w:tc>
          <w:tcPr>
            <w:tcW w:w="125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rPr>
              <w:t>COD</w:t>
            </w:r>
          </w:p>
        </w:tc>
        <w:tc>
          <w:tcPr>
            <w:tcW w:w="18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1496</w:t>
            </w:r>
          </w:p>
        </w:tc>
        <w:tc>
          <w:tcPr>
            <w:tcW w:w="141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59.84</w:t>
            </w:r>
          </w:p>
        </w:tc>
        <w:tc>
          <w:tcPr>
            <w:tcW w:w="168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79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rPr>
              <w:t>2</w:t>
            </w:r>
          </w:p>
        </w:tc>
        <w:tc>
          <w:tcPr>
            <w:tcW w:w="125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rPr>
              <w:t>BOD</w:t>
            </w:r>
            <w:r>
              <w:rPr>
                <w:color w:val="000000" w:themeColor="text1"/>
                <w:vertAlign w:val="subscript"/>
              </w:rPr>
              <w:t>5</w:t>
            </w:r>
          </w:p>
        </w:tc>
        <w:tc>
          <w:tcPr>
            <w:tcW w:w="18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748</w:t>
            </w:r>
          </w:p>
        </w:tc>
        <w:tc>
          <w:tcPr>
            <w:tcW w:w="141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26.4</w:t>
            </w:r>
          </w:p>
        </w:tc>
        <w:tc>
          <w:tcPr>
            <w:tcW w:w="168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96.47%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9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rPr>
              <w:t>3</w:t>
            </w:r>
          </w:p>
        </w:tc>
        <w:tc>
          <w:tcPr>
            <w:tcW w:w="125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动植物油</w:t>
            </w:r>
          </w:p>
        </w:tc>
        <w:tc>
          <w:tcPr>
            <w:tcW w:w="18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49</w:t>
            </w:r>
          </w:p>
        </w:tc>
        <w:tc>
          <w:tcPr>
            <w:tcW w:w="141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9.19</w:t>
            </w:r>
          </w:p>
        </w:tc>
        <w:tc>
          <w:tcPr>
            <w:tcW w:w="168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81.25%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79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rPr>
              <w:t>4</w:t>
            </w:r>
          </w:p>
        </w:tc>
        <w:tc>
          <w:tcPr>
            <w:tcW w:w="125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rPr>
              <w:t>SS</w:t>
            </w:r>
          </w:p>
        </w:tc>
        <w:tc>
          <w:tcPr>
            <w:tcW w:w="18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798</w:t>
            </w:r>
          </w:p>
        </w:tc>
        <w:tc>
          <w:tcPr>
            <w:tcW w:w="141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79.8</w:t>
            </w:r>
          </w:p>
        </w:tc>
        <w:tc>
          <w:tcPr>
            <w:tcW w:w="168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9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rPr>
              <w:t>5</w:t>
            </w:r>
          </w:p>
        </w:tc>
        <w:tc>
          <w:tcPr>
            <w:tcW w:w="125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rPr>
              <w:t>NH</w:t>
            </w:r>
            <w:r>
              <w:rPr>
                <w:rFonts w:hint="eastAsia"/>
                <w:color w:val="000000" w:themeColor="text1"/>
                <w:vertAlign w:val="subscript"/>
              </w:rPr>
              <w:t>3</w:t>
            </w:r>
            <w:r>
              <w:rPr>
                <w:color w:val="000000" w:themeColor="text1"/>
              </w:rPr>
              <w:t>-N</w:t>
            </w:r>
          </w:p>
        </w:tc>
        <w:tc>
          <w:tcPr>
            <w:tcW w:w="18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50</w:t>
            </w:r>
          </w:p>
        </w:tc>
        <w:tc>
          <w:tcPr>
            <w:tcW w:w="141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9.38</w:t>
            </w:r>
          </w:p>
        </w:tc>
        <w:tc>
          <w:tcPr>
            <w:tcW w:w="168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81.25%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79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rPr>
              <w:t>6</w:t>
            </w:r>
          </w:p>
        </w:tc>
        <w:tc>
          <w:tcPr>
            <w:tcW w:w="125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szCs w:val="20"/>
              </w:rPr>
              <w:t>大肠菌群数</w:t>
            </w:r>
          </w:p>
        </w:tc>
        <w:tc>
          <w:tcPr>
            <w:tcW w:w="18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bCs/>
                <w:color w:val="000000" w:themeColor="text1"/>
              </w:rPr>
              <w:t>4.6*10</w:t>
            </w:r>
            <w:r>
              <w:rPr>
                <w:bCs/>
                <w:color w:val="000000" w:themeColor="text1"/>
                <w:vertAlign w:val="superscript"/>
              </w:rPr>
              <w:t>5</w:t>
            </w:r>
            <w:r>
              <w:rPr>
                <w:bCs/>
                <w:color w:val="000000" w:themeColor="text1"/>
              </w:rPr>
              <w:t>个</w:t>
            </w:r>
            <w:r>
              <w:rPr>
                <w:rFonts w:hint="eastAsia"/>
                <w:bCs/>
                <w:color w:val="000000" w:themeColor="text1"/>
              </w:rPr>
              <w:t>/L</w:t>
            </w:r>
          </w:p>
        </w:tc>
        <w:tc>
          <w:tcPr>
            <w:tcW w:w="141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bCs/>
                <w:color w:val="000000" w:themeColor="text1"/>
              </w:rPr>
              <w:t>4600</w:t>
            </w:r>
            <w:r>
              <w:rPr>
                <w:bCs/>
                <w:color w:val="000000" w:themeColor="text1"/>
              </w:rPr>
              <w:t>个</w:t>
            </w:r>
            <w:r>
              <w:rPr>
                <w:rFonts w:hint="eastAsia"/>
                <w:bCs/>
                <w:color w:val="000000" w:themeColor="text1"/>
              </w:rPr>
              <w:t>/L</w:t>
            </w:r>
          </w:p>
        </w:tc>
        <w:tc>
          <w:tcPr>
            <w:tcW w:w="168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99%</w:t>
            </w:r>
          </w:p>
        </w:tc>
      </w:tr>
    </w:tbl>
    <w:p>
      <w:pPr>
        <w:pStyle w:val="54"/>
        <w:rPr>
          <w:color w:val="000000" w:themeColor="text1"/>
        </w:rPr>
      </w:pPr>
      <w:r>
        <w:rPr>
          <w:rFonts w:hint="eastAsia"/>
          <w:color w:val="000000" w:themeColor="text1"/>
        </w:rPr>
        <w:t>表2.7.1-4  本项目污水产生及排放量一览表   单位：t/a</w:t>
      </w:r>
    </w:p>
    <w:tbl>
      <w:tblPr>
        <w:tblStyle w:val="4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1451"/>
        <w:gridCol w:w="992"/>
        <w:gridCol w:w="992"/>
        <w:gridCol w:w="851"/>
        <w:gridCol w:w="992"/>
        <w:gridCol w:w="992"/>
        <w:gridCol w:w="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废水量</w:t>
            </w:r>
          </w:p>
        </w:tc>
        <w:tc>
          <w:tcPr>
            <w:tcW w:w="145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COD</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BOD</w:t>
            </w:r>
            <w:r>
              <w:rPr>
                <w:color w:val="000000" w:themeColor="text1"/>
                <w:vertAlign w:val="subscript"/>
              </w:rPr>
              <w:t>5</w:t>
            </w: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SS</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NH</w:t>
            </w:r>
            <w:r>
              <w:rPr>
                <w:color w:val="000000" w:themeColor="text1"/>
                <w:vertAlign w:val="subscript"/>
              </w:rPr>
              <w:t>3</w:t>
            </w:r>
            <w:r>
              <w:rPr>
                <w:color w:val="000000" w:themeColor="text1"/>
              </w:rPr>
              <w:t>-N</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动植物油</w:t>
            </w:r>
          </w:p>
        </w:tc>
        <w:tc>
          <w:tcPr>
            <w:tcW w:w="90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大肠菌群数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351"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全厂总排放量</w:t>
            </w:r>
          </w:p>
          <w:p>
            <w:pPr>
              <w:pStyle w:val="55"/>
              <w:rPr>
                <w:bCs/>
                <w:color w:val="000000" w:themeColor="text1"/>
              </w:rPr>
            </w:pPr>
            <w:r>
              <w:rPr>
                <w:rFonts w:hint="eastAsia"/>
                <w:color w:val="000000" w:themeColor="text1"/>
              </w:rPr>
              <w:t>85182.08</w:t>
            </w:r>
          </w:p>
        </w:tc>
        <w:tc>
          <w:tcPr>
            <w:tcW w:w="1451"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产生量</w:t>
            </w:r>
            <w:r>
              <w:rPr>
                <w:bCs/>
                <w:color w:val="000000" w:themeColor="text1"/>
              </w:rPr>
              <w:t>t/a</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127.46</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63.72</w:t>
            </w: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67.98</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4.258</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4.215</w:t>
            </w:r>
          </w:p>
        </w:tc>
        <w:tc>
          <w:tcPr>
            <w:tcW w:w="901"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351" w:type="dxa"/>
            <w:vMerge w:val="continue"/>
            <w:tcBorders>
              <w:top w:val="single" w:color="auto" w:sz="4" w:space="0"/>
              <w:left w:val="single" w:color="auto" w:sz="4" w:space="0"/>
              <w:right w:val="single" w:color="auto" w:sz="4" w:space="0"/>
            </w:tcBorders>
            <w:vAlign w:val="center"/>
          </w:tcPr>
          <w:p>
            <w:pPr>
              <w:pStyle w:val="55"/>
              <w:rPr>
                <w:color w:val="000000" w:themeColor="text1"/>
              </w:rPr>
            </w:pPr>
          </w:p>
        </w:tc>
        <w:tc>
          <w:tcPr>
            <w:tcW w:w="1451"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去除率%</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color w:val="000000" w:themeColor="text1"/>
              </w:rPr>
              <w:t>96%</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color w:val="000000" w:themeColor="text1"/>
              </w:rPr>
              <w:t>96.47%</w:t>
            </w: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color w:val="000000" w:themeColor="text1"/>
              </w:rPr>
              <w:t>90%</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color w:val="000000" w:themeColor="text1"/>
              </w:rPr>
              <w:t>81.25%</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color w:val="000000" w:themeColor="text1"/>
              </w:rPr>
              <w:t>81.25%</w:t>
            </w:r>
          </w:p>
        </w:tc>
        <w:tc>
          <w:tcPr>
            <w:tcW w:w="901"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color w:val="000000" w:themeColor="text1"/>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351"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1451"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排放量</w:t>
            </w:r>
            <w:r>
              <w:rPr>
                <w:bCs/>
                <w:color w:val="000000" w:themeColor="text1"/>
              </w:rPr>
              <w:t>t/a</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5.098</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2.249</w:t>
            </w: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6.798</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0.798</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0.79</w:t>
            </w:r>
          </w:p>
        </w:tc>
        <w:tc>
          <w:tcPr>
            <w:tcW w:w="901" w:type="dxa"/>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rPr>
            </w:pPr>
            <w:r>
              <w:rPr>
                <w:rFonts w:hint="eastAsia"/>
                <w:bCs/>
                <w:color w:val="000000" w:themeColor="text1"/>
              </w:rPr>
              <w:t>/</w:t>
            </w:r>
          </w:p>
        </w:tc>
      </w:tr>
    </w:tbl>
    <w:p>
      <w:pPr>
        <w:pStyle w:val="38"/>
        <w:ind w:firstLine="281"/>
        <w:rPr>
          <w:color w:val="000000" w:themeColor="text1"/>
        </w:rPr>
      </w:pPr>
      <w:bookmarkStart w:id="54" w:name="_Toc47375813"/>
      <w:r>
        <w:rPr>
          <w:rFonts w:hint="eastAsia"/>
          <w:color w:val="000000" w:themeColor="text1"/>
        </w:rPr>
        <w:t>2.7.2废气</w:t>
      </w:r>
      <w:bookmarkEnd w:id="54"/>
    </w:p>
    <w:p>
      <w:pPr>
        <w:pStyle w:val="57"/>
        <w:ind w:firstLine="482"/>
        <w:rPr>
          <w:color w:val="000000" w:themeColor="text1"/>
        </w:rPr>
      </w:pPr>
      <w:r>
        <w:rPr>
          <w:rFonts w:hint="eastAsia"/>
          <w:color w:val="000000" w:themeColor="text1"/>
        </w:rPr>
        <w:t>2.7.2.1废气源强</w:t>
      </w:r>
    </w:p>
    <w:p>
      <w:pPr>
        <w:ind w:firstLine="480"/>
        <w:rPr>
          <w:color w:val="000000" w:themeColor="text1"/>
        </w:rPr>
      </w:pPr>
      <w:r>
        <w:rPr>
          <w:rFonts w:hint="eastAsia"/>
          <w:color w:val="000000" w:themeColor="text1"/>
        </w:rPr>
        <w:t>本项目运行过程中的废气主要是生猪待宰区废气、生猪屠宰车间废气、生鸡待宰圈废气、宰鸡车间废气、污水处理站废气、生物质锅炉废气、焚烧炉尾气、进出厂车辆尾气、制冷剂逸散废气等。</w:t>
      </w:r>
    </w:p>
    <w:p>
      <w:pPr>
        <w:ind w:firstLine="480"/>
        <w:rPr>
          <w:color w:val="000000" w:themeColor="text1"/>
        </w:rPr>
      </w:pPr>
      <w:r>
        <w:rPr>
          <w:color w:val="000000" w:themeColor="text1"/>
        </w:rPr>
        <w:t>1</w:t>
      </w:r>
      <w:r>
        <w:rPr>
          <w:rFonts w:hint="eastAsia"/>
          <w:color w:val="000000" w:themeColor="text1"/>
        </w:rPr>
        <w:t>、恶臭气体</w:t>
      </w:r>
    </w:p>
    <w:p>
      <w:pPr>
        <w:ind w:firstLine="480"/>
        <w:rPr>
          <w:color w:val="000000" w:themeColor="text1"/>
        </w:rPr>
      </w:pPr>
      <w:r>
        <w:rPr>
          <w:rFonts w:hint="eastAsia"/>
          <w:color w:val="000000" w:themeColor="text1"/>
        </w:rPr>
        <w:t>项目恶臭主要来源于生猪待宰间及生鸡待宰圈的粪尿臭味，生猪及生鸡屠宰加工过程中产生的腥臭、胃肠内容物及污水处理站产生的恶臭。恶臭是多组分低浓度的混合气体，其化学成分可达几十到几百种，各成分之间既有协同作用也有拮抗作用。根据相关文献统计，与屠宰场有关的恶臭物质多达23 种，大多为氨、硫化氢、硫醇类、酮类、胺类、吲哚类和醛类。</w:t>
      </w:r>
      <w:r>
        <w:rPr>
          <w:color w:val="000000" w:themeColor="text1"/>
        </w:rPr>
        <w:t>本屠宰场主要产生的恶臭气体为NH</w:t>
      </w:r>
      <w:r>
        <w:rPr>
          <w:color w:val="000000" w:themeColor="text1"/>
          <w:vertAlign w:val="subscript"/>
        </w:rPr>
        <w:t>3</w:t>
      </w:r>
      <w:r>
        <w:rPr>
          <w:color w:val="000000" w:themeColor="text1"/>
        </w:rPr>
        <w:t>、H</w:t>
      </w:r>
      <w:r>
        <w:rPr>
          <w:color w:val="000000" w:themeColor="text1"/>
          <w:vertAlign w:val="subscript"/>
        </w:rPr>
        <w:t>2</w:t>
      </w:r>
      <w:r>
        <w:rPr>
          <w:color w:val="000000" w:themeColor="text1"/>
        </w:rPr>
        <w:t>S。</w:t>
      </w:r>
    </w:p>
    <w:p>
      <w:pPr>
        <w:ind w:firstLine="480"/>
        <w:rPr>
          <w:color w:val="000000" w:themeColor="text1"/>
        </w:rPr>
      </w:pPr>
      <w:r>
        <w:rPr>
          <w:rFonts w:hint="eastAsia"/>
          <w:color w:val="000000" w:themeColor="text1"/>
        </w:rPr>
        <w:t>（1）生猪屠宰生产线恶臭</w:t>
      </w:r>
    </w:p>
    <w:p>
      <w:pPr>
        <w:ind w:firstLine="480"/>
        <w:rPr>
          <w:color w:val="000000" w:themeColor="text1"/>
        </w:rPr>
      </w:pPr>
      <w:r>
        <w:rPr>
          <w:rFonts w:hint="eastAsia"/>
          <w:color w:val="000000" w:themeColor="text1"/>
        </w:rPr>
        <w:t>①生猪待宰间恶臭</w:t>
      </w:r>
    </w:p>
    <w:p>
      <w:pPr>
        <w:ind w:firstLine="480"/>
        <w:rPr>
          <w:color w:val="000000" w:themeColor="text1"/>
          <w:kern w:val="0"/>
        </w:rPr>
      </w:pPr>
      <w:r>
        <w:rPr>
          <w:rFonts w:hint="eastAsia" w:ascii="宋体" w:hAnsi="宋体"/>
          <w:color w:val="000000" w:themeColor="text1"/>
        </w:rPr>
        <w:t>本次环评参照</w:t>
      </w:r>
      <w:r>
        <w:rPr>
          <w:rFonts w:hint="eastAsia"/>
          <w:color w:val="000000" w:themeColor="text1"/>
          <w:kern w:val="0"/>
        </w:rPr>
        <w:t>已批项目《中山市肉联厂有限公司扩产</w:t>
      </w:r>
      <w:r>
        <w:rPr>
          <w:color w:val="000000" w:themeColor="text1"/>
          <w:kern w:val="0"/>
        </w:rPr>
        <w:t>60</w:t>
      </w:r>
      <w:r>
        <w:rPr>
          <w:rFonts w:hint="eastAsia"/>
          <w:color w:val="000000" w:themeColor="text1"/>
          <w:kern w:val="0"/>
        </w:rPr>
        <w:t>万头</w:t>
      </w:r>
      <w:r>
        <w:rPr>
          <w:color w:val="000000" w:themeColor="text1"/>
          <w:kern w:val="0"/>
        </w:rPr>
        <w:t>/</w:t>
      </w:r>
      <w:r>
        <w:rPr>
          <w:rFonts w:hint="eastAsia"/>
          <w:color w:val="000000" w:themeColor="text1"/>
          <w:kern w:val="0"/>
        </w:rPr>
        <w:t>年生猪屠宰项目》，中山肉联厂现有项目屠宰生猪</w:t>
      </w:r>
      <w:r>
        <w:rPr>
          <w:color w:val="000000" w:themeColor="text1"/>
          <w:kern w:val="0"/>
        </w:rPr>
        <w:t>36.5</w:t>
      </w:r>
      <w:r>
        <w:rPr>
          <w:rFonts w:hint="eastAsia"/>
          <w:color w:val="000000" w:themeColor="text1"/>
          <w:kern w:val="0"/>
        </w:rPr>
        <w:t>万头，于</w:t>
      </w:r>
      <w:r>
        <w:rPr>
          <w:color w:val="000000" w:themeColor="text1"/>
          <w:kern w:val="0"/>
        </w:rPr>
        <w:t>2016</w:t>
      </w:r>
      <w:r>
        <w:rPr>
          <w:rFonts w:hint="eastAsia"/>
          <w:color w:val="000000" w:themeColor="text1"/>
          <w:kern w:val="0"/>
        </w:rPr>
        <w:t>年</w:t>
      </w:r>
      <w:r>
        <w:rPr>
          <w:color w:val="000000" w:themeColor="text1"/>
          <w:kern w:val="0"/>
        </w:rPr>
        <w:t>4</w:t>
      </w:r>
      <w:r>
        <w:rPr>
          <w:rFonts w:hint="eastAsia"/>
          <w:color w:val="000000" w:themeColor="text1"/>
          <w:kern w:val="0"/>
        </w:rPr>
        <w:t>月委托监测单位进行实际采样分析，采样分析时间为</w:t>
      </w:r>
      <w:r>
        <w:rPr>
          <w:color w:val="000000" w:themeColor="text1"/>
          <w:kern w:val="0"/>
        </w:rPr>
        <w:t>2016</w:t>
      </w:r>
      <w:r>
        <w:rPr>
          <w:rFonts w:hint="eastAsia"/>
          <w:color w:val="000000" w:themeColor="text1"/>
          <w:kern w:val="0"/>
        </w:rPr>
        <w:t>年</w:t>
      </w:r>
      <w:r>
        <w:rPr>
          <w:color w:val="000000" w:themeColor="text1"/>
          <w:kern w:val="0"/>
        </w:rPr>
        <w:t>4</w:t>
      </w:r>
      <w:r>
        <w:rPr>
          <w:rFonts w:hint="eastAsia"/>
          <w:color w:val="000000" w:themeColor="text1"/>
          <w:kern w:val="0"/>
        </w:rPr>
        <w:t>月</w:t>
      </w:r>
      <w:r>
        <w:rPr>
          <w:color w:val="000000" w:themeColor="text1"/>
          <w:kern w:val="0"/>
        </w:rPr>
        <w:t>7</w:t>
      </w:r>
      <w:r>
        <w:rPr>
          <w:rFonts w:hint="eastAsia"/>
          <w:color w:val="000000" w:themeColor="text1"/>
          <w:kern w:val="0"/>
        </w:rPr>
        <w:t>日下午</w:t>
      </w:r>
      <w:r>
        <w:rPr>
          <w:color w:val="000000" w:themeColor="text1"/>
          <w:kern w:val="0"/>
        </w:rPr>
        <w:t>5</w:t>
      </w:r>
      <w:r>
        <w:rPr>
          <w:rFonts w:hint="eastAsia"/>
          <w:color w:val="000000" w:themeColor="text1"/>
          <w:kern w:val="0"/>
        </w:rPr>
        <w:t>点，此时为待宰圈栏最大生猪存放量时，且处于白天，恶臭物质挥发量最大，采样地点为待宰圈栏的中心位置），待宰栏</w:t>
      </w:r>
      <w:r>
        <w:rPr>
          <w:color w:val="000000" w:themeColor="text1"/>
          <w:kern w:val="0"/>
        </w:rPr>
        <w:t>NH</w:t>
      </w:r>
      <w:r>
        <w:rPr>
          <w:color w:val="000000" w:themeColor="text1"/>
          <w:kern w:val="0"/>
          <w:vertAlign w:val="subscript"/>
        </w:rPr>
        <w:t>3</w:t>
      </w:r>
      <w:r>
        <w:rPr>
          <w:rFonts w:hint="eastAsia"/>
          <w:color w:val="000000" w:themeColor="text1"/>
          <w:kern w:val="0"/>
        </w:rPr>
        <w:t>和</w:t>
      </w:r>
      <w:r>
        <w:rPr>
          <w:color w:val="000000" w:themeColor="text1"/>
          <w:kern w:val="0"/>
        </w:rPr>
        <w:t>H</w:t>
      </w:r>
      <w:r>
        <w:rPr>
          <w:color w:val="000000" w:themeColor="text1"/>
          <w:kern w:val="0"/>
          <w:vertAlign w:val="subscript"/>
        </w:rPr>
        <w:t>2</w:t>
      </w:r>
      <w:r>
        <w:rPr>
          <w:color w:val="000000" w:themeColor="text1"/>
          <w:kern w:val="0"/>
        </w:rPr>
        <w:t>S</w:t>
      </w:r>
      <w:r>
        <w:rPr>
          <w:rFonts w:hint="eastAsia"/>
          <w:color w:val="000000" w:themeColor="text1"/>
          <w:kern w:val="0"/>
        </w:rPr>
        <w:t>的源强为</w:t>
      </w:r>
      <w:r>
        <w:rPr>
          <w:color w:val="000000" w:themeColor="text1"/>
          <w:kern w:val="0"/>
        </w:rPr>
        <w:t>0.127t/a</w:t>
      </w:r>
      <w:r>
        <w:rPr>
          <w:rFonts w:hint="eastAsia"/>
          <w:color w:val="000000" w:themeColor="text1"/>
          <w:kern w:val="0"/>
        </w:rPr>
        <w:t>、</w:t>
      </w:r>
      <w:r>
        <w:rPr>
          <w:color w:val="000000" w:themeColor="text1"/>
          <w:kern w:val="0"/>
        </w:rPr>
        <w:t>0.007t/a，由此类比推算出本项目生猪待宰间恶臭污染物源强，详见表</w:t>
      </w:r>
      <w:r>
        <w:rPr>
          <w:rFonts w:hint="eastAsia"/>
          <w:color w:val="000000" w:themeColor="text1"/>
          <w:kern w:val="0"/>
        </w:rPr>
        <w:t>2.7.2-1。</w:t>
      </w:r>
    </w:p>
    <w:p>
      <w:pPr>
        <w:pStyle w:val="54"/>
        <w:rPr>
          <w:color w:val="000000" w:themeColor="text1"/>
          <w:kern w:val="0"/>
        </w:rPr>
      </w:pPr>
      <w:r>
        <w:rPr>
          <w:rFonts w:hint="eastAsia"/>
          <w:color w:val="000000" w:themeColor="text1"/>
          <w:kern w:val="0"/>
        </w:rPr>
        <w:t>表2.7.2-1 生猪待宰间恶臭污染物产生情况一览表（类比法）</w:t>
      </w:r>
    </w:p>
    <w:tbl>
      <w:tblPr>
        <w:tblStyle w:val="42"/>
        <w:tblW w:w="8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2"/>
        <w:gridCol w:w="2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840" w:type="dxa"/>
            <w:tcBorders>
              <w:top w:val="single" w:color="auto" w:sz="4" w:space="0"/>
              <w:left w:val="single" w:color="auto" w:sz="4" w:space="0"/>
              <w:bottom w:val="single" w:color="auto" w:sz="4" w:space="0"/>
              <w:right w:val="single" w:color="auto" w:sz="4" w:space="0"/>
            </w:tcBorders>
          </w:tcPr>
          <w:p>
            <w:pPr>
              <w:pStyle w:val="55"/>
              <w:rPr>
                <w:b/>
                <w:color w:val="000000" w:themeColor="text1"/>
                <w:kern w:val="0"/>
              </w:rPr>
            </w:pPr>
            <w:r>
              <w:rPr>
                <w:rFonts w:hint="eastAsia"/>
                <w:b/>
                <w:color w:val="000000" w:themeColor="text1"/>
                <w:kern w:val="0"/>
              </w:rPr>
              <w:t>污染因子</w:t>
            </w:r>
          </w:p>
        </w:tc>
        <w:tc>
          <w:tcPr>
            <w:tcW w:w="2842" w:type="dxa"/>
            <w:tcBorders>
              <w:top w:val="single" w:color="auto" w:sz="4" w:space="0"/>
              <w:left w:val="single" w:color="auto" w:sz="4" w:space="0"/>
              <w:bottom w:val="single" w:color="auto" w:sz="4" w:space="0"/>
              <w:right w:val="single" w:color="auto" w:sz="4" w:space="0"/>
            </w:tcBorders>
          </w:tcPr>
          <w:p>
            <w:pPr>
              <w:pStyle w:val="55"/>
              <w:rPr>
                <w:b/>
                <w:color w:val="000000" w:themeColor="text1"/>
                <w:kern w:val="0"/>
              </w:rPr>
            </w:pPr>
            <w:r>
              <w:rPr>
                <w:rFonts w:hint="eastAsia"/>
                <w:b/>
                <w:color w:val="000000" w:themeColor="text1"/>
                <w:kern w:val="0"/>
              </w:rPr>
              <w:t>中山肉联厂</w:t>
            </w:r>
          </w:p>
        </w:tc>
        <w:tc>
          <w:tcPr>
            <w:tcW w:w="2844" w:type="dxa"/>
            <w:tcBorders>
              <w:top w:val="single" w:color="auto" w:sz="4" w:space="0"/>
              <w:left w:val="single" w:color="auto" w:sz="4" w:space="0"/>
              <w:bottom w:val="single" w:color="auto" w:sz="4" w:space="0"/>
              <w:right w:val="single" w:color="auto" w:sz="4" w:space="0"/>
            </w:tcBorders>
          </w:tcPr>
          <w:p>
            <w:pPr>
              <w:pStyle w:val="55"/>
              <w:rPr>
                <w:b/>
                <w:color w:val="000000" w:themeColor="text1"/>
                <w:kern w:val="0"/>
              </w:rPr>
            </w:pPr>
            <w:r>
              <w:rPr>
                <w:rFonts w:hint="eastAsia"/>
                <w:b/>
                <w:color w:val="000000" w:themeColor="text1"/>
                <w:kern w:val="0"/>
              </w:rPr>
              <w:t>本项目推算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840" w:type="dxa"/>
            <w:tcBorders>
              <w:top w:val="single" w:color="auto" w:sz="4" w:space="0"/>
              <w:left w:val="single" w:color="auto" w:sz="4" w:space="0"/>
              <w:bottom w:val="single" w:color="auto" w:sz="4" w:space="0"/>
              <w:right w:val="single" w:color="auto" w:sz="4" w:space="0"/>
            </w:tcBorders>
          </w:tcPr>
          <w:p>
            <w:pPr>
              <w:pStyle w:val="55"/>
              <w:rPr>
                <w:color w:val="000000" w:themeColor="text1"/>
                <w:kern w:val="0"/>
              </w:rPr>
            </w:pPr>
            <w:r>
              <w:rPr>
                <w:rFonts w:hint="eastAsia"/>
                <w:color w:val="000000" w:themeColor="text1"/>
                <w:kern w:val="0"/>
              </w:rPr>
              <w:t>屠宰规模</w:t>
            </w:r>
          </w:p>
        </w:tc>
        <w:tc>
          <w:tcPr>
            <w:tcW w:w="2842" w:type="dxa"/>
            <w:tcBorders>
              <w:top w:val="single" w:color="auto" w:sz="4" w:space="0"/>
              <w:left w:val="single" w:color="auto" w:sz="4" w:space="0"/>
              <w:bottom w:val="single" w:color="auto" w:sz="4" w:space="0"/>
              <w:right w:val="single" w:color="auto" w:sz="4" w:space="0"/>
            </w:tcBorders>
          </w:tcPr>
          <w:p>
            <w:pPr>
              <w:pStyle w:val="55"/>
              <w:rPr>
                <w:color w:val="000000" w:themeColor="text1"/>
                <w:kern w:val="0"/>
              </w:rPr>
            </w:pPr>
            <w:r>
              <w:rPr>
                <w:color w:val="000000" w:themeColor="text1"/>
                <w:kern w:val="0"/>
              </w:rPr>
              <w:t>36.5</w:t>
            </w:r>
            <w:r>
              <w:rPr>
                <w:rFonts w:hint="eastAsia"/>
                <w:color w:val="000000" w:themeColor="text1"/>
                <w:kern w:val="0"/>
              </w:rPr>
              <w:t>万头</w:t>
            </w:r>
            <w:r>
              <w:rPr>
                <w:color w:val="000000" w:themeColor="text1"/>
                <w:kern w:val="0"/>
              </w:rPr>
              <w:t>/</w:t>
            </w:r>
            <w:r>
              <w:rPr>
                <w:rFonts w:hint="eastAsia"/>
                <w:color w:val="000000" w:themeColor="text1"/>
                <w:kern w:val="0"/>
              </w:rPr>
              <w:t>年</w:t>
            </w:r>
          </w:p>
        </w:tc>
        <w:tc>
          <w:tcPr>
            <w:tcW w:w="2844" w:type="dxa"/>
            <w:tcBorders>
              <w:top w:val="single" w:color="auto" w:sz="4" w:space="0"/>
              <w:left w:val="single" w:color="auto" w:sz="4" w:space="0"/>
              <w:bottom w:val="single" w:color="auto" w:sz="4" w:space="0"/>
              <w:right w:val="single" w:color="auto" w:sz="4" w:space="0"/>
            </w:tcBorders>
          </w:tcPr>
          <w:p>
            <w:pPr>
              <w:pStyle w:val="55"/>
              <w:rPr>
                <w:color w:val="000000" w:themeColor="text1"/>
                <w:kern w:val="0"/>
              </w:rPr>
            </w:pPr>
            <w:r>
              <w:rPr>
                <w:rFonts w:hint="eastAsia"/>
                <w:color w:val="000000" w:themeColor="text1"/>
                <w:kern w:val="0"/>
              </w:rPr>
              <w:t>15万头</w:t>
            </w:r>
            <w:r>
              <w:rPr>
                <w:color w:val="000000" w:themeColor="text1"/>
                <w:kern w:val="0"/>
              </w:rPr>
              <w:t>/</w:t>
            </w:r>
            <w:r>
              <w:rPr>
                <w:rFonts w:hint="eastAsia"/>
                <w:color w:val="000000" w:themeColor="text1"/>
                <w:kern w:val="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2840" w:type="dxa"/>
            <w:tcBorders>
              <w:top w:val="single" w:color="auto" w:sz="4" w:space="0"/>
              <w:left w:val="single" w:color="auto" w:sz="4" w:space="0"/>
              <w:bottom w:val="single" w:color="auto" w:sz="4" w:space="0"/>
              <w:right w:val="single" w:color="auto" w:sz="4" w:space="0"/>
            </w:tcBorders>
          </w:tcPr>
          <w:p>
            <w:pPr>
              <w:pStyle w:val="55"/>
              <w:rPr>
                <w:color w:val="000000" w:themeColor="text1"/>
                <w:kern w:val="0"/>
              </w:rPr>
            </w:pPr>
            <w:r>
              <w:rPr>
                <w:color w:val="000000" w:themeColor="text1"/>
                <w:kern w:val="0"/>
              </w:rPr>
              <w:t>NH</w:t>
            </w:r>
            <w:r>
              <w:rPr>
                <w:color w:val="000000" w:themeColor="text1"/>
                <w:kern w:val="0"/>
                <w:vertAlign w:val="subscript"/>
              </w:rPr>
              <w:t>3</w:t>
            </w:r>
          </w:p>
        </w:tc>
        <w:tc>
          <w:tcPr>
            <w:tcW w:w="2842" w:type="dxa"/>
            <w:tcBorders>
              <w:top w:val="single" w:color="auto" w:sz="4" w:space="0"/>
              <w:left w:val="single" w:color="auto" w:sz="4" w:space="0"/>
              <w:bottom w:val="single" w:color="auto" w:sz="4" w:space="0"/>
              <w:right w:val="single" w:color="auto" w:sz="4" w:space="0"/>
            </w:tcBorders>
          </w:tcPr>
          <w:p>
            <w:pPr>
              <w:pStyle w:val="55"/>
              <w:rPr>
                <w:color w:val="000000" w:themeColor="text1"/>
                <w:kern w:val="0"/>
              </w:rPr>
            </w:pPr>
            <w:r>
              <w:rPr>
                <w:color w:val="000000" w:themeColor="text1"/>
                <w:kern w:val="0"/>
              </w:rPr>
              <w:t>0.127t/a</w:t>
            </w:r>
          </w:p>
        </w:tc>
        <w:tc>
          <w:tcPr>
            <w:tcW w:w="2844" w:type="dxa"/>
            <w:tcBorders>
              <w:top w:val="single" w:color="auto" w:sz="4" w:space="0"/>
              <w:left w:val="single" w:color="auto" w:sz="4" w:space="0"/>
              <w:bottom w:val="single" w:color="auto" w:sz="4" w:space="0"/>
              <w:right w:val="single" w:color="auto" w:sz="4" w:space="0"/>
            </w:tcBorders>
          </w:tcPr>
          <w:p>
            <w:pPr>
              <w:pStyle w:val="55"/>
              <w:rPr>
                <w:color w:val="000000" w:themeColor="text1"/>
                <w:kern w:val="0"/>
              </w:rPr>
            </w:pPr>
            <w:r>
              <w:rPr>
                <w:rFonts w:hint="eastAsia"/>
                <w:color w:val="000000" w:themeColor="text1"/>
                <w:kern w:val="0"/>
              </w:rPr>
              <w:t>0.052t</w:t>
            </w:r>
            <w:r>
              <w:rPr>
                <w:color w:val="000000" w:themeColor="text1"/>
                <w:kern w:val="0"/>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2840" w:type="dxa"/>
            <w:tcBorders>
              <w:top w:val="single" w:color="auto" w:sz="4" w:space="0"/>
              <w:left w:val="single" w:color="auto" w:sz="4" w:space="0"/>
              <w:bottom w:val="single" w:color="auto" w:sz="4" w:space="0"/>
              <w:right w:val="single" w:color="auto" w:sz="4" w:space="0"/>
            </w:tcBorders>
          </w:tcPr>
          <w:p>
            <w:pPr>
              <w:pStyle w:val="55"/>
              <w:rPr>
                <w:color w:val="000000" w:themeColor="text1"/>
                <w:kern w:val="0"/>
              </w:rPr>
            </w:pPr>
            <w:r>
              <w:rPr>
                <w:color w:val="000000" w:themeColor="text1"/>
                <w:kern w:val="0"/>
              </w:rPr>
              <w:t>H</w:t>
            </w:r>
            <w:r>
              <w:rPr>
                <w:color w:val="000000" w:themeColor="text1"/>
                <w:kern w:val="0"/>
                <w:vertAlign w:val="subscript"/>
              </w:rPr>
              <w:t>2</w:t>
            </w:r>
            <w:r>
              <w:rPr>
                <w:color w:val="000000" w:themeColor="text1"/>
                <w:kern w:val="0"/>
              </w:rPr>
              <w:t>S</w:t>
            </w:r>
          </w:p>
        </w:tc>
        <w:tc>
          <w:tcPr>
            <w:tcW w:w="2842" w:type="dxa"/>
            <w:tcBorders>
              <w:top w:val="single" w:color="auto" w:sz="4" w:space="0"/>
              <w:left w:val="single" w:color="auto" w:sz="4" w:space="0"/>
              <w:bottom w:val="single" w:color="auto" w:sz="4" w:space="0"/>
              <w:right w:val="single" w:color="auto" w:sz="4" w:space="0"/>
            </w:tcBorders>
          </w:tcPr>
          <w:p>
            <w:pPr>
              <w:pStyle w:val="55"/>
              <w:rPr>
                <w:color w:val="000000" w:themeColor="text1"/>
                <w:kern w:val="0"/>
              </w:rPr>
            </w:pPr>
            <w:r>
              <w:rPr>
                <w:color w:val="000000" w:themeColor="text1"/>
                <w:kern w:val="0"/>
              </w:rPr>
              <w:t>0.007t/a</w:t>
            </w:r>
          </w:p>
        </w:tc>
        <w:tc>
          <w:tcPr>
            <w:tcW w:w="2844" w:type="dxa"/>
            <w:tcBorders>
              <w:top w:val="single" w:color="auto" w:sz="4" w:space="0"/>
              <w:left w:val="single" w:color="auto" w:sz="4" w:space="0"/>
              <w:bottom w:val="single" w:color="auto" w:sz="4" w:space="0"/>
              <w:right w:val="single" w:color="auto" w:sz="4" w:space="0"/>
            </w:tcBorders>
          </w:tcPr>
          <w:p>
            <w:pPr>
              <w:pStyle w:val="55"/>
              <w:rPr>
                <w:color w:val="000000" w:themeColor="text1"/>
                <w:kern w:val="0"/>
              </w:rPr>
            </w:pPr>
            <w:r>
              <w:rPr>
                <w:rFonts w:hint="eastAsia"/>
                <w:color w:val="000000" w:themeColor="text1"/>
                <w:kern w:val="0"/>
              </w:rPr>
              <w:t>0.00288t</w:t>
            </w:r>
            <w:r>
              <w:rPr>
                <w:color w:val="000000" w:themeColor="text1"/>
                <w:kern w:val="0"/>
              </w:rPr>
              <w:t>/a</w:t>
            </w:r>
          </w:p>
        </w:tc>
      </w:tr>
    </w:tbl>
    <w:p>
      <w:pPr>
        <w:ind w:firstLine="480"/>
        <w:rPr>
          <w:color w:val="000000" w:themeColor="text1"/>
        </w:rPr>
      </w:pPr>
      <w:r>
        <w:rPr>
          <w:rFonts w:hint="eastAsia"/>
          <w:color w:val="000000" w:themeColor="text1"/>
        </w:rPr>
        <w:t>②生猪屠宰车间恶臭</w:t>
      </w:r>
    </w:p>
    <w:p>
      <w:pPr>
        <w:adjustRightInd w:val="0"/>
        <w:snapToGrid w:val="0"/>
        <w:ind w:firstLine="480"/>
        <w:rPr>
          <w:color w:val="000000" w:themeColor="text1"/>
          <w:kern w:val="0"/>
          <w:szCs w:val="24"/>
        </w:rPr>
      </w:pPr>
      <w:r>
        <w:rPr>
          <w:rFonts w:hint="eastAsia"/>
          <w:color w:val="000000" w:themeColor="text1"/>
          <w:kern w:val="0"/>
          <w:szCs w:val="24"/>
        </w:rPr>
        <w:t>本项目类比已批项目《中山市肉联厂有限公司扩产</w:t>
      </w:r>
      <w:r>
        <w:rPr>
          <w:color w:val="000000" w:themeColor="text1"/>
          <w:kern w:val="0"/>
          <w:szCs w:val="24"/>
        </w:rPr>
        <w:t>60</w:t>
      </w:r>
      <w:r>
        <w:rPr>
          <w:rFonts w:hint="eastAsia"/>
          <w:color w:val="000000" w:themeColor="text1"/>
          <w:kern w:val="0"/>
          <w:szCs w:val="24"/>
        </w:rPr>
        <w:t>万头</w:t>
      </w:r>
      <w:r>
        <w:rPr>
          <w:color w:val="000000" w:themeColor="text1"/>
          <w:kern w:val="0"/>
          <w:szCs w:val="24"/>
        </w:rPr>
        <w:t>/</w:t>
      </w:r>
      <w:r>
        <w:rPr>
          <w:rFonts w:hint="eastAsia"/>
          <w:color w:val="000000" w:themeColor="text1"/>
          <w:kern w:val="0"/>
          <w:szCs w:val="24"/>
        </w:rPr>
        <w:t>年生猪屠宰项目》，屠宰车间氨和硫化氢产生量分别为</w:t>
      </w:r>
      <w:r>
        <w:rPr>
          <w:color w:val="000000" w:themeColor="text1"/>
          <w:kern w:val="0"/>
          <w:szCs w:val="24"/>
        </w:rPr>
        <w:t>0.042t/a</w:t>
      </w:r>
      <w:r>
        <w:rPr>
          <w:rFonts w:hint="eastAsia"/>
          <w:color w:val="000000" w:themeColor="text1"/>
          <w:kern w:val="0"/>
          <w:szCs w:val="24"/>
        </w:rPr>
        <w:t>、</w:t>
      </w:r>
      <w:r>
        <w:rPr>
          <w:color w:val="000000" w:themeColor="text1"/>
          <w:kern w:val="0"/>
          <w:szCs w:val="24"/>
        </w:rPr>
        <w:t>0.002t/a</w:t>
      </w:r>
      <w:r>
        <w:rPr>
          <w:rFonts w:hint="eastAsia"/>
          <w:color w:val="000000" w:themeColor="text1"/>
          <w:kern w:val="0"/>
          <w:szCs w:val="24"/>
        </w:rPr>
        <w:t>，则本项目生猪屠宰车间氨和硫化氢的产生情况</w:t>
      </w:r>
      <w:r>
        <w:rPr>
          <w:color w:val="000000" w:themeColor="text1"/>
          <w:kern w:val="0"/>
        </w:rPr>
        <w:t>详见表</w:t>
      </w:r>
      <w:r>
        <w:rPr>
          <w:rFonts w:hint="eastAsia"/>
          <w:color w:val="000000" w:themeColor="text1"/>
          <w:kern w:val="0"/>
        </w:rPr>
        <w:t>2.7.2-2</w:t>
      </w:r>
      <w:r>
        <w:rPr>
          <w:rFonts w:hint="eastAsia"/>
          <w:color w:val="000000" w:themeColor="text1"/>
          <w:kern w:val="0"/>
          <w:szCs w:val="24"/>
        </w:rPr>
        <w:t>。</w:t>
      </w:r>
    </w:p>
    <w:p>
      <w:pPr>
        <w:pStyle w:val="54"/>
        <w:rPr>
          <w:color w:val="000000" w:themeColor="text1"/>
          <w:kern w:val="0"/>
        </w:rPr>
      </w:pPr>
      <w:r>
        <w:rPr>
          <w:rFonts w:hint="eastAsia"/>
          <w:color w:val="000000" w:themeColor="text1"/>
          <w:kern w:val="0"/>
        </w:rPr>
        <w:t>表2.7.2-2</w:t>
      </w:r>
      <w:r>
        <w:rPr>
          <w:color w:val="000000" w:themeColor="text1"/>
          <w:kern w:val="0"/>
        </w:rPr>
        <w:t xml:space="preserve"> 生猪</w:t>
      </w:r>
      <w:r>
        <w:rPr>
          <w:rFonts w:hint="eastAsia"/>
          <w:color w:val="000000" w:themeColor="text1"/>
          <w:kern w:val="0"/>
        </w:rPr>
        <w:t>屠宰车间恶臭污染物产生情况一览表（类比法）</w:t>
      </w:r>
    </w:p>
    <w:tbl>
      <w:tblPr>
        <w:tblStyle w:val="42"/>
        <w:tblW w:w="8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2"/>
        <w:gridCol w:w="2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840" w:type="dxa"/>
            <w:tcBorders>
              <w:top w:val="single" w:color="auto" w:sz="4" w:space="0"/>
              <w:left w:val="single" w:color="auto" w:sz="4" w:space="0"/>
              <w:bottom w:val="single" w:color="auto" w:sz="4" w:space="0"/>
              <w:right w:val="single" w:color="auto" w:sz="4" w:space="0"/>
            </w:tcBorders>
            <w:vAlign w:val="center"/>
          </w:tcPr>
          <w:p>
            <w:pPr>
              <w:pStyle w:val="55"/>
              <w:rPr>
                <w:b/>
                <w:color w:val="000000" w:themeColor="text1"/>
                <w:kern w:val="0"/>
              </w:rPr>
            </w:pPr>
            <w:r>
              <w:rPr>
                <w:rFonts w:hint="eastAsia"/>
                <w:b/>
                <w:color w:val="000000" w:themeColor="text1"/>
                <w:kern w:val="0"/>
              </w:rPr>
              <w:t>污染因子</w:t>
            </w:r>
          </w:p>
        </w:tc>
        <w:tc>
          <w:tcPr>
            <w:tcW w:w="2842" w:type="dxa"/>
            <w:tcBorders>
              <w:top w:val="single" w:color="auto" w:sz="4" w:space="0"/>
              <w:left w:val="single" w:color="auto" w:sz="4" w:space="0"/>
              <w:bottom w:val="single" w:color="auto" w:sz="4" w:space="0"/>
              <w:right w:val="single" w:color="auto" w:sz="4" w:space="0"/>
            </w:tcBorders>
            <w:vAlign w:val="center"/>
          </w:tcPr>
          <w:p>
            <w:pPr>
              <w:pStyle w:val="55"/>
              <w:rPr>
                <w:b/>
                <w:color w:val="000000" w:themeColor="text1"/>
                <w:kern w:val="0"/>
              </w:rPr>
            </w:pPr>
            <w:r>
              <w:rPr>
                <w:rFonts w:hint="eastAsia"/>
                <w:b/>
                <w:color w:val="000000" w:themeColor="text1"/>
                <w:kern w:val="0"/>
              </w:rPr>
              <w:t>中山肉联厂</w:t>
            </w:r>
          </w:p>
        </w:tc>
        <w:tc>
          <w:tcPr>
            <w:tcW w:w="2844" w:type="dxa"/>
            <w:tcBorders>
              <w:top w:val="single" w:color="auto" w:sz="4" w:space="0"/>
              <w:left w:val="single" w:color="auto" w:sz="4" w:space="0"/>
              <w:bottom w:val="single" w:color="auto" w:sz="4" w:space="0"/>
              <w:right w:val="single" w:color="auto" w:sz="4" w:space="0"/>
            </w:tcBorders>
            <w:vAlign w:val="center"/>
          </w:tcPr>
          <w:p>
            <w:pPr>
              <w:pStyle w:val="55"/>
              <w:rPr>
                <w:b/>
                <w:color w:val="000000" w:themeColor="text1"/>
                <w:kern w:val="0"/>
              </w:rPr>
            </w:pPr>
            <w:r>
              <w:rPr>
                <w:rFonts w:hint="eastAsia"/>
                <w:b/>
                <w:color w:val="000000" w:themeColor="text1"/>
                <w:kern w:val="0"/>
              </w:rPr>
              <w:t>本项目推算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84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屠宰规模</w:t>
            </w:r>
          </w:p>
        </w:tc>
        <w:tc>
          <w:tcPr>
            <w:tcW w:w="284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36.5</w:t>
            </w:r>
            <w:r>
              <w:rPr>
                <w:rFonts w:hint="eastAsia"/>
                <w:color w:val="000000" w:themeColor="text1"/>
                <w:kern w:val="0"/>
              </w:rPr>
              <w:t>万头</w:t>
            </w:r>
            <w:r>
              <w:rPr>
                <w:color w:val="000000" w:themeColor="text1"/>
                <w:kern w:val="0"/>
              </w:rPr>
              <w:t>/</w:t>
            </w:r>
            <w:r>
              <w:rPr>
                <w:rFonts w:hint="eastAsia"/>
                <w:color w:val="000000" w:themeColor="text1"/>
                <w:kern w:val="0"/>
              </w:rPr>
              <w:t>年</w:t>
            </w:r>
          </w:p>
        </w:tc>
        <w:tc>
          <w:tcPr>
            <w:tcW w:w="284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15万头</w:t>
            </w:r>
            <w:r>
              <w:rPr>
                <w:color w:val="000000" w:themeColor="text1"/>
                <w:kern w:val="0"/>
              </w:rPr>
              <w:t>/</w:t>
            </w:r>
            <w:r>
              <w:rPr>
                <w:rFonts w:hint="eastAsia"/>
                <w:color w:val="000000" w:themeColor="text1"/>
                <w:kern w:val="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284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NH</w:t>
            </w:r>
            <w:r>
              <w:rPr>
                <w:color w:val="000000" w:themeColor="text1"/>
                <w:kern w:val="0"/>
                <w:vertAlign w:val="subscript"/>
              </w:rPr>
              <w:t>3</w:t>
            </w:r>
          </w:p>
        </w:tc>
        <w:tc>
          <w:tcPr>
            <w:tcW w:w="284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0.042t/a</w:t>
            </w:r>
          </w:p>
        </w:tc>
        <w:tc>
          <w:tcPr>
            <w:tcW w:w="284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0.0173t</w:t>
            </w:r>
            <w:r>
              <w:rPr>
                <w:color w:val="000000" w:themeColor="text1"/>
                <w:kern w:val="0"/>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284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H</w:t>
            </w:r>
            <w:r>
              <w:rPr>
                <w:color w:val="000000" w:themeColor="text1"/>
                <w:kern w:val="0"/>
                <w:vertAlign w:val="subscript"/>
              </w:rPr>
              <w:t>2</w:t>
            </w:r>
            <w:r>
              <w:rPr>
                <w:color w:val="000000" w:themeColor="text1"/>
                <w:kern w:val="0"/>
              </w:rPr>
              <w:t>S</w:t>
            </w:r>
          </w:p>
        </w:tc>
        <w:tc>
          <w:tcPr>
            <w:tcW w:w="284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0.002t/a</w:t>
            </w:r>
          </w:p>
        </w:tc>
        <w:tc>
          <w:tcPr>
            <w:tcW w:w="284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0.0008t</w:t>
            </w:r>
            <w:r>
              <w:rPr>
                <w:color w:val="000000" w:themeColor="text1"/>
                <w:kern w:val="0"/>
              </w:rPr>
              <w:t>/a</w:t>
            </w:r>
          </w:p>
        </w:tc>
      </w:tr>
    </w:tbl>
    <w:p>
      <w:pPr>
        <w:ind w:firstLine="480"/>
        <w:rPr>
          <w:color w:val="000000" w:themeColor="text1"/>
        </w:rPr>
      </w:pPr>
      <w:r>
        <w:rPr>
          <w:rFonts w:hint="eastAsia"/>
          <w:color w:val="000000" w:themeColor="text1"/>
        </w:rPr>
        <w:t>（2）宰鸡场恶臭</w:t>
      </w:r>
    </w:p>
    <w:p>
      <w:pPr>
        <w:adjustRightInd w:val="0"/>
        <w:snapToGrid w:val="0"/>
        <w:ind w:firstLine="480"/>
        <w:rPr>
          <w:color w:val="000000" w:themeColor="text1"/>
        </w:rPr>
      </w:pPr>
      <w:r>
        <w:rPr>
          <w:rFonts w:hint="eastAsia"/>
          <w:color w:val="000000" w:themeColor="text1"/>
        </w:rPr>
        <w:t>本次环评采取臭气强度评价法（是通过人的嗅觉测试，用规定的等级表示臭气强弱方法）并应用相关文献的经验数值进行估算，臭气强度评价法将臭气强度分为5级，见表2.7.2-3。本次环评引用大连理工大学李易发表的环境工程硕士论文《养殖屠宰项目环境影响评价技术方法研究》中总结的经验计算数值，根据臭气强度可估算处对应的污染物浓度值，见表2.7.2-4。</w:t>
      </w:r>
    </w:p>
    <w:p>
      <w:pPr>
        <w:pStyle w:val="54"/>
        <w:rPr>
          <w:color w:val="000000" w:themeColor="text1"/>
        </w:rPr>
      </w:pPr>
      <w:r>
        <w:rPr>
          <w:rFonts w:hint="eastAsia"/>
          <w:color w:val="000000" w:themeColor="text1"/>
        </w:rPr>
        <w:t>表2.7.2-3  臭气强度分级表</w:t>
      </w:r>
    </w:p>
    <w:tbl>
      <w:tblPr>
        <w:tblStyle w:val="43"/>
        <w:tblW w:w="6379" w:type="dxa"/>
        <w:tblInd w:w="1242"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843"/>
        <w:gridCol w:w="453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55"/>
              <w:rPr>
                <w:color w:val="000000" w:themeColor="text1"/>
              </w:rPr>
            </w:pPr>
            <w:r>
              <w:rPr>
                <w:rFonts w:hint="eastAsia"/>
                <w:color w:val="000000" w:themeColor="text1"/>
              </w:rPr>
              <w:t>臭气浓度（级）</w:t>
            </w:r>
          </w:p>
        </w:tc>
        <w:tc>
          <w:tcPr>
            <w:tcW w:w="4536" w:type="dxa"/>
          </w:tcPr>
          <w:p>
            <w:pPr>
              <w:pStyle w:val="55"/>
              <w:rPr>
                <w:color w:val="000000" w:themeColor="text1"/>
              </w:rPr>
            </w:pPr>
            <w:r>
              <w:rPr>
                <w:rFonts w:hint="eastAsia"/>
                <w:color w:val="000000" w:themeColor="text1"/>
              </w:rPr>
              <w:t>内容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55"/>
              <w:rPr>
                <w:color w:val="000000" w:themeColor="text1"/>
              </w:rPr>
            </w:pPr>
            <w:r>
              <w:rPr>
                <w:rFonts w:hint="eastAsia"/>
                <w:color w:val="000000" w:themeColor="text1"/>
              </w:rPr>
              <w:t>0</w:t>
            </w:r>
          </w:p>
        </w:tc>
        <w:tc>
          <w:tcPr>
            <w:tcW w:w="4536" w:type="dxa"/>
          </w:tcPr>
          <w:p>
            <w:pPr>
              <w:pStyle w:val="55"/>
              <w:rPr>
                <w:color w:val="000000" w:themeColor="text1"/>
              </w:rPr>
            </w:pPr>
            <w:r>
              <w:rPr>
                <w:rFonts w:hint="eastAsia"/>
                <w:color w:val="000000" w:themeColor="text1"/>
              </w:rPr>
              <w:t>无臭</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55"/>
              <w:rPr>
                <w:color w:val="000000" w:themeColor="text1"/>
              </w:rPr>
            </w:pPr>
            <w:r>
              <w:rPr>
                <w:rFonts w:hint="eastAsia"/>
                <w:color w:val="000000" w:themeColor="text1"/>
              </w:rPr>
              <w:t>1</w:t>
            </w:r>
          </w:p>
        </w:tc>
        <w:tc>
          <w:tcPr>
            <w:tcW w:w="4536" w:type="dxa"/>
          </w:tcPr>
          <w:p>
            <w:pPr>
              <w:pStyle w:val="55"/>
              <w:rPr>
                <w:color w:val="000000" w:themeColor="text1"/>
              </w:rPr>
            </w:pPr>
            <w:r>
              <w:rPr>
                <w:rFonts w:hint="eastAsia"/>
                <w:color w:val="000000" w:themeColor="text1"/>
              </w:rPr>
              <w:t>勉强感觉臭味存在（嗅觉阈值）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55"/>
              <w:rPr>
                <w:color w:val="000000" w:themeColor="text1"/>
              </w:rPr>
            </w:pPr>
            <w:r>
              <w:rPr>
                <w:rFonts w:hint="eastAsia"/>
                <w:color w:val="000000" w:themeColor="text1"/>
              </w:rPr>
              <w:t>2</w:t>
            </w:r>
          </w:p>
        </w:tc>
        <w:tc>
          <w:tcPr>
            <w:tcW w:w="4536" w:type="dxa"/>
          </w:tcPr>
          <w:p>
            <w:pPr>
              <w:pStyle w:val="55"/>
              <w:rPr>
                <w:color w:val="000000" w:themeColor="text1"/>
              </w:rPr>
            </w:pPr>
            <w:r>
              <w:rPr>
                <w:rFonts w:hint="eastAsia"/>
                <w:color w:val="000000" w:themeColor="text1"/>
              </w:rPr>
              <w:t>确认臭味存在（认知阈值）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55"/>
              <w:rPr>
                <w:color w:val="000000" w:themeColor="text1"/>
              </w:rPr>
            </w:pPr>
            <w:r>
              <w:rPr>
                <w:rFonts w:hint="eastAsia"/>
                <w:color w:val="000000" w:themeColor="text1"/>
              </w:rPr>
              <w:t>3</w:t>
            </w:r>
          </w:p>
        </w:tc>
        <w:tc>
          <w:tcPr>
            <w:tcW w:w="4536" w:type="dxa"/>
          </w:tcPr>
          <w:p>
            <w:pPr>
              <w:pStyle w:val="55"/>
              <w:rPr>
                <w:color w:val="000000" w:themeColor="text1"/>
              </w:rPr>
            </w:pPr>
            <w:r>
              <w:rPr>
                <w:rFonts w:hint="eastAsia"/>
                <w:color w:val="000000" w:themeColor="text1"/>
              </w:rPr>
              <w:t>极易感觉臭味存在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55"/>
              <w:rPr>
                <w:color w:val="000000" w:themeColor="text1"/>
              </w:rPr>
            </w:pPr>
            <w:r>
              <w:rPr>
                <w:rFonts w:hint="eastAsia"/>
                <w:color w:val="000000" w:themeColor="text1"/>
              </w:rPr>
              <w:t>4</w:t>
            </w:r>
          </w:p>
        </w:tc>
        <w:tc>
          <w:tcPr>
            <w:tcW w:w="4536" w:type="dxa"/>
          </w:tcPr>
          <w:p>
            <w:pPr>
              <w:pStyle w:val="55"/>
              <w:rPr>
                <w:color w:val="000000" w:themeColor="text1"/>
              </w:rPr>
            </w:pPr>
            <w:r>
              <w:rPr>
                <w:rFonts w:hint="eastAsia"/>
                <w:color w:val="000000" w:themeColor="text1"/>
              </w:rPr>
              <w:t>恶臭明显存在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55"/>
              <w:rPr>
                <w:color w:val="000000" w:themeColor="text1"/>
              </w:rPr>
            </w:pPr>
            <w:r>
              <w:rPr>
                <w:rFonts w:hint="eastAsia"/>
                <w:color w:val="000000" w:themeColor="text1"/>
              </w:rPr>
              <w:t>5</w:t>
            </w:r>
          </w:p>
        </w:tc>
        <w:tc>
          <w:tcPr>
            <w:tcW w:w="4536" w:type="dxa"/>
          </w:tcPr>
          <w:p>
            <w:pPr>
              <w:pStyle w:val="55"/>
              <w:rPr>
                <w:color w:val="000000" w:themeColor="text1"/>
              </w:rPr>
            </w:pPr>
            <w:r>
              <w:rPr>
                <w:rFonts w:hint="eastAsia"/>
                <w:color w:val="000000" w:themeColor="text1"/>
              </w:rPr>
              <w:t>恶臭强烈存在</w:t>
            </w:r>
          </w:p>
        </w:tc>
      </w:tr>
    </w:tbl>
    <w:p>
      <w:pPr>
        <w:pStyle w:val="54"/>
        <w:rPr>
          <w:color w:val="000000" w:themeColor="text1"/>
        </w:rPr>
      </w:pPr>
      <w:r>
        <w:rPr>
          <w:rFonts w:hint="eastAsia"/>
          <w:color w:val="000000" w:themeColor="text1"/>
        </w:rPr>
        <w:t>表2.7.2-4  恶臭物质浓度与臭气强度的关系</w:t>
      </w:r>
    </w:p>
    <w:tbl>
      <w:tblPr>
        <w:tblStyle w:val="43"/>
        <w:tblW w:w="6379" w:type="dxa"/>
        <w:tblInd w:w="817"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025"/>
        <w:gridCol w:w="2228"/>
        <w:gridCol w:w="21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25" w:type="dxa"/>
          </w:tcPr>
          <w:p>
            <w:pPr>
              <w:pStyle w:val="55"/>
              <w:rPr>
                <w:color w:val="000000" w:themeColor="text1"/>
              </w:rPr>
            </w:pPr>
            <w:r>
              <w:rPr>
                <w:rFonts w:hint="eastAsia"/>
                <w:color w:val="000000" w:themeColor="text1"/>
              </w:rPr>
              <w:t>臭气浓度（级）</w:t>
            </w:r>
          </w:p>
        </w:tc>
        <w:tc>
          <w:tcPr>
            <w:tcW w:w="2228" w:type="dxa"/>
          </w:tcPr>
          <w:p>
            <w:pPr>
              <w:pStyle w:val="55"/>
              <w:rPr>
                <w:color w:val="000000" w:themeColor="text1"/>
              </w:rPr>
            </w:pPr>
            <w:r>
              <w:rPr>
                <w:rFonts w:hint="eastAsia"/>
                <w:color w:val="000000" w:themeColor="text1"/>
              </w:rPr>
              <w:t>NH</w:t>
            </w:r>
            <w:r>
              <w:rPr>
                <w:rFonts w:hint="eastAsia"/>
                <w:color w:val="000000" w:themeColor="text1"/>
                <w:vertAlign w:val="subscript"/>
              </w:rPr>
              <w:t>3</w:t>
            </w:r>
            <w:r>
              <w:rPr>
                <w:rFonts w:hint="eastAsia"/>
                <w:color w:val="000000" w:themeColor="text1"/>
              </w:rPr>
              <w:t>浓度（mg/m</w:t>
            </w:r>
            <w:r>
              <w:rPr>
                <w:rFonts w:hint="eastAsia"/>
                <w:color w:val="000000" w:themeColor="text1"/>
                <w:vertAlign w:val="superscript"/>
              </w:rPr>
              <w:t>3</w:t>
            </w:r>
            <w:r>
              <w:rPr>
                <w:rFonts w:hint="eastAsia"/>
                <w:color w:val="000000" w:themeColor="text1"/>
              </w:rPr>
              <w:t>）</w:t>
            </w:r>
          </w:p>
        </w:tc>
        <w:tc>
          <w:tcPr>
            <w:tcW w:w="2126" w:type="dxa"/>
          </w:tcPr>
          <w:p>
            <w:pPr>
              <w:pStyle w:val="55"/>
              <w:rPr>
                <w:color w:val="000000" w:themeColor="text1"/>
              </w:rPr>
            </w:pPr>
            <w:r>
              <w:rPr>
                <w:rFonts w:hint="eastAsia"/>
                <w:color w:val="000000" w:themeColor="text1"/>
              </w:rPr>
              <w:t>H</w:t>
            </w:r>
            <w:r>
              <w:rPr>
                <w:rFonts w:hint="eastAsia"/>
                <w:color w:val="000000" w:themeColor="text1"/>
                <w:vertAlign w:val="subscript"/>
              </w:rPr>
              <w:t>2</w:t>
            </w:r>
            <w:r>
              <w:rPr>
                <w:rFonts w:hint="eastAsia"/>
                <w:color w:val="000000" w:themeColor="text1"/>
              </w:rPr>
              <w:t>S浓度（mg/m</w:t>
            </w:r>
            <w:r>
              <w:rPr>
                <w:rFonts w:hint="eastAsia"/>
                <w:color w:val="000000" w:themeColor="text1"/>
                <w:vertAlign w:val="superscript"/>
              </w:rPr>
              <w:t>3</w:t>
            </w:r>
            <w:r>
              <w:rPr>
                <w:rFonts w:hint="eastAsia"/>
                <w:color w:val="000000" w:themeColor="text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25" w:type="dxa"/>
          </w:tcPr>
          <w:p>
            <w:pPr>
              <w:pStyle w:val="55"/>
              <w:rPr>
                <w:color w:val="000000" w:themeColor="text1"/>
              </w:rPr>
            </w:pPr>
            <w:r>
              <w:rPr>
                <w:rFonts w:hint="eastAsia"/>
                <w:color w:val="000000" w:themeColor="text1"/>
              </w:rPr>
              <w:t>1</w:t>
            </w:r>
          </w:p>
        </w:tc>
        <w:tc>
          <w:tcPr>
            <w:tcW w:w="2228" w:type="dxa"/>
          </w:tcPr>
          <w:p>
            <w:pPr>
              <w:pStyle w:val="55"/>
              <w:rPr>
                <w:color w:val="000000" w:themeColor="text1"/>
              </w:rPr>
            </w:pPr>
            <w:r>
              <w:rPr>
                <w:rFonts w:hint="eastAsia"/>
                <w:color w:val="000000" w:themeColor="text1"/>
              </w:rPr>
              <w:t>0.1</w:t>
            </w:r>
          </w:p>
        </w:tc>
        <w:tc>
          <w:tcPr>
            <w:tcW w:w="2126" w:type="dxa"/>
          </w:tcPr>
          <w:p>
            <w:pPr>
              <w:pStyle w:val="55"/>
              <w:rPr>
                <w:color w:val="000000" w:themeColor="text1"/>
              </w:rPr>
            </w:pPr>
            <w:r>
              <w:rPr>
                <w:rFonts w:hint="eastAsia"/>
                <w:color w:val="000000" w:themeColor="text1"/>
              </w:rPr>
              <w:t>0.005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25" w:type="dxa"/>
          </w:tcPr>
          <w:p>
            <w:pPr>
              <w:pStyle w:val="55"/>
              <w:rPr>
                <w:color w:val="000000" w:themeColor="text1"/>
              </w:rPr>
            </w:pPr>
            <w:r>
              <w:rPr>
                <w:rFonts w:hint="eastAsia"/>
                <w:color w:val="000000" w:themeColor="text1"/>
              </w:rPr>
              <w:t>2</w:t>
            </w:r>
          </w:p>
        </w:tc>
        <w:tc>
          <w:tcPr>
            <w:tcW w:w="2228" w:type="dxa"/>
          </w:tcPr>
          <w:p>
            <w:pPr>
              <w:pStyle w:val="55"/>
              <w:rPr>
                <w:color w:val="000000" w:themeColor="text1"/>
              </w:rPr>
            </w:pPr>
            <w:r>
              <w:rPr>
                <w:rFonts w:hint="eastAsia"/>
                <w:color w:val="000000" w:themeColor="text1"/>
              </w:rPr>
              <w:t>0.5</w:t>
            </w:r>
          </w:p>
        </w:tc>
        <w:tc>
          <w:tcPr>
            <w:tcW w:w="2126" w:type="dxa"/>
          </w:tcPr>
          <w:p>
            <w:pPr>
              <w:pStyle w:val="55"/>
              <w:rPr>
                <w:color w:val="000000" w:themeColor="text1"/>
              </w:rPr>
            </w:pPr>
            <w:r>
              <w:rPr>
                <w:rFonts w:hint="eastAsia"/>
                <w:color w:val="000000" w:themeColor="text1"/>
              </w:rPr>
              <w:t>0.006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25" w:type="dxa"/>
          </w:tcPr>
          <w:p>
            <w:pPr>
              <w:pStyle w:val="55"/>
              <w:rPr>
                <w:color w:val="000000" w:themeColor="text1"/>
              </w:rPr>
            </w:pPr>
            <w:r>
              <w:rPr>
                <w:rFonts w:hint="eastAsia"/>
                <w:color w:val="000000" w:themeColor="text1"/>
              </w:rPr>
              <w:t>2.5</w:t>
            </w:r>
          </w:p>
        </w:tc>
        <w:tc>
          <w:tcPr>
            <w:tcW w:w="2228" w:type="dxa"/>
          </w:tcPr>
          <w:p>
            <w:pPr>
              <w:pStyle w:val="55"/>
              <w:rPr>
                <w:color w:val="000000" w:themeColor="text1"/>
              </w:rPr>
            </w:pPr>
            <w:r>
              <w:rPr>
                <w:rFonts w:hint="eastAsia"/>
                <w:color w:val="000000" w:themeColor="text1"/>
              </w:rPr>
              <w:t>1.0</w:t>
            </w:r>
          </w:p>
        </w:tc>
        <w:tc>
          <w:tcPr>
            <w:tcW w:w="2126" w:type="dxa"/>
          </w:tcPr>
          <w:p>
            <w:pPr>
              <w:pStyle w:val="55"/>
              <w:rPr>
                <w:color w:val="000000" w:themeColor="text1"/>
              </w:rPr>
            </w:pPr>
            <w:r>
              <w:rPr>
                <w:rFonts w:hint="eastAsia"/>
                <w:color w:val="000000" w:themeColor="text1"/>
              </w:rPr>
              <w:t>0.02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25" w:type="dxa"/>
          </w:tcPr>
          <w:p>
            <w:pPr>
              <w:pStyle w:val="55"/>
              <w:rPr>
                <w:color w:val="000000" w:themeColor="text1"/>
              </w:rPr>
            </w:pPr>
            <w:r>
              <w:rPr>
                <w:rFonts w:hint="eastAsia"/>
                <w:color w:val="000000" w:themeColor="text1"/>
              </w:rPr>
              <w:t>3</w:t>
            </w:r>
          </w:p>
        </w:tc>
        <w:tc>
          <w:tcPr>
            <w:tcW w:w="2228" w:type="dxa"/>
          </w:tcPr>
          <w:p>
            <w:pPr>
              <w:pStyle w:val="55"/>
              <w:rPr>
                <w:color w:val="000000" w:themeColor="text1"/>
              </w:rPr>
            </w:pPr>
            <w:r>
              <w:rPr>
                <w:rFonts w:hint="eastAsia"/>
                <w:color w:val="000000" w:themeColor="text1"/>
              </w:rPr>
              <w:t>2</w:t>
            </w:r>
          </w:p>
        </w:tc>
        <w:tc>
          <w:tcPr>
            <w:tcW w:w="2126" w:type="dxa"/>
          </w:tcPr>
          <w:p>
            <w:pPr>
              <w:pStyle w:val="55"/>
              <w:rPr>
                <w:color w:val="000000" w:themeColor="text1"/>
              </w:rPr>
            </w:pPr>
            <w:r>
              <w:rPr>
                <w:rFonts w:hint="eastAsia"/>
                <w:color w:val="000000" w:themeColor="text1"/>
              </w:rPr>
              <w:t>0.06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25" w:type="dxa"/>
          </w:tcPr>
          <w:p>
            <w:pPr>
              <w:pStyle w:val="55"/>
              <w:rPr>
                <w:color w:val="000000" w:themeColor="text1"/>
              </w:rPr>
            </w:pPr>
            <w:r>
              <w:rPr>
                <w:rFonts w:hint="eastAsia"/>
                <w:color w:val="000000" w:themeColor="text1"/>
              </w:rPr>
              <w:t>3.5</w:t>
            </w:r>
          </w:p>
        </w:tc>
        <w:tc>
          <w:tcPr>
            <w:tcW w:w="2228" w:type="dxa"/>
          </w:tcPr>
          <w:p>
            <w:pPr>
              <w:pStyle w:val="55"/>
              <w:rPr>
                <w:color w:val="000000" w:themeColor="text1"/>
              </w:rPr>
            </w:pPr>
            <w:r>
              <w:rPr>
                <w:rFonts w:hint="eastAsia"/>
                <w:color w:val="000000" w:themeColor="text1"/>
              </w:rPr>
              <w:t>5</w:t>
            </w:r>
          </w:p>
        </w:tc>
        <w:tc>
          <w:tcPr>
            <w:tcW w:w="2126" w:type="dxa"/>
          </w:tcPr>
          <w:p>
            <w:pPr>
              <w:pStyle w:val="55"/>
              <w:rPr>
                <w:color w:val="000000" w:themeColor="text1"/>
              </w:rPr>
            </w:pPr>
            <w:r>
              <w:rPr>
                <w:rFonts w:hint="eastAsia"/>
                <w:color w:val="000000" w:themeColor="text1"/>
              </w:rPr>
              <w:t>0.2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25" w:type="dxa"/>
          </w:tcPr>
          <w:p>
            <w:pPr>
              <w:pStyle w:val="55"/>
              <w:rPr>
                <w:color w:val="000000" w:themeColor="text1"/>
              </w:rPr>
            </w:pPr>
            <w:r>
              <w:rPr>
                <w:rFonts w:hint="eastAsia"/>
                <w:color w:val="000000" w:themeColor="text1"/>
              </w:rPr>
              <w:t>4</w:t>
            </w:r>
          </w:p>
        </w:tc>
        <w:tc>
          <w:tcPr>
            <w:tcW w:w="2228" w:type="dxa"/>
          </w:tcPr>
          <w:p>
            <w:pPr>
              <w:pStyle w:val="55"/>
              <w:rPr>
                <w:color w:val="000000" w:themeColor="text1"/>
              </w:rPr>
            </w:pPr>
            <w:r>
              <w:rPr>
                <w:rFonts w:hint="eastAsia"/>
                <w:color w:val="000000" w:themeColor="text1"/>
              </w:rPr>
              <w:t>10</w:t>
            </w:r>
          </w:p>
        </w:tc>
        <w:tc>
          <w:tcPr>
            <w:tcW w:w="2126" w:type="dxa"/>
          </w:tcPr>
          <w:p>
            <w:pPr>
              <w:pStyle w:val="55"/>
              <w:rPr>
                <w:color w:val="000000" w:themeColor="text1"/>
              </w:rPr>
            </w:pPr>
            <w:r>
              <w:rPr>
                <w:rFonts w:hint="eastAsia"/>
                <w:color w:val="000000" w:themeColor="text1"/>
              </w:rPr>
              <w:t>0.7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25" w:type="dxa"/>
          </w:tcPr>
          <w:p>
            <w:pPr>
              <w:pStyle w:val="55"/>
              <w:rPr>
                <w:color w:val="000000" w:themeColor="text1"/>
              </w:rPr>
            </w:pPr>
            <w:r>
              <w:rPr>
                <w:rFonts w:hint="eastAsia"/>
                <w:color w:val="000000" w:themeColor="text1"/>
              </w:rPr>
              <w:t>5</w:t>
            </w:r>
          </w:p>
        </w:tc>
        <w:tc>
          <w:tcPr>
            <w:tcW w:w="2228" w:type="dxa"/>
          </w:tcPr>
          <w:p>
            <w:pPr>
              <w:pStyle w:val="55"/>
              <w:rPr>
                <w:color w:val="000000" w:themeColor="text1"/>
              </w:rPr>
            </w:pPr>
            <w:r>
              <w:rPr>
                <w:rFonts w:hint="eastAsia"/>
                <w:color w:val="000000" w:themeColor="text1"/>
              </w:rPr>
              <w:t>40</w:t>
            </w:r>
          </w:p>
        </w:tc>
        <w:tc>
          <w:tcPr>
            <w:tcW w:w="2126" w:type="dxa"/>
          </w:tcPr>
          <w:p>
            <w:pPr>
              <w:pStyle w:val="55"/>
              <w:rPr>
                <w:color w:val="000000" w:themeColor="text1"/>
              </w:rPr>
            </w:pPr>
            <w:r>
              <w:rPr>
                <w:rFonts w:hint="eastAsia"/>
                <w:color w:val="000000" w:themeColor="text1"/>
              </w:rPr>
              <w:t>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25" w:type="dxa"/>
          </w:tcPr>
          <w:p>
            <w:pPr>
              <w:pStyle w:val="55"/>
              <w:rPr>
                <w:color w:val="000000" w:themeColor="text1"/>
              </w:rPr>
            </w:pPr>
            <w:r>
              <w:rPr>
                <w:rFonts w:hint="eastAsia"/>
                <w:color w:val="000000" w:themeColor="text1"/>
              </w:rPr>
              <w:t>臭气特征</w:t>
            </w:r>
          </w:p>
        </w:tc>
        <w:tc>
          <w:tcPr>
            <w:tcW w:w="2228" w:type="dxa"/>
          </w:tcPr>
          <w:p>
            <w:pPr>
              <w:pStyle w:val="55"/>
              <w:rPr>
                <w:color w:val="000000" w:themeColor="text1"/>
              </w:rPr>
            </w:pPr>
            <w:r>
              <w:rPr>
                <w:rFonts w:hint="eastAsia"/>
                <w:color w:val="000000" w:themeColor="text1"/>
              </w:rPr>
              <w:t>刺激臭</w:t>
            </w:r>
          </w:p>
        </w:tc>
        <w:tc>
          <w:tcPr>
            <w:tcW w:w="2126" w:type="dxa"/>
          </w:tcPr>
          <w:p>
            <w:pPr>
              <w:pStyle w:val="55"/>
              <w:rPr>
                <w:color w:val="000000" w:themeColor="text1"/>
              </w:rPr>
            </w:pPr>
            <w:r>
              <w:rPr>
                <w:rFonts w:hint="eastAsia"/>
                <w:color w:val="000000" w:themeColor="text1"/>
              </w:rPr>
              <w:t>鸡蛋臭</w:t>
            </w:r>
          </w:p>
        </w:tc>
      </w:tr>
    </w:tbl>
    <w:p>
      <w:pPr>
        <w:pStyle w:val="147"/>
        <w:numPr>
          <w:ilvl w:val="0"/>
          <w:numId w:val="1"/>
        </w:numPr>
        <w:ind w:firstLineChars="0"/>
        <w:rPr>
          <w:color w:val="000000" w:themeColor="text1"/>
        </w:rPr>
      </w:pPr>
      <w:r>
        <w:rPr>
          <w:rFonts w:hint="eastAsia"/>
          <w:color w:val="000000" w:themeColor="text1"/>
        </w:rPr>
        <w:t>宰鸡圈恶臭</w:t>
      </w:r>
    </w:p>
    <w:p>
      <w:pPr>
        <w:ind w:firstLine="480"/>
        <w:rPr>
          <w:color w:val="000000" w:themeColor="text1"/>
        </w:rPr>
      </w:pPr>
      <w:r>
        <w:rPr>
          <w:rFonts w:hint="eastAsia"/>
          <w:color w:val="000000" w:themeColor="text1"/>
        </w:rPr>
        <w:t>本项目待宰鸡圈临时圈养时间为12h，产生的鸡粪每天清理，同类项目在现场能够确定恶臭气味存在（臭气强度等级为2 ），但考虑到可能存在清理不及时的情况，因此根据上表，本环评将待宰鸡圈臭气强度按照2.5级计，则待宰圈的NH</w:t>
      </w:r>
      <w:r>
        <w:rPr>
          <w:rFonts w:hint="eastAsia"/>
          <w:color w:val="000000" w:themeColor="text1"/>
          <w:vertAlign w:val="subscript"/>
        </w:rPr>
        <w:t>3</w:t>
      </w:r>
      <w:r>
        <w:rPr>
          <w:rFonts w:hint="eastAsia"/>
          <w:color w:val="000000" w:themeColor="text1"/>
        </w:rPr>
        <w:t>浓度约为1.0 mg/m</w:t>
      </w:r>
      <w:r>
        <w:rPr>
          <w:rFonts w:hint="eastAsia"/>
          <w:color w:val="000000" w:themeColor="text1"/>
          <w:vertAlign w:val="superscript"/>
        </w:rPr>
        <w:t>3</w:t>
      </w:r>
      <w:r>
        <w:rPr>
          <w:rFonts w:hint="eastAsia"/>
          <w:color w:val="000000" w:themeColor="text1"/>
        </w:rPr>
        <w:t>，H</w:t>
      </w:r>
      <w:r>
        <w:rPr>
          <w:rFonts w:hint="eastAsia"/>
          <w:color w:val="000000" w:themeColor="text1"/>
          <w:vertAlign w:val="subscript"/>
        </w:rPr>
        <w:t>2</w:t>
      </w:r>
      <w:r>
        <w:rPr>
          <w:rFonts w:hint="eastAsia"/>
          <w:color w:val="000000" w:themeColor="text1"/>
        </w:rPr>
        <w:t>S浓度约为0.02 mg/m</w:t>
      </w:r>
      <w:r>
        <w:rPr>
          <w:rFonts w:hint="eastAsia"/>
          <w:color w:val="000000" w:themeColor="text1"/>
          <w:vertAlign w:val="superscript"/>
        </w:rPr>
        <w:t>3</w:t>
      </w:r>
      <w:r>
        <w:rPr>
          <w:rFonts w:hint="eastAsia"/>
          <w:color w:val="000000" w:themeColor="text1"/>
        </w:rPr>
        <w:t>。</w:t>
      </w:r>
    </w:p>
    <w:p>
      <w:pPr>
        <w:ind w:firstLine="480"/>
        <w:rPr>
          <w:color w:val="000000" w:themeColor="text1"/>
        </w:rPr>
      </w:pPr>
      <w:r>
        <w:rPr>
          <w:rFonts w:hint="eastAsia"/>
          <w:color w:val="000000" w:themeColor="text1"/>
        </w:rPr>
        <w:t>项目待宰鸡圈设置为密闭厂房，在待宰圈设置机械通风装置，机械通风设施排气量为5000m</w:t>
      </w:r>
      <w:r>
        <w:rPr>
          <w:rFonts w:hint="eastAsia"/>
          <w:color w:val="000000" w:themeColor="text1"/>
          <w:vertAlign w:val="superscript"/>
        </w:rPr>
        <w:t>3</w:t>
      </w:r>
      <w:r>
        <w:rPr>
          <w:rFonts w:hint="eastAsia"/>
          <w:color w:val="000000" w:themeColor="text1"/>
        </w:rPr>
        <w:t>/h，由此可估算出待宰鸡圈的恶臭污染物排放情况，即NH</w:t>
      </w:r>
      <w:r>
        <w:rPr>
          <w:rFonts w:hint="eastAsia"/>
          <w:color w:val="000000" w:themeColor="text1"/>
          <w:vertAlign w:val="subscript"/>
        </w:rPr>
        <w:t>3</w:t>
      </w:r>
      <w:r>
        <w:rPr>
          <w:rFonts w:hint="eastAsia"/>
          <w:color w:val="000000" w:themeColor="text1"/>
        </w:rPr>
        <w:t>排放速率为0.005 kg/h，H</w:t>
      </w:r>
      <w:r>
        <w:rPr>
          <w:rFonts w:hint="eastAsia"/>
          <w:color w:val="000000" w:themeColor="text1"/>
          <w:vertAlign w:val="subscript"/>
        </w:rPr>
        <w:t>2</w:t>
      </w:r>
      <w:r>
        <w:rPr>
          <w:rFonts w:hint="eastAsia"/>
          <w:color w:val="000000" w:themeColor="text1"/>
        </w:rPr>
        <w:t>S排放速率为0.0001 kg/h。</w:t>
      </w:r>
    </w:p>
    <w:p>
      <w:pPr>
        <w:ind w:firstLine="480"/>
        <w:rPr>
          <w:color w:val="000000" w:themeColor="text1"/>
        </w:rPr>
      </w:pPr>
      <w:r>
        <w:rPr>
          <w:rFonts w:hint="eastAsia"/>
          <w:color w:val="000000" w:themeColor="text1"/>
        </w:rPr>
        <w:t>②生鸡屠宰车间恶臭</w:t>
      </w:r>
    </w:p>
    <w:p>
      <w:pPr>
        <w:ind w:firstLine="480"/>
        <w:rPr>
          <w:color w:val="000000" w:themeColor="text1"/>
        </w:rPr>
      </w:pPr>
      <w:r>
        <w:rPr>
          <w:rFonts w:hint="eastAsia"/>
          <w:color w:val="000000" w:themeColor="text1"/>
        </w:rPr>
        <w:t>生鸡屠宰车间工作时间按照每天16h计，通过调查同行业宰鸡场，生鸡屠宰车间极易感到臭味存在，臭气强度按照3级计，则生鸡屠宰车间的NH</w:t>
      </w:r>
      <w:r>
        <w:rPr>
          <w:rFonts w:hint="eastAsia"/>
          <w:color w:val="000000" w:themeColor="text1"/>
          <w:vertAlign w:val="subscript"/>
        </w:rPr>
        <w:t>3</w:t>
      </w:r>
      <w:r>
        <w:rPr>
          <w:rFonts w:hint="eastAsia"/>
          <w:color w:val="000000" w:themeColor="text1"/>
        </w:rPr>
        <w:t>浓度约为2.0 mg/m</w:t>
      </w:r>
      <w:r>
        <w:rPr>
          <w:rFonts w:hint="eastAsia"/>
          <w:color w:val="000000" w:themeColor="text1"/>
          <w:vertAlign w:val="superscript"/>
        </w:rPr>
        <w:t>3</w:t>
      </w:r>
      <w:r>
        <w:rPr>
          <w:rFonts w:hint="eastAsia"/>
          <w:color w:val="000000" w:themeColor="text1"/>
        </w:rPr>
        <w:t>，H</w:t>
      </w:r>
      <w:r>
        <w:rPr>
          <w:rFonts w:hint="eastAsia"/>
          <w:color w:val="000000" w:themeColor="text1"/>
          <w:vertAlign w:val="subscript"/>
        </w:rPr>
        <w:t>2</w:t>
      </w:r>
      <w:r>
        <w:rPr>
          <w:rFonts w:hint="eastAsia"/>
          <w:color w:val="000000" w:themeColor="text1"/>
        </w:rPr>
        <w:t>S浓度约为0.06 mg/m</w:t>
      </w:r>
      <w:r>
        <w:rPr>
          <w:rFonts w:hint="eastAsia"/>
          <w:color w:val="000000" w:themeColor="text1"/>
          <w:vertAlign w:val="superscript"/>
        </w:rPr>
        <w:t>3</w:t>
      </w:r>
      <w:r>
        <w:rPr>
          <w:rFonts w:hint="eastAsia"/>
          <w:color w:val="000000" w:themeColor="text1"/>
        </w:rPr>
        <w:t>。</w:t>
      </w:r>
    </w:p>
    <w:p>
      <w:pPr>
        <w:ind w:firstLine="480"/>
        <w:rPr>
          <w:color w:val="000000" w:themeColor="text1"/>
        </w:rPr>
      </w:pPr>
      <w:r>
        <w:rPr>
          <w:rFonts w:hint="eastAsia"/>
          <w:color w:val="000000" w:themeColor="text1"/>
        </w:rPr>
        <w:t>项目生鸡屠宰车间设置为密闭厂房，在生鸡屠宰车间设置机械通风装置，机械通风设施排气量为5000m</w:t>
      </w:r>
      <w:r>
        <w:rPr>
          <w:rFonts w:hint="eastAsia"/>
          <w:color w:val="000000" w:themeColor="text1"/>
          <w:vertAlign w:val="superscript"/>
        </w:rPr>
        <w:t>3</w:t>
      </w:r>
      <w:r>
        <w:rPr>
          <w:rFonts w:hint="eastAsia"/>
          <w:color w:val="000000" w:themeColor="text1"/>
        </w:rPr>
        <w:t>/h，由此可估算出生鸡屠宰车间的恶臭污染物排放情况，即NH</w:t>
      </w:r>
      <w:r>
        <w:rPr>
          <w:rFonts w:hint="eastAsia"/>
          <w:color w:val="000000" w:themeColor="text1"/>
          <w:vertAlign w:val="subscript"/>
        </w:rPr>
        <w:t>3</w:t>
      </w:r>
      <w:r>
        <w:rPr>
          <w:rFonts w:hint="eastAsia"/>
          <w:color w:val="000000" w:themeColor="text1"/>
        </w:rPr>
        <w:t>排放速率为0.01 kg/h，H</w:t>
      </w:r>
      <w:r>
        <w:rPr>
          <w:rFonts w:hint="eastAsia"/>
          <w:color w:val="000000" w:themeColor="text1"/>
          <w:vertAlign w:val="subscript"/>
        </w:rPr>
        <w:t>2</w:t>
      </w:r>
      <w:r>
        <w:rPr>
          <w:rFonts w:hint="eastAsia"/>
          <w:color w:val="000000" w:themeColor="text1"/>
        </w:rPr>
        <w:t>S排放速率为0.0003 kg/h。</w:t>
      </w:r>
    </w:p>
    <w:p>
      <w:pPr>
        <w:adjustRightInd w:val="0"/>
        <w:snapToGrid w:val="0"/>
        <w:ind w:firstLine="480"/>
        <w:rPr>
          <w:color w:val="000000" w:themeColor="text1"/>
          <w:kern w:val="0"/>
          <w:szCs w:val="24"/>
        </w:rPr>
      </w:pPr>
      <w:r>
        <w:rPr>
          <w:rFonts w:hint="eastAsia"/>
          <w:color w:val="000000" w:themeColor="text1"/>
          <w:kern w:val="0"/>
          <w:szCs w:val="24"/>
        </w:rPr>
        <w:t>则本项目宰鸡场的氨和硫化氢的产生情况</w:t>
      </w:r>
      <w:r>
        <w:rPr>
          <w:color w:val="000000" w:themeColor="text1"/>
          <w:kern w:val="0"/>
        </w:rPr>
        <w:t>详见表</w:t>
      </w:r>
      <w:r>
        <w:rPr>
          <w:rFonts w:hint="eastAsia"/>
          <w:color w:val="000000" w:themeColor="text1"/>
          <w:kern w:val="0"/>
        </w:rPr>
        <w:t>2.7.2-5</w:t>
      </w:r>
      <w:r>
        <w:rPr>
          <w:rFonts w:hint="eastAsia"/>
          <w:color w:val="000000" w:themeColor="text1"/>
          <w:kern w:val="0"/>
          <w:szCs w:val="24"/>
        </w:rPr>
        <w:t>。</w:t>
      </w:r>
    </w:p>
    <w:p>
      <w:pPr>
        <w:pStyle w:val="54"/>
        <w:rPr>
          <w:color w:val="000000" w:themeColor="text1"/>
          <w:kern w:val="0"/>
        </w:rPr>
      </w:pPr>
      <w:r>
        <w:rPr>
          <w:rFonts w:hint="eastAsia"/>
          <w:color w:val="000000" w:themeColor="text1"/>
          <w:kern w:val="0"/>
        </w:rPr>
        <w:t>表2.7.2-5</w:t>
      </w:r>
      <w:r>
        <w:rPr>
          <w:color w:val="000000" w:themeColor="text1"/>
          <w:kern w:val="0"/>
        </w:rPr>
        <w:t xml:space="preserve"> </w:t>
      </w:r>
      <w:r>
        <w:rPr>
          <w:rFonts w:hint="eastAsia"/>
          <w:color w:val="000000" w:themeColor="text1"/>
          <w:kern w:val="0"/>
          <w:szCs w:val="24"/>
        </w:rPr>
        <w:t>生鸡屠宰</w:t>
      </w:r>
      <w:r>
        <w:rPr>
          <w:rFonts w:hint="eastAsia"/>
          <w:color w:val="000000" w:themeColor="text1"/>
          <w:kern w:val="0"/>
        </w:rPr>
        <w:t>恶臭污染物产生情况一览表</w:t>
      </w:r>
    </w:p>
    <w:tbl>
      <w:tblPr>
        <w:tblStyle w:val="42"/>
        <w:tblW w:w="68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6"/>
        <w:gridCol w:w="2451"/>
        <w:gridCol w:w="2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666" w:type="dxa"/>
            <w:tcBorders>
              <w:top w:val="single" w:color="auto" w:sz="4" w:space="0"/>
              <w:left w:val="single" w:color="auto" w:sz="4" w:space="0"/>
              <w:bottom w:val="single" w:color="auto" w:sz="4" w:space="0"/>
              <w:right w:val="single" w:color="auto" w:sz="4" w:space="0"/>
            </w:tcBorders>
            <w:vAlign w:val="center"/>
          </w:tcPr>
          <w:p>
            <w:pPr>
              <w:pStyle w:val="55"/>
              <w:rPr>
                <w:b/>
                <w:color w:val="000000" w:themeColor="text1"/>
                <w:kern w:val="0"/>
              </w:rPr>
            </w:pPr>
            <w:r>
              <w:rPr>
                <w:rFonts w:hint="eastAsia"/>
                <w:b/>
                <w:color w:val="000000" w:themeColor="text1"/>
                <w:kern w:val="0"/>
              </w:rPr>
              <w:t>污染因子</w:t>
            </w:r>
          </w:p>
        </w:tc>
        <w:tc>
          <w:tcPr>
            <w:tcW w:w="2451" w:type="dxa"/>
            <w:tcBorders>
              <w:top w:val="single" w:color="auto" w:sz="4" w:space="0"/>
              <w:left w:val="single" w:color="auto" w:sz="4" w:space="0"/>
              <w:bottom w:val="single" w:color="auto" w:sz="4" w:space="0"/>
              <w:right w:val="single" w:color="auto" w:sz="4" w:space="0"/>
            </w:tcBorders>
            <w:vAlign w:val="center"/>
          </w:tcPr>
          <w:p>
            <w:pPr>
              <w:pStyle w:val="55"/>
              <w:rPr>
                <w:b/>
                <w:color w:val="000000" w:themeColor="text1"/>
              </w:rPr>
            </w:pPr>
            <w:r>
              <w:rPr>
                <w:color w:val="000000" w:themeColor="text1"/>
                <w:kern w:val="0"/>
              </w:rPr>
              <w:t>NH</w:t>
            </w:r>
            <w:r>
              <w:rPr>
                <w:color w:val="000000" w:themeColor="text1"/>
                <w:kern w:val="0"/>
                <w:vertAlign w:val="subscript"/>
              </w:rPr>
              <w:t>3</w:t>
            </w:r>
          </w:p>
        </w:tc>
        <w:tc>
          <w:tcPr>
            <w:tcW w:w="2695" w:type="dxa"/>
            <w:tcBorders>
              <w:top w:val="single" w:color="auto" w:sz="4" w:space="0"/>
              <w:left w:val="single" w:color="auto" w:sz="4" w:space="0"/>
              <w:bottom w:val="single" w:color="auto" w:sz="4" w:space="0"/>
              <w:right w:val="single" w:color="auto" w:sz="4" w:space="0"/>
            </w:tcBorders>
            <w:vAlign w:val="center"/>
          </w:tcPr>
          <w:p>
            <w:pPr>
              <w:pStyle w:val="55"/>
              <w:rPr>
                <w:b/>
                <w:color w:val="000000" w:themeColor="text1"/>
                <w:kern w:val="0"/>
              </w:rPr>
            </w:pPr>
            <w:r>
              <w:rPr>
                <w:color w:val="000000" w:themeColor="text1"/>
                <w:kern w:val="0"/>
              </w:rPr>
              <w:t>H</w:t>
            </w:r>
            <w:r>
              <w:rPr>
                <w:color w:val="000000" w:themeColor="text1"/>
                <w:kern w:val="0"/>
                <w:vertAlign w:val="subscript"/>
              </w:rPr>
              <w:t>2</w:t>
            </w:r>
            <w:r>
              <w:rPr>
                <w:color w:val="000000" w:themeColor="text1"/>
                <w:kern w:val="0"/>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66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待宰鸡圈</w:t>
            </w:r>
          </w:p>
        </w:tc>
        <w:tc>
          <w:tcPr>
            <w:tcW w:w="245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0.0218t/a</w:t>
            </w:r>
          </w:p>
        </w:tc>
        <w:tc>
          <w:tcPr>
            <w:tcW w:w="269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0.00044t/a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166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rPr>
              <w:t>生鸡屠宰车间</w:t>
            </w:r>
          </w:p>
        </w:tc>
        <w:tc>
          <w:tcPr>
            <w:tcW w:w="245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0.0582t/a</w:t>
            </w:r>
          </w:p>
        </w:tc>
        <w:tc>
          <w:tcPr>
            <w:tcW w:w="269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0.0017t/a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66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合计</w:t>
            </w:r>
          </w:p>
        </w:tc>
        <w:tc>
          <w:tcPr>
            <w:tcW w:w="245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0.08t/a</w:t>
            </w:r>
          </w:p>
        </w:tc>
        <w:tc>
          <w:tcPr>
            <w:tcW w:w="269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0.00214t/a</w:t>
            </w:r>
          </w:p>
        </w:tc>
      </w:tr>
    </w:tbl>
    <w:p>
      <w:pPr>
        <w:ind w:firstLine="480"/>
        <w:rPr>
          <w:color w:val="000000" w:themeColor="text1"/>
        </w:rPr>
      </w:pPr>
      <w:r>
        <w:rPr>
          <w:rFonts w:hint="eastAsia"/>
          <w:color w:val="000000" w:themeColor="text1"/>
        </w:rPr>
        <w:t>（3）污水处理站恶臭</w:t>
      </w:r>
    </w:p>
    <w:p>
      <w:pPr>
        <w:adjustRightInd w:val="0"/>
        <w:snapToGrid w:val="0"/>
        <w:ind w:firstLine="480"/>
        <w:rPr>
          <w:color w:val="000000" w:themeColor="text1"/>
          <w:kern w:val="0"/>
          <w:szCs w:val="24"/>
        </w:rPr>
      </w:pPr>
      <w:r>
        <w:rPr>
          <w:rFonts w:hint="eastAsia"/>
          <w:color w:val="000000" w:themeColor="text1"/>
          <w:kern w:val="0"/>
          <w:szCs w:val="24"/>
        </w:rPr>
        <w:t>本项目污水处理站臭气污染源源强采用美国</w:t>
      </w:r>
      <w:r>
        <w:rPr>
          <w:color w:val="000000" w:themeColor="text1"/>
          <w:kern w:val="0"/>
          <w:szCs w:val="24"/>
        </w:rPr>
        <w:t>EPA</w:t>
      </w:r>
      <w:r>
        <w:rPr>
          <w:rFonts w:hint="eastAsia"/>
          <w:color w:val="000000" w:themeColor="text1"/>
          <w:kern w:val="0"/>
          <w:szCs w:val="24"/>
        </w:rPr>
        <w:t>对城市污水处理厂恶臭污染物产生情况的研究，每处理</w:t>
      </w:r>
      <w:r>
        <w:rPr>
          <w:color w:val="000000" w:themeColor="text1"/>
          <w:kern w:val="0"/>
          <w:szCs w:val="24"/>
        </w:rPr>
        <w:t>1g</w:t>
      </w:r>
      <w:r>
        <w:rPr>
          <w:rFonts w:hint="eastAsia"/>
          <w:color w:val="000000" w:themeColor="text1"/>
          <w:kern w:val="0"/>
          <w:szCs w:val="24"/>
        </w:rPr>
        <w:t>的</w:t>
      </w:r>
      <w:r>
        <w:rPr>
          <w:color w:val="000000" w:themeColor="text1"/>
          <w:kern w:val="0"/>
          <w:szCs w:val="24"/>
        </w:rPr>
        <w:t>BOD</w:t>
      </w:r>
      <w:r>
        <w:rPr>
          <w:color w:val="000000" w:themeColor="text1"/>
          <w:kern w:val="0"/>
          <w:szCs w:val="24"/>
          <w:vertAlign w:val="subscript"/>
        </w:rPr>
        <w:t>5</w:t>
      </w:r>
      <w:r>
        <w:rPr>
          <w:rFonts w:hint="eastAsia"/>
          <w:color w:val="000000" w:themeColor="text1"/>
          <w:kern w:val="0"/>
          <w:szCs w:val="24"/>
        </w:rPr>
        <w:t>，可产生</w:t>
      </w:r>
      <w:r>
        <w:rPr>
          <w:color w:val="000000" w:themeColor="text1"/>
          <w:kern w:val="0"/>
          <w:szCs w:val="24"/>
        </w:rPr>
        <w:t>0.0031g</w:t>
      </w:r>
      <w:r>
        <w:rPr>
          <w:rFonts w:hint="eastAsia"/>
          <w:color w:val="000000" w:themeColor="text1"/>
          <w:kern w:val="0"/>
          <w:szCs w:val="24"/>
        </w:rPr>
        <w:t>的</w:t>
      </w:r>
      <w:r>
        <w:rPr>
          <w:color w:val="000000" w:themeColor="text1"/>
          <w:kern w:val="0"/>
          <w:szCs w:val="24"/>
        </w:rPr>
        <w:t>NH</w:t>
      </w:r>
      <w:r>
        <w:rPr>
          <w:color w:val="000000" w:themeColor="text1"/>
          <w:kern w:val="0"/>
          <w:szCs w:val="24"/>
          <w:vertAlign w:val="subscript"/>
        </w:rPr>
        <w:t>3</w:t>
      </w:r>
      <w:r>
        <w:rPr>
          <w:rFonts w:hint="eastAsia"/>
          <w:color w:val="000000" w:themeColor="text1"/>
          <w:kern w:val="0"/>
          <w:szCs w:val="24"/>
        </w:rPr>
        <w:t>和</w:t>
      </w:r>
      <w:r>
        <w:rPr>
          <w:color w:val="000000" w:themeColor="text1"/>
          <w:kern w:val="0"/>
          <w:szCs w:val="24"/>
        </w:rPr>
        <w:t>0.00012g</w:t>
      </w:r>
      <w:r>
        <w:rPr>
          <w:rFonts w:hint="eastAsia"/>
          <w:color w:val="000000" w:themeColor="text1"/>
          <w:kern w:val="0"/>
          <w:szCs w:val="24"/>
        </w:rPr>
        <w:t>的</w:t>
      </w:r>
      <w:r>
        <w:rPr>
          <w:color w:val="000000" w:themeColor="text1"/>
          <w:kern w:val="0"/>
          <w:szCs w:val="24"/>
        </w:rPr>
        <w:t>H</w:t>
      </w:r>
      <w:r>
        <w:rPr>
          <w:color w:val="000000" w:themeColor="text1"/>
          <w:kern w:val="0"/>
          <w:szCs w:val="24"/>
          <w:vertAlign w:val="subscript"/>
        </w:rPr>
        <w:t>2</w:t>
      </w:r>
      <w:r>
        <w:rPr>
          <w:color w:val="000000" w:themeColor="text1"/>
          <w:kern w:val="0"/>
          <w:szCs w:val="24"/>
        </w:rPr>
        <w:t>S</w:t>
      </w:r>
      <w:r>
        <w:rPr>
          <w:rFonts w:hint="eastAsia"/>
          <w:color w:val="000000" w:themeColor="text1"/>
          <w:kern w:val="0"/>
          <w:szCs w:val="24"/>
        </w:rPr>
        <w:t>。本项目污水处理站</w:t>
      </w:r>
      <w:r>
        <w:rPr>
          <w:color w:val="000000" w:themeColor="text1"/>
          <w:kern w:val="0"/>
          <w:szCs w:val="24"/>
        </w:rPr>
        <w:t>BOD</w:t>
      </w:r>
      <w:r>
        <w:rPr>
          <w:color w:val="000000" w:themeColor="text1"/>
          <w:kern w:val="0"/>
          <w:szCs w:val="24"/>
          <w:vertAlign w:val="subscript"/>
        </w:rPr>
        <w:t>5</w:t>
      </w:r>
      <w:r>
        <w:rPr>
          <w:rFonts w:hint="eastAsia"/>
          <w:color w:val="000000" w:themeColor="text1"/>
          <w:kern w:val="0"/>
          <w:szCs w:val="24"/>
        </w:rPr>
        <w:t>去除量为61.471</w:t>
      </w:r>
      <w:r>
        <w:rPr>
          <w:color w:val="000000" w:themeColor="text1"/>
          <w:kern w:val="0"/>
          <w:szCs w:val="21"/>
        </w:rPr>
        <w:t>t</w:t>
      </w:r>
      <w:r>
        <w:rPr>
          <w:color w:val="000000" w:themeColor="text1"/>
          <w:kern w:val="0"/>
          <w:szCs w:val="24"/>
        </w:rPr>
        <w:t>/a</w:t>
      </w:r>
      <w:r>
        <w:rPr>
          <w:rFonts w:hint="eastAsia"/>
          <w:color w:val="000000" w:themeColor="text1"/>
          <w:kern w:val="0"/>
          <w:szCs w:val="24"/>
        </w:rPr>
        <w:t>，因此本项目污水站</w:t>
      </w:r>
      <w:r>
        <w:rPr>
          <w:color w:val="000000" w:themeColor="text1"/>
          <w:kern w:val="0"/>
          <w:szCs w:val="24"/>
        </w:rPr>
        <w:t>NH</w:t>
      </w:r>
      <w:r>
        <w:rPr>
          <w:color w:val="000000" w:themeColor="text1"/>
          <w:kern w:val="0"/>
          <w:szCs w:val="24"/>
          <w:vertAlign w:val="subscript"/>
        </w:rPr>
        <w:t>3</w:t>
      </w:r>
      <w:r>
        <w:rPr>
          <w:rFonts w:hint="eastAsia"/>
          <w:color w:val="000000" w:themeColor="text1"/>
          <w:kern w:val="0"/>
          <w:szCs w:val="24"/>
        </w:rPr>
        <w:t>和</w:t>
      </w:r>
      <w:r>
        <w:rPr>
          <w:color w:val="000000" w:themeColor="text1"/>
          <w:kern w:val="0"/>
          <w:szCs w:val="24"/>
        </w:rPr>
        <w:t>H</w:t>
      </w:r>
      <w:r>
        <w:rPr>
          <w:color w:val="000000" w:themeColor="text1"/>
          <w:kern w:val="0"/>
          <w:szCs w:val="24"/>
          <w:vertAlign w:val="subscript"/>
        </w:rPr>
        <w:t>2</w:t>
      </w:r>
      <w:r>
        <w:rPr>
          <w:color w:val="000000" w:themeColor="text1"/>
          <w:kern w:val="0"/>
          <w:szCs w:val="24"/>
        </w:rPr>
        <w:t>S</w:t>
      </w:r>
      <w:r>
        <w:rPr>
          <w:rFonts w:hint="eastAsia"/>
          <w:color w:val="000000" w:themeColor="text1"/>
          <w:kern w:val="0"/>
          <w:szCs w:val="24"/>
        </w:rPr>
        <w:t>的产生量具体见表2.7.2-6。</w:t>
      </w:r>
    </w:p>
    <w:p>
      <w:pPr>
        <w:pStyle w:val="54"/>
        <w:rPr>
          <w:color w:val="000000" w:themeColor="text1"/>
          <w:kern w:val="0"/>
        </w:rPr>
      </w:pPr>
      <w:r>
        <w:rPr>
          <w:rFonts w:hint="eastAsia"/>
          <w:color w:val="000000" w:themeColor="text1"/>
          <w:kern w:val="0"/>
        </w:rPr>
        <w:t>表2.7.2-6</w:t>
      </w:r>
      <w:r>
        <w:rPr>
          <w:color w:val="000000" w:themeColor="text1"/>
          <w:kern w:val="0"/>
        </w:rPr>
        <w:t xml:space="preserve"> </w:t>
      </w:r>
      <w:r>
        <w:rPr>
          <w:rFonts w:hint="eastAsia"/>
          <w:color w:val="000000" w:themeColor="text1"/>
          <w:kern w:val="0"/>
        </w:rPr>
        <w:t>本项目污水处理站恶臭污染物产生情况一览表</w:t>
      </w:r>
    </w:p>
    <w:tbl>
      <w:tblPr>
        <w:tblStyle w:val="42"/>
        <w:tblW w:w="85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9"/>
        <w:gridCol w:w="2130"/>
        <w:gridCol w:w="2133"/>
        <w:gridCol w:w="2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212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分区</w:t>
            </w:r>
          </w:p>
        </w:tc>
        <w:tc>
          <w:tcPr>
            <w:tcW w:w="213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污染因子</w:t>
            </w:r>
          </w:p>
        </w:tc>
        <w:tc>
          <w:tcPr>
            <w:tcW w:w="213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产生系数（</w:t>
            </w:r>
            <w:r>
              <w:rPr>
                <w:color w:val="000000" w:themeColor="text1"/>
                <w:kern w:val="0"/>
              </w:rPr>
              <w:t>g/gBOD</w:t>
            </w:r>
            <w:r>
              <w:rPr>
                <w:color w:val="000000" w:themeColor="text1"/>
                <w:kern w:val="0"/>
                <w:vertAlign w:val="subscript"/>
              </w:rPr>
              <w:t>5</w:t>
            </w:r>
            <w:r>
              <w:rPr>
                <w:rFonts w:hint="eastAsia"/>
                <w:color w:val="000000" w:themeColor="text1"/>
                <w:kern w:val="0"/>
              </w:rPr>
              <w:t>）</w:t>
            </w:r>
          </w:p>
        </w:tc>
        <w:tc>
          <w:tcPr>
            <w:tcW w:w="213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本项目产生情况（t</w:t>
            </w:r>
            <w:r>
              <w:rPr>
                <w:color w:val="000000" w:themeColor="text1"/>
                <w:kern w:val="0"/>
              </w:rPr>
              <w:t>/a</w:t>
            </w:r>
            <w:r>
              <w:rPr>
                <w:rFonts w:hint="eastAsia"/>
                <w:color w:val="000000" w:themeColor="text1"/>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2129"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污水处理站</w:t>
            </w:r>
          </w:p>
        </w:tc>
        <w:tc>
          <w:tcPr>
            <w:tcW w:w="213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NH</w:t>
            </w:r>
            <w:r>
              <w:rPr>
                <w:color w:val="000000" w:themeColor="text1"/>
                <w:kern w:val="0"/>
                <w:vertAlign w:val="subscript"/>
              </w:rPr>
              <w:t>3</w:t>
            </w:r>
          </w:p>
        </w:tc>
        <w:tc>
          <w:tcPr>
            <w:tcW w:w="213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0.0031</w:t>
            </w:r>
          </w:p>
        </w:tc>
        <w:tc>
          <w:tcPr>
            <w:tcW w:w="213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129"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c>
          <w:tcPr>
            <w:tcW w:w="213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H</w:t>
            </w:r>
            <w:r>
              <w:rPr>
                <w:color w:val="000000" w:themeColor="text1"/>
                <w:kern w:val="0"/>
                <w:vertAlign w:val="subscript"/>
              </w:rPr>
              <w:t>2</w:t>
            </w:r>
            <w:r>
              <w:rPr>
                <w:color w:val="000000" w:themeColor="text1"/>
                <w:kern w:val="0"/>
              </w:rPr>
              <w:t>S</w:t>
            </w:r>
          </w:p>
        </w:tc>
        <w:tc>
          <w:tcPr>
            <w:tcW w:w="213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0.00012</w:t>
            </w:r>
          </w:p>
        </w:tc>
        <w:tc>
          <w:tcPr>
            <w:tcW w:w="213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0.</w:t>
            </w:r>
            <w:r>
              <w:rPr>
                <w:rFonts w:hint="eastAsia"/>
                <w:color w:val="000000" w:themeColor="text1"/>
                <w:kern w:val="0"/>
              </w:rPr>
              <w:t>0074</w:t>
            </w:r>
          </w:p>
        </w:tc>
      </w:tr>
    </w:tbl>
    <w:p>
      <w:pPr>
        <w:adjustRightInd w:val="0"/>
        <w:snapToGrid w:val="0"/>
        <w:ind w:firstLine="480"/>
        <w:rPr>
          <w:rFonts w:cs="Times New Roman"/>
          <w:color w:val="000000" w:themeColor="text1"/>
          <w:kern w:val="0"/>
          <w:szCs w:val="24"/>
        </w:rPr>
      </w:pPr>
      <w:r>
        <w:rPr>
          <w:rFonts w:hint="eastAsia"/>
          <w:color w:val="000000" w:themeColor="text1"/>
          <w:kern w:val="0"/>
          <w:szCs w:val="24"/>
        </w:rPr>
        <w:t>综上计算，本项目无组织排放的</w:t>
      </w:r>
      <w:r>
        <w:rPr>
          <w:color w:val="000000" w:themeColor="text1"/>
          <w:kern w:val="0"/>
          <w:szCs w:val="24"/>
        </w:rPr>
        <w:t>NH</w:t>
      </w:r>
      <w:r>
        <w:rPr>
          <w:color w:val="000000" w:themeColor="text1"/>
          <w:kern w:val="0"/>
          <w:szCs w:val="24"/>
          <w:vertAlign w:val="subscript"/>
        </w:rPr>
        <w:t>3</w:t>
      </w:r>
      <w:r>
        <w:rPr>
          <w:rFonts w:hint="eastAsia"/>
          <w:color w:val="000000" w:themeColor="text1"/>
          <w:kern w:val="0"/>
          <w:szCs w:val="24"/>
        </w:rPr>
        <w:t>、</w:t>
      </w:r>
      <w:r>
        <w:rPr>
          <w:color w:val="000000" w:themeColor="text1"/>
          <w:kern w:val="0"/>
          <w:szCs w:val="24"/>
        </w:rPr>
        <w:t>H</w:t>
      </w:r>
      <w:r>
        <w:rPr>
          <w:color w:val="000000" w:themeColor="text1"/>
          <w:kern w:val="0"/>
          <w:szCs w:val="24"/>
          <w:vertAlign w:val="subscript"/>
        </w:rPr>
        <w:t>2</w:t>
      </w:r>
      <w:r>
        <w:rPr>
          <w:color w:val="000000" w:themeColor="text1"/>
          <w:kern w:val="0"/>
          <w:szCs w:val="24"/>
        </w:rPr>
        <w:t xml:space="preserve">S </w:t>
      </w:r>
      <w:r>
        <w:rPr>
          <w:rFonts w:hint="eastAsia"/>
          <w:color w:val="000000" w:themeColor="text1"/>
          <w:kern w:val="0"/>
          <w:szCs w:val="24"/>
        </w:rPr>
        <w:t>量见表2.7.2-7。</w:t>
      </w:r>
    </w:p>
    <w:p>
      <w:pPr>
        <w:pStyle w:val="54"/>
        <w:rPr>
          <w:color w:val="000000" w:themeColor="text1"/>
          <w:lang w:bidi="zh-CN"/>
        </w:rPr>
      </w:pPr>
      <w:r>
        <w:rPr>
          <w:rFonts w:hint="eastAsia"/>
          <w:color w:val="000000" w:themeColor="text1"/>
          <w:lang w:bidi="zh-CN"/>
        </w:rPr>
        <w:t>表2.7.2-7</w:t>
      </w:r>
      <w:r>
        <w:rPr>
          <w:color w:val="000000" w:themeColor="text1"/>
          <w:lang w:bidi="zh-CN"/>
        </w:rPr>
        <w:tab/>
      </w:r>
      <w:r>
        <w:rPr>
          <w:rFonts w:hint="eastAsia"/>
          <w:color w:val="000000" w:themeColor="text1"/>
          <w:lang w:bidi="zh-CN"/>
        </w:rPr>
        <w:t>项目臭气污染物产生情况</w:t>
      </w:r>
    </w:p>
    <w:tbl>
      <w:tblPr>
        <w:tblStyle w:val="42"/>
        <w:tblW w:w="85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4"/>
        <w:gridCol w:w="2530"/>
        <w:gridCol w:w="2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365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lang w:bidi="zh-CN"/>
              </w:rPr>
            </w:pPr>
            <w:r>
              <w:rPr>
                <w:rFonts w:hint="eastAsia"/>
                <w:color w:val="000000" w:themeColor="text1"/>
                <w:lang w:bidi="zh-CN"/>
              </w:rPr>
              <w:t>污染源</w:t>
            </w:r>
          </w:p>
        </w:tc>
        <w:tc>
          <w:tcPr>
            <w:tcW w:w="253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lang w:bidi="zh-CN"/>
              </w:rPr>
            </w:pPr>
            <w:r>
              <w:rPr>
                <w:color w:val="000000" w:themeColor="text1"/>
                <w:position w:val="1"/>
              </w:rPr>
              <w:t>NH</w:t>
            </w:r>
            <w:r>
              <w:rPr>
                <w:color w:val="000000" w:themeColor="text1"/>
                <w:vertAlign w:val="subscript"/>
              </w:rPr>
              <w:t>3</w:t>
            </w:r>
            <w:r>
              <w:rPr>
                <w:rFonts w:hint="eastAsia"/>
                <w:color w:val="000000" w:themeColor="text1"/>
                <w:position w:val="1"/>
              </w:rPr>
              <w:t>（</w:t>
            </w:r>
            <w:r>
              <w:rPr>
                <w:rFonts w:hint="eastAsia"/>
                <w:color w:val="000000" w:themeColor="text1"/>
                <w:kern w:val="0"/>
              </w:rPr>
              <w:t>t</w:t>
            </w:r>
            <w:r>
              <w:rPr>
                <w:color w:val="000000" w:themeColor="text1"/>
                <w:kern w:val="0"/>
              </w:rPr>
              <w:t>/a</w:t>
            </w:r>
            <w:r>
              <w:rPr>
                <w:rFonts w:hint="eastAsia"/>
                <w:color w:val="000000" w:themeColor="text1"/>
                <w:position w:val="1"/>
              </w:rPr>
              <w:t>）</w:t>
            </w:r>
          </w:p>
        </w:tc>
        <w:tc>
          <w:tcPr>
            <w:tcW w:w="234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lang w:bidi="zh-CN"/>
              </w:rPr>
            </w:pPr>
            <w:r>
              <w:rPr>
                <w:color w:val="000000" w:themeColor="text1"/>
                <w:position w:val="1"/>
              </w:rPr>
              <w:t>H</w:t>
            </w:r>
            <w:r>
              <w:rPr>
                <w:color w:val="000000" w:themeColor="text1"/>
                <w:vertAlign w:val="subscript"/>
              </w:rPr>
              <w:t>2</w:t>
            </w:r>
            <w:r>
              <w:rPr>
                <w:color w:val="000000" w:themeColor="text1"/>
                <w:position w:val="1"/>
              </w:rPr>
              <w:t>S</w:t>
            </w:r>
            <w:r>
              <w:rPr>
                <w:rFonts w:hint="eastAsia"/>
                <w:color w:val="000000" w:themeColor="text1"/>
                <w:position w:val="1"/>
              </w:rPr>
              <w:t>（</w:t>
            </w:r>
            <w:r>
              <w:rPr>
                <w:rFonts w:hint="eastAsia"/>
                <w:color w:val="000000" w:themeColor="text1"/>
                <w:kern w:val="0"/>
              </w:rPr>
              <w:t>t</w:t>
            </w:r>
            <w:r>
              <w:rPr>
                <w:color w:val="000000" w:themeColor="text1"/>
                <w:kern w:val="0"/>
              </w:rPr>
              <w:t>/a</w:t>
            </w:r>
            <w:r>
              <w:rPr>
                <w:rFonts w:hint="eastAsia"/>
                <w:color w:val="000000" w:themeColor="text1"/>
                <w:position w:val="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365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lang w:bidi="zh-CN"/>
              </w:rPr>
            </w:pPr>
            <w:r>
              <w:rPr>
                <w:rFonts w:hint="eastAsia"/>
                <w:color w:val="000000" w:themeColor="text1"/>
                <w:lang w:bidi="zh-CN"/>
              </w:rPr>
              <w:t>生猪待宰间、生猪屠宰车间、宰鸡场、污水处理站</w:t>
            </w:r>
          </w:p>
        </w:tc>
        <w:tc>
          <w:tcPr>
            <w:tcW w:w="253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lang w:bidi="zh-CN"/>
              </w:rPr>
            </w:pPr>
            <w:r>
              <w:rPr>
                <w:rFonts w:hint="eastAsia"/>
                <w:color w:val="000000" w:themeColor="text1"/>
                <w:lang w:bidi="zh-CN"/>
              </w:rPr>
              <w:t>0.3393</w:t>
            </w:r>
          </w:p>
        </w:tc>
        <w:tc>
          <w:tcPr>
            <w:tcW w:w="234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lang w:bidi="zh-CN"/>
              </w:rPr>
            </w:pPr>
            <w:r>
              <w:rPr>
                <w:rFonts w:hint="eastAsia"/>
                <w:color w:val="000000" w:themeColor="text1"/>
                <w:lang w:bidi="zh-CN"/>
              </w:rPr>
              <w:t>0.01322</w:t>
            </w:r>
          </w:p>
        </w:tc>
      </w:tr>
    </w:tbl>
    <w:p>
      <w:pPr>
        <w:ind w:firstLine="480"/>
        <w:rPr>
          <w:color w:val="000000" w:themeColor="text1"/>
          <w:kern w:val="0"/>
        </w:rPr>
      </w:pPr>
      <w:r>
        <w:rPr>
          <w:color w:val="000000" w:themeColor="text1"/>
          <w:kern w:val="0"/>
        </w:rPr>
        <w:t>2</w:t>
      </w:r>
      <w:r>
        <w:rPr>
          <w:rFonts w:hint="eastAsia"/>
          <w:color w:val="000000" w:themeColor="text1"/>
          <w:kern w:val="0"/>
        </w:rPr>
        <w:t>、锅炉废气</w:t>
      </w:r>
    </w:p>
    <w:p>
      <w:pPr>
        <w:ind w:firstLine="480"/>
        <w:rPr>
          <w:rFonts w:cs="宋体"/>
          <w:color w:val="000000" w:themeColor="text1"/>
        </w:rPr>
      </w:pPr>
      <w:r>
        <w:rPr>
          <w:rFonts w:hint="eastAsia"/>
          <w:color w:val="000000" w:themeColor="text1"/>
        </w:rPr>
        <w:t>项目拟配置一套0.25</w:t>
      </w:r>
      <w:r>
        <w:rPr>
          <w:color w:val="000000" w:themeColor="text1"/>
        </w:rPr>
        <w:t>t/h</w:t>
      </w:r>
      <w:r>
        <w:rPr>
          <w:rFonts w:hint="eastAsia"/>
          <w:color w:val="000000" w:themeColor="text1"/>
        </w:rPr>
        <w:t>的生物质蒸汽锅炉在冬季或天气不佳时提供热源。根据业主经验，锅炉使用天数按照每年180天计，每天需要120kg的生物质燃料。项目生物质燃料年使用量为21.6t/a，</w:t>
      </w:r>
      <w:r>
        <w:rPr>
          <w:rFonts w:hint="eastAsia"/>
          <w:color w:val="000000" w:themeColor="text1"/>
          <w:szCs w:val="24"/>
        </w:rPr>
        <w:t>项目生物质锅炉年运行2880</w:t>
      </w:r>
      <w:r>
        <w:rPr>
          <w:color w:val="000000" w:themeColor="text1"/>
          <w:szCs w:val="24"/>
        </w:rPr>
        <w:t>h</w:t>
      </w:r>
      <w:r>
        <w:rPr>
          <w:rFonts w:hint="eastAsia"/>
          <w:color w:val="000000" w:themeColor="text1"/>
          <w:szCs w:val="24"/>
        </w:rPr>
        <w:t>，风机为1000</w:t>
      </w:r>
      <w:r>
        <w:rPr>
          <w:color w:val="000000" w:themeColor="text1"/>
          <w:szCs w:val="24"/>
        </w:rPr>
        <w:t>m</w:t>
      </w:r>
      <w:r>
        <w:rPr>
          <w:color w:val="000000" w:themeColor="text1"/>
          <w:szCs w:val="24"/>
          <w:vertAlign w:val="superscript"/>
        </w:rPr>
        <w:t>3</w:t>
      </w:r>
      <w:r>
        <w:rPr>
          <w:color w:val="000000" w:themeColor="text1"/>
          <w:szCs w:val="24"/>
        </w:rPr>
        <w:t>/h</w:t>
      </w:r>
      <w:r>
        <w:rPr>
          <w:rFonts w:hint="eastAsia"/>
          <w:color w:val="000000" w:themeColor="text1"/>
          <w:szCs w:val="24"/>
        </w:rPr>
        <w:t>。</w:t>
      </w:r>
      <w:r>
        <w:rPr>
          <w:rFonts w:hint="eastAsia"/>
          <w:color w:val="000000" w:themeColor="text1"/>
        </w:rPr>
        <w:t>参照《第一次全国污染源普查工业污染源产排污系数手册（</w:t>
      </w:r>
      <w:r>
        <w:rPr>
          <w:color w:val="000000" w:themeColor="text1"/>
        </w:rPr>
        <w:t>2010</w:t>
      </w:r>
      <w:r>
        <w:rPr>
          <w:rFonts w:hint="eastAsia"/>
          <w:color w:val="000000" w:themeColor="text1"/>
        </w:rPr>
        <w:t>年修订）》中</w:t>
      </w:r>
      <w:r>
        <w:rPr>
          <w:color w:val="000000" w:themeColor="text1"/>
        </w:rPr>
        <w:t>4430</w:t>
      </w:r>
      <w:r>
        <w:rPr>
          <w:rFonts w:hint="eastAsia"/>
          <w:color w:val="000000" w:themeColor="text1"/>
        </w:rPr>
        <w:t>工业锅炉燃烧生物质燃料的产排污系数，生物质锅炉的工业废气产污系数为</w:t>
      </w:r>
      <w:r>
        <w:rPr>
          <w:color w:val="000000" w:themeColor="text1"/>
        </w:rPr>
        <w:t>6240.28Nm</w:t>
      </w:r>
      <w:r>
        <w:rPr>
          <w:color w:val="000000" w:themeColor="text1"/>
          <w:vertAlign w:val="superscript"/>
        </w:rPr>
        <w:t>3</w:t>
      </w:r>
      <w:r>
        <w:rPr>
          <w:color w:val="000000" w:themeColor="text1"/>
        </w:rPr>
        <w:t>/t-</w:t>
      </w:r>
      <w:r>
        <w:rPr>
          <w:rFonts w:hint="eastAsia"/>
          <w:color w:val="000000" w:themeColor="text1"/>
        </w:rPr>
        <w:t>原料、颗粒物产污系数为</w:t>
      </w:r>
      <w:r>
        <w:rPr>
          <w:color w:val="000000" w:themeColor="text1"/>
        </w:rPr>
        <w:t>11.28kg/t-</w:t>
      </w:r>
      <w:r>
        <w:rPr>
          <w:rFonts w:hint="eastAsia"/>
          <w:color w:val="000000" w:themeColor="text1"/>
        </w:rPr>
        <w:t>燃料、二氧化硫产污系数为</w:t>
      </w:r>
      <w:r>
        <w:rPr>
          <w:color w:val="000000" w:themeColor="text1"/>
        </w:rPr>
        <w:t>17Skg/t-</w:t>
      </w:r>
      <w:r>
        <w:rPr>
          <w:rFonts w:hint="eastAsia"/>
          <w:color w:val="000000" w:themeColor="text1"/>
        </w:rPr>
        <w:t>燃料、氮氧化物产污系数为</w:t>
      </w:r>
      <w:r>
        <w:rPr>
          <w:color w:val="000000" w:themeColor="text1"/>
        </w:rPr>
        <w:t>1.02kg/t-</w:t>
      </w:r>
      <w:r>
        <w:rPr>
          <w:rFonts w:hint="eastAsia"/>
          <w:color w:val="000000" w:themeColor="text1"/>
        </w:rPr>
        <w:t>燃料</w:t>
      </w:r>
      <w:r>
        <w:rPr>
          <w:rFonts w:hint="eastAsia"/>
          <w:color w:val="000000" w:themeColor="text1"/>
          <w:kern w:val="0"/>
        </w:rPr>
        <w:t>。锅炉产生的废气进入水膜除尘系统进行处理，对颗粒物处理效率为</w:t>
      </w:r>
      <w:r>
        <w:rPr>
          <w:color w:val="000000" w:themeColor="text1"/>
          <w:kern w:val="0"/>
        </w:rPr>
        <w:t>87%</w:t>
      </w:r>
      <w:r>
        <w:rPr>
          <w:rFonts w:hint="eastAsia"/>
          <w:color w:val="000000" w:themeColor="text1"/>
          <w:kern w:val="0"/>
        </w:rPr>
        <w:t>，对</w:t>
      </w:r>
      <w:r>
        <w:rPr>
          <w:color w:val="000000" w:themeColor="text1"/>
          <w:kern w:val="0"/>
        </w:rPr>
        <w:t>SO</w:t>
      </w:r>
      <w:r>
        <w:rPr>
          <w:color w:val="000000" w:themeColor="text1"/>
          <w:kern w:val="0"/>
          <w:vertAlign w:val="subscript"/>
        </w:rPr>
        <w:t>2</w:t>
      </w:r>
      <w:r>
        <w:rPr>
          <w:rFonts w:hint="eastAsia"/>
          <w:color w:val="000000" w:themeColor="text1"/>
          <w:kern w:val="0"/>
        </w:rPr>
        <w:t>的去除效率为</w:t>
      </w:r>
      <w:r>
        <w:rPr>
          <w:color w:val="000000" w:themeColor="text1"/>
          <w:kern w:val="0"/>
        </w:rPr>
        <w:t>15%</w:t>
      </w:r>
      <w:r>
        <w:rPr>
          <w:rFonts w:hint="eastAsia"/>
          <w:color w:val="000000" w:themeColor="text1"/>
          <w:kern w:val="0"/>
        </w:rPr>
        <w:t>。项目锅炉废气产污情况见下表</w:t>
      </w:r>
      <w:r>
        <w:rPr>
          <w:rFonts w:hint="eastAsia" w:cs="宋体"/>
          <w:color w:val="000000" w:themeColor="text1"/>
        </w:rPr>
        <w:t>。</w:t>
      </w:r>
    </w:p>
    <w:p>
      <w:pPr>
        <w:pStyle w:val="54"/>
        <w:rPr>
          <w:color w:val="000000" w:themeColor="text1"/>
        </w:rPr>
      </w:pPr>
      <w:r>
        <w:rPr>
          <w:rFonts w:hint="eastAsia"/>
          <w:color w:val="000000" w:themeColor="text1"/>
        </w:rPr>
        <w:t>表2.7.2-6</w:t>
      </w:r>
      <w:r>
        <w:rPr>
          <w:color w:val="000000" w:themeColor="text1"/>
        </w:rPr>
        <w:t xml:space="preserve"> </w:t>
      </w:r>
      <w:r>
        <w:rPr>
          <w:rFonts w:hint="eastAsia"/>
          <w:color w:val="000000" w:themeColor="text1"/>
        </w:rPr>
        <w:t xml:space="preserve"> 生物质锅炉废气产排情况</w:t>
      </w:r>
    </w:p>
    <w:tbl>
      <w:tblPr>
        <w:tblStyle w:val="42"/>
        <w:tblW w:w="8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850"/>
        <w:gridCol w:w="1386"/>
        <w:gridCol w:w="1097"/>
        <w:gridCol w:w="1345"/>
        <w:gridCol w:w="708"/>
        <w:gridCol w:w="1276"/>
        <w:gridCol w:w="1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序号</w:t>
            </w:r>
          </w:p>
        </w:tc>
        <w:tc>
          <w:tcPr>
            <w:tcW w:w="85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参数</w:t>
            </w:r>
          </w:p>
        </w:tc>
        <w:tc>
          <w:tcPr>
            <w:tcW w:w="138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产污系数</w:t>
            </w:r>
          </w:p>
        </w:tc>
        <w:tc>
          <w:tcPr>
            <w:tcW w:w="109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产生量</w:t>
            </w:r>
          </w:p>
        </w:tc>
        <w:tc>
          <w:tcPr>
            <w:tcW w:w="134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产生浓度（</w:t>
            </w:r>
            <w:r>
              <w:rPr>
                <w:color w:val="000000" w:themeColor="text1"/>
              </w:rPr>
              <w:t>mg/m</w:t>
            </w:r>
            <w:r>
              <w:rPr>
                <w:color w:val="000000" w:themeColor="text1"/>
                <w:vertAlign w:val="superscript"/>
              </w:rPr>
              <w:t>3</w:t>
            </w:r>
            <w:r>
              <w:rPr>
                <w:rFonts w:hint="eastAsia"/>
                <w:color w:val="000000" w:themeColor="text1"/>
              </w:rPr>
              <w:t>）</w:t>
            </w:r>
          </w:p>
        </w:tc>
        <w:tc>
          <w:tcPr>
            <w:tcW w:w="70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处理效率</w:t>
            </w:r>
          </w:p>
        </w:tc>
        <w:tc>
          <w:tcPr>
            <w:tcW w:w="12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排放量</w:t>
            </w:r>
          </w:p>
        </w:tc>
        <w:tc>
          <w:tcPr>
            <w:tcW w:w="151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排放浓度（</w:t>
            </w:r>
            <w:r>
              <w:rPr>
                <w:color w:val="000000" w:themeColor="text1"/>
              </w:rPr>
              <w:t>mg/m</w:t>
            </w:r>
            <w:r>
              <w:rPr>
                <w:color w:val="000000" w:themeColor="text1"/>
                <w:vertAlign w:val="superscript"/>
              </w:rPr>
              <w:t>3</w:t>
            </w:r>
            <w:r>
              <w:rPr>
                <w:rFonts w:hint="eastAsia"/>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w:t>
            </w:r>
          </w:p>
        </w:tc>
        <w:tc>
          <w:tcPr>
            <w:tcW w:w="85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烟气量</w:t>
            </w:r>
          </w:p>
        </w:tc>
        <w:tc>
          <w:tcPr>
            <w:tcW w:w="138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6240.28Nm</w:t>
            </w:r>
            <w:r>
              <w:rPr>
                <w:color w:val="000000" w:themeColor="text1"/>
                <w:vertAlign w:val="superscript"/>
              </w:rPr>
              <w:t>3</w:t>
            </w:r>
            <w:r>
              <w:rPr>
                <w:color w:val="000000" w:themeColor="text1"/>
              </w:rPr>
              <w:t>/t-</w:t>
            </w:r>
            <w:r>
              <w:rPr>
                <w:rFonts w:hint="eastAsia"/>
                <w:color w:val="000000" w:themeColor="text1"/>
              </w:rPr>
              <w:t>原料</w:t>
            </w:r>
          </w:p>
        </w:tc>
        <w:tc>
          <w:tcPr>
            <w:tcW w:w="109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13.479万</w:t>
            </w:r>
            <w:r>
              <w:rPr>
                <w:color w:val="000000" w:themeColor="text1"/>
              </w:rPr>
              <w:t>Nm</w:t>
            </w:r>
            <w:r>
              <w:rPr>
                <w:color w:val="000000" w:themeColor="text1"/>
                <w:vertAlign w:val="superscript"/>
              </w:rPr>
              <w:t>3</w:t>
            </w:r>
            <w:r>
              <w:rPr>
                <w:color w:val="000000" w:themeColor="text1"/>
              </w:rPr>
              <w:t>/a</w:t>
            </w:r>
          </w:p>
        </w:tc>
        <w:tc>
          <w:tcPr>
            <w:tcW w:w="134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w:t>
            </w:r>
          </w:p>
        </w:tc>
        <w:tc>
          <w:tcPr>
            <w:tcW w:w="70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w:t>
            </w:r>
          </w:p>
        </w:tc>
        <w:tc>
          <w:tcPr>
            <w:tcW w:w="12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13.479万</w:t>
            </w:r>
            <w:r>
              <w:rPr>
                <w:color w:val="000000" w:themeColor="text1"/>
              </w:rPr>
              <w:t>Nm</w:t>
            </w:r>
            <w:r>
              <w:rPr>
                <w:color w:val="000000" w:themeColor="text1"/>
                <w:vertAlign w:val="superscript"/>
              </w:rPr>
              <w:t>3</w:t>
            </w:r>
            <w:r>
              <w:rPr>
                <w:color w:val="000000" w:themeColor="text1"/>
              </w:rPr>
              <w:t>/a</w:t>
            </w:r>
          </w:p>
        </w:tc>
        <w:tc>
          <w:tcPr>
            <w:tcW w:w="151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2</w:t>
            </w:r>
          </w:p>
        </w:tc>
        <w:tc>
          <w:tcPr>
            <w:tcW w:w="85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颗粒物</w:t>
            </w:r>
          </w:p>
        </w:tc>
        <w:tc>
          <w:tcPr>
            <w:tcW w:w="138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11.28kg/t-</w:t>
            </w:r>
            <w:r>
              <w:rPr>
                <w:rFonts w:hint="eastAsia"/>
                <w:color w:val="000000" w:themeColor="text1"/>
              </w:rPr>
              <w:t>燃料</w:t>
            </w:r>
          </w:p>
        </w:tc>
        <w:tc>
          <w:tcPr>
            <w:tcW w:w="109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0.244</w:t>
            </w:r>
            <w:r>
              <w:rPr>
                <w:color w:val="000000" w:themeColor="text1"/>
              </w:rPr>
              <w:t xml:space="preserve"> t/a</w:t>
            </w:r>
          </w:p>
        </w:tc>
        <w:tc>
          <w:tcPr>
            <w:tcW w:w="134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84.72</w:t>
            </w:r>
          </w:p>
        </w:tc>
        <w:tc>
          <w:tcPr>
            <w:tcW w:w="70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87%</w:t>
            </w:r>
          </w:p>
        </w:tc>
        <w:tc>
          <w:tcPr>
            <w:tcW w:w="12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0.031</w:t>
            </w:r>
            <w:r>
              <w:rPr>
                <w:rFonts w:hint="eastAsia"/>
                <w:color w:val="000000" w:themeColor="text1"/>
              </w:rPr>
              <w:t>7</w:t>
            </w:r>
            <w:r>
              <w:rPr>
                <w:color w:val="000000" w:themeColor="text1"/>
              </w:rPr>
              <w:t>t/a</w:t>
            </w:r>
          </w:p>
        </w:tc>
        <w:tc>
          <w:tcPr>
            <w:tcW w:w="151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3</w:t>
            </w:r>
          </w:p>
        </w:tc>
        <w:tc>
          <w:tcPr>
            <w:tcW w:w="85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SO</w:t>
            </w:r>
            <w:r>
              <w:rPr>
                <w:color w:val="000000" w:themeColor="text1"/>
                <w:vertAlign w:val="subscript"/>
              </w:rPr>
              <w:t>2</w:t>
            </w:r>
          </w:p>
        </w:tc>
        <w:tc>
          <w:tcPr>
            <w:tcW w:w="138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17Skg/t-</w:t>
            </w:r>
            <w:r>
              <w:rPr>
                <w:rFonts w:hint="eastAsia"/>
                <w:color w:val="000000" w:themeColor="text1"/>
              </w:rPr>
              <w:t>燃料</w:t>
            </w:r>
          </w:p>
        </w:tc>
        <w:tc>
          <w:tcPr>
            <w:tcW w:w="109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0.0</w:t>
            </w:r>
            <w:r>
              <w:rPr>
                <w:rFonts w:hint="eastAsia"/>
                <w:color w:val="000000" w:themeColor="text1"/>
              </w:rPr>
              <w:t>37</w:t>
            </w:r>
            <w:r>
              <w:rPr>
                <w:color w:val="000000" w:themeColor="text1"/>
              </w:rPr>
              <w:t>t/a</w:t>
            </w:r>
          </w:p>
        </w:tc>
        <w:tc>
          <w:tcPr>
            <w:tcW w:w="134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12.85</w:t>
            </w:r>
          </w:p>
        </w:tc>
        <w:tc>
          <w:tcPr>
            <w:tcW w:w="70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15%</w:t>
            </w:r>
          </w:p>
        </w:tc>
        <w:tc>
          <w:tcPr>
            <w:tcW w:w="12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0.0</w:t>
            </w:r>
            <w:r>
              <w:rPr>
                <w:rFonts w:hint="eastAsia"/>
                <w:color w:val="000000" w:themeColor="text1"/>
              </w:rPr>
              <w:t>315</w:t>
            </w:r>
            <w:r>
              <w:rPr>
                <w:color w:val="000000" w:themeColor="text1"/>
              </w:rPr>
              <w:t>t/a</w:t>
            </w:r>
          </w:p>
        </w:tc>
        <w:tc>
          <w:tcPr>
            <w:tcW w:w="151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4</w:t>
            </w:r>
          </w:p>
        </w:tc>
        <w:tc>
          <w:tcPr>
            <w:tcW w:w="85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NOx</w:t>
            </w:r>
          </w:p>
        </w:tc>
        <w:tc>
          <w:tcPr>
            <w:tcW w:w="138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1.02kg/t-</w:t>
            </w:r>
            <w:r>
              <w:rPr>
                <w:rFonts w:hint="eastAsia"/>
                <w:color w:val="000000" w:themeColor="text1"/>
              </w:rPr>
              <w:t>燃料</w:t>
            </w:r>
          </w:p>
        </w:tc>
        <w:tc>
          <w:tcPr>
            <w:tcW w:w="109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w:t>
            </w:r>
            <w:r>
              <w:rPr>
                <w:rFonts w:hint="eastAsia"/>
                <w:color w:val="000000" w:themeColor="text1"/>
              </w:rPr>
              <w:t>022</w:t>
            </w:r>
            <w:r>
              <w:rPr>
                <w:color w:val="000000" w:themeColor="text1"/>
              </w:rPr>
              <w:t xml:space="preserve"> t/a</w:t>
            </w:r>
          </w:p>
        </w:tc>
        <w:tc>
          <w:tcPr>
            <w:tcW w:w="134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7.64</w:t>
            </w:r>
          </w:p>
        </w:tc>
        <w:tc>
          <w:tcPr>
            <w:tcW w:w="70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w:t>
            </w:r>
          </w:p>
        </w:tc>
        <w:tc>
          <w:tcPr>
            <w:tcW w:w="12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w:t>
            </w:r>
            <w:r>
              <w:rPr>
                <w:rFonts w:hint="eastAsia"/>
                <w:color w:val="000000" w:themeColor="text1"/>
              </w:rPr>
              <w:t>022</w:t>
            </w:r>
            <w:r>
              <w:rPr>
                <w:color w:val="000000" w:themeColor="text1"/>
              </w:rPr>
              <w:t xml:space="preserve"> t/a</w:t>
            </w:r>
          </w:p>
        </w:tc>
        <w:tc>
          <w:tcPr>
            <w:tcW w:w="151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7.64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3" w:type="dxa"/>
            <w:gridSpan w:val="8"/>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hAnsi="宋体"/>
                <w:color w:val="000000" w:themeColor="text1"/>
                <w:kern w:val="0"/>
              </w:rPr>
              <w:t>注：二氧化硫的产排污系数是以含硫量（</w:t>
            </w:r>
            <w:r>
              <w:rPr>
                <w:color w:val="000000" w:themeColor="text1"/>
                <w:kern w:val="0"/>
              </w:rPr>
              <w:t>S</w:t>
            </w:r>
            <w:r>
              <w:rPr>
                <w:rFonts w:hint="eastAsia" w:hAnsi="宋体"/>
                <w:color w:val="000000" w:themeColor="text1"/>
                <w:kern w:val="0"/>
              </w:rPr>
              <w:t>％）的形式表示的，其中含硫量（</w:t>
            </w:r>
            <w:r>
              <w:rPr>
                <w:color w:val="000000" w:themeColor="text1"/>
                <w:kern w:val="0"/>
              </w:rPr>
              <w:t>S</w:t>
            </w:r>
            <w:r>
              <w:rPr>
                <w:rFonts w:hint="eastAsia" w:hAnsi="宋体"/>
                <w:color w:val="000000" w:themeColor="text1"/>
                <w:kern w:val="0"/>
              </w:rPr>
              <w:t>％）是指生物质颗粒收到基硫分含量，以质量百分数的形式表示。例如生物质颗粒中含硫量（</w:t>
            </w:r>
            <w:r>
              <w:rPr>
                <w:color w:val="000000" w:themeColor="text1"/>
                <w:kern w:val="0"/>
              </w:rPr>
              <w:t>S</w:t>
            </w:r>
            <w:r>
              <w:rPr>
                <w:rFonts w:hint="eastAsia" w:hAnsi="宋体"/>
                <w:color w:val="000000" w:themeColor="text1"/>
                <w:kern w:val="0"/>
              </w:rPr>
              <w:t>％）为</w:t>
            </w:r>
            <w:r>
              <w:rPr>
                <w:color w:val="000000" w:themeColor="text1"/>
                <w:kern w:val="0"/>
              </w:rPr>
              <w:t>0.1</w:t>
            </w:r>
            <w:r>
              <w:rPr>
                <w:rFonts w:hint="eastAsia" w:hAnsi="宋体"/>
                <w:color w:val="000000" w:themeColor="text1"/>
                <w:kern w:val="0"/>
              </w:rPr>
              <w:t>％，则</w:t>
            </w:r>
            <w:r>
              <w:rPr>
                <w:color w:val="000000" w:themeColor="text1"/>
                <w:kern w:val="0"/>
              </w:rPr>
              <w:t>S=0.1</w:t>
            </w:r>
            <w:r>
              <w:rPr>
                <w:rFonts w:hint="eastAsia"/>
                <w:color w:val="000000" w:themeColor="text1"/>
                <w:kern w:val="0"/>
              </w:rPr>
              <w:t>。本项目S取0.1计算。</w:t>
            </w:r>
          </w:p>
        </w:tc>
      </w:tr>
    </w:tbl>
    <w:p>
      <w:pPr>
        <w:ind w:firstLine="480"/>
        <w:rPr>
          <w:color w:val="000000" w:themeColor="text1"/>
        </w:rPr>
      </w:pPr>
      <w:r>
        <w:rPr>
          <w:rFonts w:hint="eastAsia"/>
          <w:color w:val="000000" w:themeColor="text1"/>
        </w:rPr>
        <w:t>由上表可知，锅炉废气各污染物排放浓度均满足《锅炉大气污染物排放标准》（</w:t>
      </w:r>
      <w:r>
        <w:rPr>
          <w:color w:val="000000" w:themeColor="text1"/>
        </w:rPr>
        <w:t>GB13271-2014</w:t>
      </w:r>
      <w:r>
        <w:rPr>
          <w:rFonts w:hint="eastAsia"/>
          <w:color w:val="000000" w:themeColor="text1"/>
        </w:rPr>
        <w:t>）中关于锅炉污染物排放要求，</w:t>
      </w:r>
      <w:r>
        <w:rPr>
          <w:rFonts w:hint="eastAsia" w:hAnsi="宋体"/>
          <w:color w:val="000000" w:themeColor="text1"/>
        </w:rPr>
        <w:t>（即：颗粒物</w:t>
      </w:r>
      <w:r>
        <w:rPr>
          <w:color w:val="000000" w:themeColor="text1"/>
        </w:rPr>
        <w:t>50mg/m³</w:t>
      </w:r>
      <w:r>
        <w:rPr>
          <w:rFonts w:hint="eastAsia" w:hAnsi="宋体"/>
          <w:color w:val="000000" w:themeColor="text1"/>
        </w:rPr>
        <w:t>，</w:t>
      </w:r>
      <w:r>
        <w:rPr>
          <w:color w:val="000000" w:themeColor="text1"/>
        </w:rPr>
        <w:t>SO</w:t>
      </w:r>
      <w:r>
        <w:rPr>
          <w:color w:val="000000" w:themeColor="text1"/>
          <w:vertAlign w:val="subscript"/>
        </w:rPr>
        <w:t>2</w:t>
      </w:r>
      <w:r>
        <w:rPr>
          <w:color w:val="000000" w:themeColor="text1"/>
        </w:rPr>
        <w:t>300mg/m³</w:t>
      </w:r>
      <w:r>
        <w:rPr>
          <w:rFonts w:hint="eastAsia" w:hAnsi="宋体"/>
          <w:color w:val="000000" w:themeColor="text1"/>
        </w:rPr>
        <w:t>，</w:t>
      </w:r>
      <w:r>
        <w:rPr>
          <w:color w:val="000000" w:themeColor="text1"/>
        </w:rPr>
        <w:t>NO</w:t>
      </w:r>
      <w:r>
        <w:rPr>
          <w:color w:val="000000" w:themeColor="text1"/>
          <w:vertAlign w:val="subscript"/>
        </w:rPr>
        <w:t>x</w:t>
      </w:r>
      <w:r>
        <w:rPr>
          <w:color w:val="000000" w:themeColor="text1"/>
        </w:rPr>
        <w:t>300mg/m³</w:t>
      </w:r>
      <w:r>
        <w:rPr>
          <w:rFonts w:hint="eastAsia" w:hAnsi="宋体"/>
          <w:color w:val="000000" w:themeColor="text1"/>
        </w:rPr>
        <w:t>）。则项目在运营期锅炉废气污染物排放浓度满足该标准要求，锅炉烟气中烟尘、</w:t>
      </w:r>
      <w:r>
        <w:rPr>
          <w:bCs/>
          <w:color w:val="000000" w:themeColor="text1"/>
        </w:rPr>
        <w:t>SO</w:t>
      </w:r>
      <w:r>
        <w:rPr>
          <w:bCs/>
          <w:color w:val="000000" w:themeColor="text1"/>
          <w:vertAlign w:val="subscript"/>
        </w:rPr>
        <w:t>2</w:t>
      </w:r>
      <w:r>
        <w:rPr>
          <w:rFonts w:hint="eastAsia" w:hAnsi="宋体"/>
          <w:bCs/>
          <w:color w:val="000000" w:themeColor="text1"/>
        </w:rPr>
        <w:t>、氮氧化物完全可达标排放。</w:t>
      </w:r>
      <w:r>
        <w:rPr>
          <w:rFonts w:hint="eastAsia" w:hAnsi="宋体"/>
          <w:color w:val="000000" w:themeColor="text1"/>
        </w:rPr>
        <w:t>本</w:t>
      </w:r>
      <w:r>
        <w:rPr>
          <w:rFonts w:hint="eastAsia" w:hAnsi="宋体"/>
          <w:bCs/>
          <w:color w:val="000000" w:themeColor="text1"/>
        </w:rPr>
        <w:t>环评要求本项目排气筒高度</w:t>
      </w:r>
      <w:r>
        <w:rPr>
          <w:rFonts w:hint="eastAsia"/>
          <w:color w:val="000000" w:themeColor="text1"/>
        </w:rPr>
        <w:t>不低于</w:t>
      </w:r>
      <w:r>
        <w:rPr>
          <w:color w:val="000000" w:themeColor="text1"/>
        </w:rPr>
        <w:t>15m</w:t>
      </w:r>
      <w:r>
        <w:rPr>
          <w:rFonts w:hint="eastAsia"/>
          <w:color w:val="000000" w:themeColor="text1"/>
        </w:rPr>
        <w:t>。</w:t>
      </w:r>
    </w:p>
    <w:p>
      <w:pPr>
        <w:ind w:firstLine="480"/>
        <w:rPr>
          <w:color w:val="000000" w:themeColor="text1"/>
        </w:rPr>
      </w:pPr>
      <w:r>
        <w:rPr>
          <w:rFonts w:hint="eastAsia"/>
          <w:color w:val="000000" w:themeColor="text1"/>
        </w:rPr>
        <w:t>3、焚烧炉废气污染物</w:t>
      </w:r>
    </w:p>
    <w:p>
      <w:pPr>
        <w:ind w:firstLine="480"/>
        <w:rPr>
          <w:color w:val="000000" w:themeColor="text1"/>
        </w:rPr>
      </w:pPr>
      <w:r>
        <w:rPr>
          <w:rFonts w:hint="eastAsia"/>
          <w:color w:val="000000" w:themeColor="text1"/>
        </w:rPr>
        <w:t>本屠宰场生产过程中产生的病死猪（鸡）尸体、不合格产品、碎骨肉等废物采用一体化无害化焚烧炉处理。焚烧炉会产生焚烧尾气，主要如下：</w:t>
      </w:r>
    </w:p>
    <w:p>
      <w:pPr>
        <w:ind w:firstLine="480"/>
        <w:rPr>
          <w:color w:val="000000" w:themeColor="text1"/>
        </w:rPr>
      </w:pPr>
      <w:r>
        <w:rPr>
          <w:rFonts w:hint="eastAsia"/>
          <w:color w:val="000000" w:themeColor="text1"/>
        </w:rPr>
        <w:t>（1）烟尘、</w:t>
      </w:r>
      <w:r>
        <w:rPr>
          <w:color w:val="000000" w:themeColor="text1"/>
        </w:rPr>
        <w:t>SO</w:t>
      </w:r>
      <w:r>
        <w:rPr>
          <w:color w:val="000000" w:themeColor="text1"/>
          <w:vertAlign w:val="subscript"/>
        </w:rPr>
        <w:t>2</w:t>
      </w:r>
      <w:r>
        <w:rPr>
          <w:rFonts w:hint="eastAsia"/>
          <w:color w:val="000000" w:themeColor="text1"/>
        </w:rPr>
        <w:t>、</w:t>
      </w:r>
      <w:r>
        <w:rPr>
          <w:color w:val="000000" w:themeColor="text1"/>
        </w:rPr>
        <w:t>NOx</w:t>
      </w:r>
    </w:p>
    <w:p>
      <w:pPr>
        <w:ind w:firstLine="480"/>
        <w:rPr>
          <w:color w:val="000000" w:themeColor="text1"/>
        </w:rPr>
      </w:pPr>
      <w:r>
        <w:rPr>
          <w:rFonts w:hint="eastAsia"/>
          <w:color w:val="000000" w:themeColor="text1"/>
        </w:rPr>
        <w:t>本项目拟使用的焚烧炉焚烧温度最低为</w:t>
      </w:r>
      <w:r>
        <w:rPr>
          <w:color w:val="000000" w:themeColor="text1"/>
        </w:rPr>
        <w:t>650℃</w:t>
      </w:r>
      <w:r>
        <w:rPr>
          <w:rFonts w:hint="eastAsia"/>
          <w:color w:val="000000" w:themeColor="text1"/>
        </w:rPr>
        <w:t>，而二噁英产生的温度在</w:t>
      </w:r>
      <w:r>
        <w:rPr>
          <w:color w:val="000000" w:themeColor="text1"/>
        </w:rPr>
        <w:t>300~400℃</w:t>
      </w:r>
      <w:r>
        <w:rPr>
          <w:rFonts w:hint="eastAsia"/>
          <w:color w:val="000000" w:themeColor="text1"/>
        </w:rPr>
        <w:t>之间，且二噁英的主要来源是含氯物质的燃烧所致，而项目产生的运输及待宰过程的死鸡和屠宰过程产生的内脏等主要成分为蛋白质、脂肪、碳水化合物、钙、铁、磷及其他微量元素，几乎不含有氯元素，所以，本项目使用焚烧炉焚烧运输及待宰过程的死鸡和屠宰过程产生的内脏不会产生二噁英。焚烧过程中采用柴油助燃，因此产生的烟气里含有烟尘和酸性气体（包括</w:t>
      </w:r>
      <w:r>
        <w:rPr>
          <w:color w:val="000000" w:themeColor="text1"/>
        </w:rPr>
        <w:t>SO</w:t>
      </w:r>
      <w:r>
        <w:rPr>
          <w:color w:val="000000" w:themeColor="text1"/>
          <w:vertAlign w:val="subscript"/>
        </w:rPr>
        <w:t>2</w:t>
      </w:r>
      <w:r>
        <w:rPr>
          <w:rFonts w:hint="eastAsia"/>
          <w:color w:val="000000" w:themeColor="text1"/>
        </w:rPr>
        <w:t>、氮氧化物等）等，会对大气环境产生污染。</w:t>
      </w:r>
    </w:p>
    <w:p>
      <w:pPr>
        <w:ind w:firstLine="480"/>
        <w:rPr>
          <w:color w:val="000000" w:themeColor="text1"/>
        </w:rPr>
      </w:pPr>
      <w:r>
        <w:rPr>
          <w:rFonts w:hint="eastAsia"/>
          <w:color w:val="000000" w:themeColor="text1"/>
        </w:rPr>
        <w:t>根据查阅《动物尸体破碎处理工艺及焚烧过程环境影响研究报告》，采用柴油作为燃料焚烧动物尸体时，产生的烟尘按</w:t>
      </w:r>
      <w:r>
        <w:rPr>
          <w:color w:val="000000" w:themeColor="text1"/>
        </w:rPr>
        <w:t>1.95g/kg</w:t>
      </w:r>
      <w:r>
        <w:rPr>
          <w:rFonts w:hint="eastAsia"/>
          <w:color w:val="000000" w:themeColor="text1"/>
        </w:rPr>
        <w:t>的焚烧量计，</w:t>
      </w:r>
      <w:r>
        <w:rPr>
          <w:color w:val="000000" w:themeColor="text1"/>
        </w:rPr>
        <w:t>SO</w:t>
      </w:r>
      <w:r>
        <w:rPr>
          <w:color w:val="000000" w:themeColor="text1"/>
          <w:vertAlign w:val="subscript"/>
        </w:rPr>
        <w:t>2</w:t>
      </w:r>
      <w:r>
        <w:rPr>
          <w:rFonts w:hint="eastAsia"/>
          <w:color w:val="000000" w:themeColor="text1"/>
        </w:rPr>
        <w:t>产生量按</w:t>
      </w:r>
      <w:r>
        <w:rPr>
          <w:color w:val="000000" w:themeColor="text1"/>
        </w:rPr>
        <w:t>0.1g/kg</w:t>
      </w:r>
      <w:r>
        <w:rPr>
          <w:rFonts w:hint="eastAsia"/>
          <w:color w:val="000000" w:themeColor="text1"/>
        </w:rPr>
        <w:t>的焚烧量计，</w:t>
      </w:r>
      <w:r>
        <w:rPr>
          <w:color w:val="000000" w:themeColor="text1"/>
        </w:rPr>
        <w:t>NOx</w:t>
      </w:r>
      <w:r>
        <w:rPr>
          <w:rFonts w:hint="eastAsia"/>
          <w:color w:val="000000" w:themeColor="text1"/>
        </w:rPr>
        <w:t>产生量按</w:t>
      </w:r>
      <w:r>
        <w:rPr>
          <w:color w:val="000000" w:themeColor="text1"/>
        </w:rPr>
        <w:t>3.2g/kg</w:t>
      </w:r>
      <w:r>
        <w:rPr>
          <w:rFonts w:hint="eastAsia"/>
          <w:color w:val="000000" w:themeColor="text1"/>
        </w:rPr>
        <w:t>的焚烧量计，可不再单独计算柴油产生的污染物。项目产生的运输及待宰过程的死猪（鸡）和屠宰过程产生的不可食内脏、不合格胴体、碎肉等采用焚烧处理，焚烧量为141.45</w:t>
      </w:r>
      <w:r>
        <w:rPr>
          <w:color w:val="000000" w:themeColor="text1"/>
        </w:rPr>
        <w:t>t/a</w:t>
      </w:r>
      <w:r>
        <w:rPr>
          <w:rFonts w:hint="eastAsia"/>
          <w:color w:val="000000" w:themeColor="text1"/>
        </w:rPr>
        <w:t>，则焚烧炉烟尘产生量为</w:t>
      </w:r>
      <w:r>
        <w:rPr>
          <w:color w:val="000000" w:themeColor="text1"/>
        </w:rPr>
        <w:t>0.</w:t>
      </w:r>
      <w:r>
        <w:rPr>
          <w:rFonts w:hint="eastAsia"/>
          <w:color w:val="000000" w:themeColor="text1"/>
        </w:rPr>
        <w:t>276</w:t>
      </w:r>
      <w:r>
        <w:rPr>
          <w:color w:val="000000" w:themeColor="text1"/>
        </w:rPr>
        <w:t>t/a</w:t>
      </w:r>
      <w:r>
        <w:rPr>
          <w:rFonts w:hint="eastAsia"/>
          <w:color w:val="000000" w:themeColor="text1"/>
        </w:rPr>
        <w:t>，</w:t>
      </w:r>
      <w:r>
        <w:rPr>
          <w:color w:val="000000" w:themeColor="text1"/>
        </w:rPr>
        <w:t>SO</w:t>
      </w:r>
      <w:r>
        <w:rPr>
          <w:color w:val="000000" w:themeColor="text1"/>
          <w:vertAlign w:val="subscript"/>
        </w:rPr>
        <w:t>2</w:t>
      </w:r>
      <w:r>
        <w:rPr>
          <w:rFonts w:hint="eastAsia"/>
          <w:color w:val="000000" w:themeColor="text1"/>
        </w:rPr>
        <w:t>产生量为0.014</w:t>
      </w:r>
      <w:r>
        <w:rPr>
          <w:color w:val="000000" w:themeColor="text1"/>
        </w:rPr>
        <w:t>t/a</w:t>
      </w:r>
      <w:r>
        <w:rPr>
          <w:rFonts w:hint="eastAsia"/>
          <w:color w:val="000000" w:themeColor="text1"/>
        </w:rPr>
        <w:t>，</w:t>
      </w:r>
      <w:r>
        <w:rPr>
          <w:color w:val="000000" w:themeColor="text1"/>
        </w:rPr>
        <w:t>NOx</w:t>
      </w:r>
      <w:r>
        <w:rPr>
          <w:rFonts w:hint="eastAsia"/>
          <w:color w:val="000000" w:themeColor="text1"/>
        </w:rPr>
        <w:t>产生量为0.453</w:t>
      </w:r>
      <w:r>
        <w:rPr>
          <w:color w:val="000000" w:themeColor="text1"/>
        </w:rPr>
        <w:t>t/a</w:t>
      </w:r>
      <w:r>
        <w:rPr>
          <w:rFonts w:hint="eastAsia"/>
          <w:color w:val="000000" w:themeColor="text1"/>
        </w:rPr>
        <w:t>。焚烧炉烟气经过风机抽排至布袋除尘器处理后通过2</w:t>
      </w:r>
      <w:r>
        <w:rPr>
          <w:color w:val="000000" w:themeColor="text1"/>
        </w:rPr>
        <w:t>5m</w:t>
      </w:r>
      <w:r>
        <w:rPr>
          <w:rFonts w:hint="eastAsia"/>
          <w:color w:val="000000" w:themeColor="text1"/>
        </w:rPr>
        <w:t>高排气筒排放，焚烧炉设置的风机风量为30</w:t>
      </w:r>
      <w:r>
        <w:rPr>
          <w:color w:val="000000" w:themeColor="text1"/>
        </w:rPr>
        <w:t>00m</w:t>
      </w:r>
      <w:r>
        <w:rPr>
          <w:color w:val="000000" w:themeColor="text1"/>
          <w:vertAlign w:val="superscript"/>
        </w:rPr>
        <w:t>3</w:t>
      </w:r>
      <w:r>
        <w:rPr>
          <w:color w:val="000000" w:themeColor="text1"/>
        </w:rPr>
        <w:t>/h</w:t>
      </w:r>
      <w:r>
        <w:rPr>
          <w:rFonts w:hint="eastAsia"/>
          <w:color w:val="000000" w:themeColor="text1"/>
        </w:rPr>
        <w:t>，风机工作状态为6</w:t>
      </w:r>
      <w:r>
        <w:rPr>
          <w:color w:val="000000" w:themeColor="text1"/>
        </w:rPr>
        <w:t>h/d</w:t>
      </w:r>
      <w:r>
        <w:rPr>
          <w:rFonts w:hint="eastAsia"/>
          <w:color w:val="000000" w:themeColor="text1"/>
        </w:rPr>
        <w:t>，100</w:t>
      </w:r>
      <w:r>
        <w:rPr>
          <w:color w:val="000000" w:themeColor="text1"/>
        </w:rPr>
        <w:t>d/a</w:t>
      </w:r>
      <w:r>
        <w:rPr>
          <w:rFonts w:hint="eastAsia"/>
          <w:color w:val="000000" w:themeColor="text1"/>
        </w:rPr>
        <w:t>，则项目废气量为180万</w:t>
      </w:r>
      <w:r>
        <w:rPr>
          <w:color w:val="000000" w:themeColor="text1"/>
        </w:rPr>
        <w:t>m</w:t>
      </w:r>
      <w:r>
        <w:rPr>
          <w:color w:val="000000" w:themeColor="text1"/>
          <w:vertAlign w:val="superscript"/>
        </w:rPr>
        <w:t>3</w:t>
      </w:r>
      <w:r>
        <w:rPr>
          <w:color w:val="000000" w:themeColor="text1"/>
        </w:rPr>
        <w:t>/a</w:t>
      </w:r>
      <w:r>
        <w:rPr>
          <w:rFonts w:hint="eastAsia"/>
          <w:color w:val="000000" w:themeColor="text1"/>
        </w:rPr>
        <w:t>。</w:t>
      </w:r>
      <w:r>
        <w:rPr>
          <w:rFonts w:hint="eastAsia"/>
          <w:bCs/>
          <w:color w:val="000000" w:themeColor="text1"/>
        </w:rPr>
        <w:t>则</w:t>
      </w:r>
      <w:r>
        <w:rPr>
          <w:rFonts w:hint="eastAsia"/>
          <w:color w:val="000000" w:themeColor="text1"/>
        </w:rPr>
        <w:t>项目焚烧炉烟尘产生量为</w:t>
      </w:r>
      <w:r>
        <w:rPr>
          <w:color w:val="000000" w:themeColor="text1"/>
        </w:rPr>
        <w:t>0.</w:t>
      </w:r>
      <w:r>
        <w:rPr>
          <w:rFonts w:hint="eastAsia"/>
          <w:color w:val="000000" w:themeColor="text1"/>
        </w:rPr>
        <w:t>276</w:t>
      </w:r>
      <w:r>
        <w:rPr>
          <w:color w:val="000000" w:themeColor="text1"/>
        </w:rPr>
        <w:t>t/a</w:t>
      </w:r>
      <w:r>
        <w:rPr>
          <w:rFonts w:hint="eastAsia"/>
          <w:color w:val="000000" w:themeColor="text1"/>
        </w:rPr>
        <w:t>，产生浓度为153</w:t>
      </w:r>
      <w:r>
        <w:rPr>
          <w:color w:val="000000" w:themeColor="text1"/>
        </w:rPr>
        <w:t>mg/m</w:t>
      </w:r>
      <w:r>
        <w:rPr>
          <w:color w:val="000000" w:themeColor="text1"/>
          <w:vertAlign w:val="superscript"/>
        </w:rPr>
        <w:t>3</w:t>
      </w:r>
      <w:r>
        <w:rPr>
          <w:rFonts w:hint="eastAsia"/>
          <w:color w:val="000000" w:themeColor="text1"/>
        </w:rPr>
        <w:t>，</w:t>
      </w:r>
      <w:r>
        <w:rPr>
          <w:color w:val="000000" w:themeColor="text1"/>
        </w:rPr>
        <w:t>SO</w:t>
      </w:r>
      <w:r>
        <w:rPr>
          <w:color w:val="000000" w:themeColor="text1"/>
          <w:vertAlign w:val="subscript"/>
        </w:rPr>
        <w:t>2</w:t>
      </w:r>
      <w:r>
        <w:rPr>
          <w:rFonts w:hint="eastAsia"/>
          <w:color w:val="000000" w:themeColor="text1"/>
        </w:rPr>
        <w:t>产生量为</w:t>
      </w:r>
      <w:r>
        <w:rPr>
          <w:color w:val="000000" w:themeColor="text1"/>
        </w:rPr>
        <w:t>0.0</w:t>
      </w:r>
      <w:r>
        <w:rPr>
          <w:rFonts w:hint="eastAsia"/>
          <w:color w:val="000000" w:themeColor="text1"/>
        </w:rPr>
        <w:t>14</w:t>
      </w:r>
      <w:r>
        <w:rPr>
          <w:color w:val="000000" w:themeColor="text1"/>
        </w:rPr>
        <w:t>t/a</w:t>
      </w:r>
      <w:r>
        <w:rPr>
          <w:rFonts w:hint="eastAsia"/>
          <w:color w:val="000000" w:themeColor="text1"/>
        </w:rPr>
        <w:t>，产生浓度为7.78</w:t>
      </w:r>
      <w:r>
        <w:rPr>
          <w:color w:val="000000" w:themeColor="text1"/>
        </w:rPr>
        <w:t>mg/m</w:t>
      </w:r>
      <w:r>
        <w:rPr>
          <w:color w:val="000000" w:themeColor="text1"/>
          <w:vertAlign w:val="superscript"/>
        </w:rPr>
        <w:t>3</w:t>
      </w:r>
      <w:r>
        <w:rPr>
          <w:rFonts w:hint="eastAsia"/>
          <w:color w:val="000000" w:themeColor="text1"/>
        </w:rPr>
        <w:t>，</w:t>
      </w:r>
      <w:r>
        <w:rPr>
          <w:color w:val="000000" w:themeColor="text1"/>
        </w:rPr>
        <w:t>NOx</w:t>
      </w:r>
      <w:r>
        <w:rPr>
          <w:rFonts w:hint="eastAsia"/>
          <w:color w:val="000000" w:themeColor="text1"/>
        </w:rPr>
        <w:t>产生量为</w:t>
      </w:r>
      <w:r>
        <w:rPr>
          <w:color w:val="000000" w:themeColor="text1"/>
        </w:rPr>
        <w:t>0.</w:t>
      </w:r>
      <w:r>
        <w:rPr>
          <w:rFonts w:hint="eastAsia"/>
          <w:color w:val="000000" w:themeColor="text1"/>
        </w:rPr>
        <w:t>453</w:t>
      </w:r>
      <w:r>
        <w:rPr>
          <w:color w:val="000000" w:themeColor="text1"/>
        </w:rPr>
        <w:t>t/a</w:t>
      </w:r>
      <w:r>
        <w:rPr>
          <w:rFonts w:hint="eastAsia"/>
          <w:color w:val="000000" w:themeColor="text1"/>
        </w:rPr>
        <w:t>，产生浓度为251.67</w:t>
      </w:r>
      <w:r>
        <w:rPr>
          <w:color w:val="000000" w:themeColor="text1"/>
        </w:rPr>
        <w:t>mg/m</w:t>
      </w:r>
      <w:r>
        <w:rPr>
          <w:color w:val="000000" w:themeColor="text1"/>
          <w:vertAlign w:val="superscript"/>
        </w:rPr>
        <w:t>3</w:t>
      </w:r>
      <w:r>
        <w:rPr>
          <w:rFonts w:hint="eastAsia"/>
          <w:color w:val="000000" w:themeColor="text1"/>
        </w:rPr>
        <w:t>，焚烧烟气采用布袋除尘器进行治理，除尘效率可达 95%以上。考虑到焚烧温度较高，影响布袋的处理效果，因此在布袋前设置一个急冷装置。故焚烧炉产生的废气由急冷装置处理后引风机引至布袋除尘器（除尘效率≥95%）处理后经不小于25m的排气筒排放</w:t>
      </w:r>
      <w:r>
        <w:rPr>
          <w:rFonts w:hint="eastAsia"/>
          <w:bCs/>
          <w:color w:val="000000" w:themeColor="text1"/>
        </w:rPr>
        <w:t>，</w:t>
      </w:r>
      <w:r>
        <w:rPr>
          <w:rFonts w:hint="eastAsia"/>
          <w:color w:val="000000" w:themeColor="text1"/>
        </w:rPr>
        <w:t>经处理后烟尘排放量为</w:t>
      </w:r>
      <w:r>
        <w:rPr>
          <w:color w:val="000000" w:themeColor="text1"/>
        </w:rPr>
        <w:t>0.0</w:t>
      </w:r>
      <w:r>
        <w:rPr>
          <w:rFonts w:hint="eastAsia"/>
          <w:color w:val="000000" w:themeColor="text1"/>
        </w:rPr>
        <w:t>134</w:t>
      </w:r>
      <w:r>
        <w:rPr>
          <w:color w:val="000000" w:themeColor="text1"/>
        </w:rPr>
        <w:t>t/a</w:t>
      </w:r>
      <w:r>
        <w:rPr>
          <w:rFonts w:hint="eastAsia"/>
          <w:color w:val="000000" w:themeColor="text1"/>
        </w:rPr>
        <w:t>，排放浓度为</w:t>
      </w:r>
      <w:r>
        <w:rPr>
          <w:color w:val="000000" w:themeColor="text1"/>
          <w:kern w:val="0"/>
        </w:rPr>
        <w:t>7.65</w:t>
      </w:r>
      <w:r>
        <w:rPr>
          <w:color w:val="000000" w:themeColor="text1"/>
        </w:rPr>
        <w:t>mg/m</w:t>
      </w:r>
      <w:r>
        <w:rPr>
          <w:color w:val="000000" w:themeColor="text1"/>
          <w:vertAlign w:val="superscript"/>
        </w:rPr>
        <w:t>3</w:t>
      </w:r>
      <w:r>
        <w:rPr>
          <w:rFonts w:hint="eastAsia"/>
          <w:color w:val="000000" w:themeColor="text1"/>
        </w:rPr>
        <w:t>，</w:t>
      </w:r>
      <w:r>
        <w:rPr>
          <w:color w:val="000000" w:themeColor="text1"/>
        </w:rPr>
        <w:t>SO</w:t>
      </w:r>
      <w:r>
        <w:rPr>
          <w:color w:val="000000" w:themeColor="text1"/>
          <w:vertAlign w:val="subscript"/>
        </w:rPr>
        <w:t>2</w:t>
      </w:r>
      <w:r>
        <w:rPr>
          <w:rFonts w:hint="eastAsia"/>
          <w:color w:val="000000" w:themeColor="text1"/>
        </w:rPr>
        <w:t>排放量为0.014</w:t>
      </w:r>
      <w:r>
        <w:rPr>
          <w:color w:val="000000" w:themeColor="text1"/>
        </w:rPr>
        <w:t>t/a</w:t>
      </w:r>
      <w:r>
        <w:rPr>
          <w:rFonts w:hint="eastAsia"/>
          <w:color w:val="000000" w:themeColor="text1"/>
        </w:rPr>
        <w:t>，排放浓度为7.78</w:t>
      </w:r>
      <w:r>
        <w:rPr>
          <w:color w:val="000000" w:themeColor="text1"/>
        </w:rPr>
        <w:t>mg/m</w:t>
      </w:r>
      <w:r>
        <w:rPr>
          <w:color w:val="000000" w:themeColor="text1"/>
          <w:vertAlign w:val="superscript"/>
        </w:rPr>
        <w:t>3</w:t>
      </w:r>
      <w:r>
        <w:rPr>
          <w:rFonts w:hint="eastAsia"/>
          <w:color w:val="000000" w:themeColor="text1"/>
        </w:rPr>
        <w:t>，</w:t>
      </w:r>
      <w:r>
        <w:rPr>
          <w:color w:val="000000" w:themeColor="text1"/>
        </w:rPr>
        <w:t>NOx</w:t>
      </w:r>
      <w:r>
        <w:rPr>
          <w:rFonts w:hint="eastAsia"/>
          <w:color w:val="000000" w:themeColor="text1"/>
        </w:rPr>
        <w:t>排放量为</w:t>
      </w:r>
      <w:r>
        <w:rPr>
          <w:color w:val="000000" w:themeColor="text1"/>
        </w:rPr>
        <w:t>0.</w:t>
      </w:r>
      <w:r>
        <w:rPr>
          <w:rFonts w:hint="eastAsia"/>
          <w:color w:val="000000" w:themeColor="text1"/>
        </w:rPr>
        <w:t>453</w:t>
      </w:r>
      <w:r>
        <w:rPr>
          <w:color w:val="000000" w:themeColor="text1"/>
        </w:rPr>
        <w:t>t/a</w:t>
      </w:r>
      <w:r>
        <w:rPr>
          <w:rFonts w:hint="eastAsia"/>
          <w:color w:val="000000" w:themeColor="text1"/>
        </w:rPr>
        <w:t>，排放浓度为251.67</w:t>
      </w:r>
      <w:r>
        <w:rPr>
          <w:color w:val="000000" w:themeColor="text1"/>
        </w:rPr>
        <w:t>mg/m</w:t>
      </w:r>
      <w:r>
        <w:rPr>
          <w:color w:val="000000" w:themeColor="text1"/>
          <w:vertAlign w:val="superscript"/>
        </w:rPr>
        <w:t>3</w:t>
      </w:r>
      <w:r>
        <w:rPr>
          <w:rFonts w:hint="eastAsia"/>
          <w:color w:val="000000" w:themeColor="text1"/>
        </w:rPr>
        <w:t>。</w:t>
      </w:r>
    </w:p>
    <w:p>
      <w:pPr>
        <w:ind w:firstLine="480"/>
        <w:rPr>
          <w:color w:val="000000" w:themeColor="text1"/>
        </w:rPr>
      </w:pPr>
      <w:r>
        <w:rPr>
          <w:rFonts w:hint="eastAsia"/>
          <w:color w:val="000000" w:themeColor="text1"/>
        </w:rPr>
        <w:t>根据上述计算，焚烧炉废气经布袋除尘系统处理后，尾气排放情况分析见表2.7.2-7。</w:t>
      </w:r>
    </w:p>
    <w:p>
      <w:pPr>
        <w:pStyle w:val="54"/>
        <w:rPr>
          <w:color w:val="000000" w:themeColor="text1"/>
        </w:rPr>
      </w:pPr>
      <w:bookmarkStart w:id="55" w:name="_Ref364169180"/>
      <w:r>
        <w:rPr>
          <w:rFonts w:hint="eastAsia"/>
          <w:color w:val="000000" w:themeColor="text1"/>
        </w:rPr>
        <w:t>表</w:t>
      </w:r>
      <w:bookmarkEnd w:id="55"/>
      <w:r>
        <w:rPr>
          <w:rFonts w:hint="eastAsia"/>
          <w:color w:val="000000" w:themeColor="text1"/>
        </w:rPr>
        <w:t>2.7.2-7</w:t>
      </w:r>
      <w:r>
        <w:rPr>
          <w:color w:val="000000" w:themeColor="text1"/>
        </w:rPr>
        <w:t xml:space="preserve"> </w:t>
      </w:r>
      <w:r>
        <w:rPr>
          <w:rFonts w:hint="eastAsia"/>
          <w:color w:val="000000" w:themeColor="text1"/>
        </w:rPr>
        <w:t xml:space="preserve">   焚烧炉废气治理情况表</w:t>
      </w:r>
    </w:p>
    <w:tbl>
      <w:tblPr>
        <w:tblStyle w:val="42"/>
        <w:tblW w:w="88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851"/>
        <w:gridCol w:w="895"/>
        <w:gridCol w:w="992"/>
        <w:gridCol w:w="992"/>
        <w:gridCol w:w="993"/>
        <w:gridCol w:w="992"/>
        <w:gridCol w:w="992"/>
        <w:gridCol w:w="7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4" w:hRule="atLeast"/>
          <w:jc w:val="center"/>
        </w:trPr>
        <w:tc>
          <w:tcPr>
            <w:tcW w:w="68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污染源名称</w:t>
            </w: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污染物名称</w:t>
            </w:r>
          </w:p>
        </w:tc>
        <w:tc>
          <w:tcPr>
            <w:tcW w:w="89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产生量（t</w:t>
            </w:r>
            <w:r>
              <w:rPr>
                <w:color w:val="000000" w:themeColor="text1"/>
              </w:rPr>
              <w:t>/</w:t>
            </w:r>
            <w:r>
              <w:rPr>
                <w:rFonts w:hint="eastAsia"/>
                <w:color w:val="000000" w:themeColor="text1"/>
              </w:rPr>
              <w:t>a）</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产生浓度(</w:t>
            </w:r>
            <w:r>
              <w:rPr>
                <w:color w:val="000000" w:themeColor="text1"/>
              </w:rPr>
              <w:t>mg/m</w:t>
            </w:r>
            <w:r>
              <w:rPr>
                <w:color w:val="000000" w:themeColor="text1"/>
                <w:vertAlign w:val="superscript"/>
              </w:rPr>
              <w:t>3</w:t>
            </w:r>
            <w:r>
              <w:rPr>
                <w:rFonts w:hint="eastAsia"/>
                <w:color w:val="000000" w:themeColor="text1"/>
              </w:rPr>
              <w:t>)</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治理措施及效率</w:t>
            </w:r>
            <w:r>
              <w:rPr>
                <w:color w:val="000000" w:themeColor="text1"/>
              </w:rPr>
              <w:t>%</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排放量</w:t>
            </w:r>
            <w:r>
              <w:rPr>
                <w:color w:val="000000" w:themeColor="text1"/>
              </w:rPr>
              <w:t>(t/a)</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排放浓度</w:t>
            </w:r>
            <w:r>
              <w:rPr>
                <w:color w:val="000000" w:themeColor="text1"/>
              </w:rPr>
              <w:t>(mg/m</w:t>
            </w:r>
            <w:r>
              <w:rPr>
                <w:color w:val="000000" w:themeColor="text1"/>
                <w:vertAlign w:val="superscript"/>
              </w:rPr>
              <w:t>3</w:t>
            </w:r>
            <w:r>
              <w:rPr>
                <w:color w:val="000000" w:themeColor="text1"/>
              </w:rPr>
              <w:t>)</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排放标准</w:t>
            </w:r>
          </w:p>
          <w:p>
            <w:pPr>
              <w:pStyle w:val="55"/>
              <w:rPr>
                <w:color w:val="000000" w:themeColor="text1"/>
              </w:rPr>
            </w:pPr>
            <w:r>
              <w:rPr>
                <w:rFonts w:hint="eastAsia"/>
                <w:color w:val="000000" w:themeColor="text1"/>
              </w:rPr>
              <w:t>(</w:t>
            </w:r>
            <w:r>
              <w:rPr>
                <w:color w:val="000000" w:themeColor="text1"/>
              </w:rPr>
              <w:t>mg/m</w:t>
            </w:r>
            <w:r>
              <w:rPr>
                <w:color w:val="000000" w:themeColor="text1"/>
                <w:vertAlign w:val="superscript"/>
              </w:rPr>
              <w:t>3</w:t>
            </w:r>
            <w:r>
              <w:rPr>
                <w:rFonts w:hint="eastAsia"/>
                <w:color w:val="000000" w:themeColor="text1"/>
              </w:rPr>
              <w:t>)</w:t>
            </w:r>
          </w:p>
        </w:tc>
        <w:tc>
          <w:tcPr>
            <w:tcW w:w="709"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排气筒高度</w:t>
            </w:r>
          </w:p>
        </w:tc>
        <w:tc>
          <w:tcPr>
            <w:tcW w:w="70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87"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焚烧炉废气</w:t>
            </w: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颗粒物</w:t>
            </w:r>
          </w:p>
        </w:tc>
        <w:tc>
          <w:tcPr>
            <w:tcW w:w="89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0.276</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rPr>
              <w:t>153</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95</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0.0134</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rPr>
              <w:t>7.65</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w:t>
            </w:r>
            <w:r>
              <w:rPr>
                <w:color w:val="000000" w:themeColor="text1"/>
              </w:rPr>
              <w:t>5m</w:t>
            </w:r>
          </w:p>
        </w:tc>
        <w:tc>
          <w:tcPr>
            <w:tcW w:w="70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8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SO</w:t>
            </w:r>
            <w:r>
              <w:rPr>
                <w:color w:val="000000" w:themeColor="text1"/>
                <w:vertAlign w:val="subscript"/>
              </w:rPr>
              <w:t>2</w:t>
            </w:r>
          </w:p>
        </w:tc>
        <w:tc>
          <w:tcPr>
            <w:tcW w:w="89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0.014</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rPr>
              <w:t>7.78</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0.014</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rPr>
              <w:t>7.78</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400</w:t>
            </w: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8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NOx</w:t>
            </w:r>
          </w:p>
        </w:tc>
        <w:tc>
          <w:tcPr>
            <w:tcW w:w="89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0.453</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rPr>
              <w:t>251.67</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0.453</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rPr>
              <w:t>251.67</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500</w:t>
            </w: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达标</w:t>
            </w:r>
          </w:p>
        </w:tc>
      </w:tr>
    </w:tbl>
    <w:p>
      <w:pPr>
        <w:ind w:firstLine="480"/>
        <w:rPr>
          <w:color w:val="000000" w:themeColor="text1"/>
        </w:rPr>
      </w:pPr>
      <w:r>
        <w:rPr>
          <w:rFonts w:hint="eastAsia"/>
          <w:color w:val="000000" w:themeColor="text1"/>
        </w:rPr>
        <w:t>根据上表可知，在为焚烧炉安装尾气处理装置后，通过25</w:t>
      </w:r>
      <w:r>
        <w:rPr>
          <w:color w:val="000000" w:themeColor="text1"/>
        </w:rPr>
        <w:t>m</w:t>
      </w:r>
      <w:r>
        <w:rPr>
          <w:rFonts w:hint="eastAsia"/>
          <w:color w:val="000000" w:themeColor="text1"/>
        </w:rPr>
        <w:t>高排气筒排放，能有效去除烟尘，对排放废气起到净化作用，经处理后废气中烟尘、</w:t>
      </w:r>
      <w:r>
        <w:rPr>
          <w:color w:val="000000" w:themeColor="text1"/>
        </w:rPr>
        <w:t>SO</w:t>
      </w:r>
      <w:r>
        <w:rPr>
          <w:color w:val="000000" w:themeColor="text1"/>
          <w:vertAlign w:val="subscript"/>
        </w:rPr>
        <w:t>2</w:t>
      </w:r>
      <w:r>
        <w:rPr>
          <w:rFonts w:hint="eastAsia"/>
          <w:color w:val="000000" w:themeColor="text1"/>
        </w:rPr>
        <w:t>及</w:t>
      </w:r>
      <w:r>
        <w:rPr>
          <w:color w:val="000000" w:themeColor="text1"/>
        </w:rPr>
        <w:t>NOx</w:t>
      </w:r>
      <w:r>
        <w:rPr>
          <w:rFonts w:hint="eastAsia"/>
          <w:color w:val="000000" w:themeColor="text1"/>
        </w:rPr>
        <w:t>的排放能达到《危险废物焚烧污染控制标准》（GB18484-2001）表 3 中标准限值（即烟尘≤100</w:t>
      </w:r>
      <w:r>
        <w:rPr>
          <w:color w:val="000000" w:themeColor="text1"/>
        </w:rPr>
        <w:t xml:space="preserve"> mg/m</w:t>
      </w:r>
      <w:r>
        <w:rPr>
          <w:color w:val="000000" w:themeColor="text1"/>
          <w:vertAlign w:val="superscript"/>
        </w:rPr>
        <w:t>3</w:t>
      </w:r>
      <w:r>
        <w:rPr>
          <w:rFonts w:hint="eastAsia"/>
          <w:color w:val="000000" w:themeColor="text1"/>
        </w:rPr>
        <w:t>，</w:t>
      </w:r>
      <w:r>
        <w:rPr>
          <w:color w:val="000000" w:themeColor="text1"/>
        </w:rPr>
        <w:t>SO</w:t>
      </w:r>
      <w:r>
        <w:rPr>
          <w:color w:val="000000" w:themeColor="text1"/>
          <w:vertAlign w:val="subscript"/>
        </w:rPr>
        <w:t>2</w:t>
      </w:r>
      <w:r>
        <w:rPr>
          <w:rFonts w:hint="eastAsia"/>
          <w:color w:val="000000" w:themeColor="text1"/>
        </w:rPr>
        <w:t>≤400</w:t>
      </w:r>
      <w:r>
        <w:rPr>
          <w:color w:val="000000" w:themeColor="text1"/>
        </w:rPr>
        <w:t xml:space="preserve"> mg/m</w:t>
      </w:r>
      <w:r>
        <w:rPr>
          <w:color w:val="000000" w:themeColor="text1"/>
          <w:vertAlign w:val="superscript"/>
        </w:rPr>
        <w:t>3</w:t>
      </w:r>
      <w:r>
        <w:rPr>
          <w:rFonts w:hint="eastAsia"/>
          <w:color w:val="000000" w:themeColor="text1"/>
        </w:rPr>
        <w:t>，</w:t>
      </w:r>
      <w:r>
        <w:rPr>
          <w:color w:val="000000" w:themeColor="text1"/>
        </w:rPr>
        <w:t>NOx</w:t>
      </w:r>
      <w:r>
        <w:rPr>
          <w:rFonts w:hint="eastAsia"/>
          <w:color w:val="000000" w:themeColor="text1"/>
        </w:rPr>
        <w:t>≤500</w:t>
      </w:r>
      <w:r>
        <w:rPr>
          <w:color w:val="000000" w:themeColor="text1"/>
        </w:rPr>
        <w:t xml:space="preserve"> mg/m</w:t>
      </w:r>
      <w:r>
        <w:rPr>
          <w:color w:val="000000" w:themeColor="text1"/>
          <w:vertAlign w:val="superscript"/>
        </w:rPr>
        <w:t>3</w:t>
      </w:r>
      <w:r>
        <w:rPr>
          <w:rFonts w:hint="eastAsia"/>
          <w:color w:val="000000" w:themeColor="text1"/>
        </w:rPr>
        <w:t>）。</w:t>
      </w:r>
    </w:p>
    <w:p>
      <w:pPr>
        <w:ind w:firstLine="480"/>
        <w:rPr>
          <w:color w:val="000000" w:themeColor="text1"/>
        </w:rPr>
      </w:pPr>
      <w:r>
        <w:rPr>
          <w:rFonts w:hint="eastAsia"/>
          <w:color w:val="000000" w:themeColor="text1"/>
        </w:rPr>
        <w:t>（2）焚烧炉恶臭</w:t>
      </w:r>
    </w:p>
    <w:p>
      <w:pPr>
        <w:ind w:firstLine="480"/>
        <w:rPr>
          <w:color w:val="000000" w:themeColor="text1"/>
        </w:rPr>
      </w:pPr>
      <w:r>
        <w:rPr>
          <w:rFonts w:hint="eastAsia"/>
          <w:color w:val="000000" w:themeColor="text1"/>
        </w:rPr>
        <w:t>病死猪（鸡）尸体在焚烧炉一燃室内进行焚烧，恶臭气体浓度较大，焚烧炉为封闭系统，规范操作下，恶臭气体将不会从一燃室内逸出，混杂在烟气中，待烟气进入二燃室继续燃烧后，能将大部分恶臭气体消耗，烟气经二燃室焚烧后产生的恶臭气体外溢量很小。</w:t>
      </w:r>
    </w:p>
    <w:p>
      <w:pPr>
        <w:ind w:firstLine="480"/>
        <w:rPr>
          <w:color w:val="000000" w:themeColor="text1"/>
        </w:rPr>
      </w:pPr>
      <w:r>
        <w:rPr>
          <w:rFonts w:hint="eastAsia"/>
          <w:color w:val="000000" w:themeColor="text1"/>
        </w:rPr>
        <w:t>4、汽车尾气</w:t>
      </w:r>
    </w:p>
    <w:p>
      <w:pPr>
        <w:ind w:firstLine="480"/>
        <w:rPr>
          <w:color w:val="000000" w:themeColor="text1"/>
        </w:rPr>
      </w:pPr>
      <w:r>
        <w:rPr>
          <w:rFonts w:hint="eastAsia"/>
          <w:color w:val="000000" w:themeColor="text1"/>
        </w:rPr>
        <w:t>项目进出场车辆会产生汽车尾气，呈无组织排放，尾气污染物主要为</w:t>
      </w:r>
      <w:r>
        <w:rPr>
          <w:color w:val="000000" w:themeColor="text1"/>
        </w:rPr>
        <w:t>CO</w:t>
      </w:r>
      <w:r>
        <w:rPr>
          <w:rFonts w:hint="eastAsia"/>
          <w:color w:val="000000" w:themeColor="text1"/>
        </w:rPr>
        <w:t>、</w:t>
      </w:r>
      <w:r>
        <w:rPr>
          <w:color w:val="000000" w:themeColor="text1"/>
        </w:rPr>
        <w:t>CH</w:t>
      </w:r>
      <w:r>
        <w:rPr>
          <w:rFonts w:hint="eastAsia"/>
          <w:color w:val="000000" w:themeColor="text1"/>
        </w:rPr>
        <w:t>、</w:t>
      </w:r>
      <w:r>
        <w:rPr>
          <w:color w:val="000000" w:themeColor="text1"/>
        </w:rPr>
        <w:t>NOx</w:t>
      </w:r>
      <w:r>
        <w:rPr>
          <w:rFonts w:hint="eastAsia"/>
          <w:color w:val="000000" w:themeColor="text1"/>
        </w:rPr>
        <w:t>等，这部分废气不会持续产生，且产生量较小，尾气在经过厂区绿化吸收、空气稀释扩散后影响较小。</w:t>
      </w:r>
    </w:p>
    <w:p>
      <w:pPr>
        <w:ind w:firstLine="480"/>
        <w:rPr>
          <w:color w:val="000000" w:themeColor="text1"/>
        </w:rPr>
      </w:pPr>
      <w:r>
        <w:rPr>
          <w:rFonts w:hint="eastAsia"/>
          <w:color w:val="000000" w:themeColor="text1"/>
        </w:rPr>
        <w:t>5、制冷剂逸散废气</w:t>
      </w:r>
    </w:p>
    <w:p>
      <w:pPr>
        <w:ind w:firstLine="480"/>
        <w:rPr>
          <w:rFonts w:cs="Times New Roman"/>
          <w:color w:val="000000" w:themeColor="text1"/>
        </w:rPr>
      </w:pPr>
      <w:r>
        <w:rPr>
          <w:rFonts w:hint="eastAsia" w:cs="Times New Roman"/>
          <w:color w:val="000000" w:themeColor="text1"/>
        </w:rPr>
        <w:t>本项目冷库使用的制冷剂为氟利昂（R22）。</w:t>
      </w:r>
      <w:r>
        <w:rPr>
          <w:color w:val="000000" w:themeColor="text1"/>
          <w:szCs w:val="21"/>
        </w:rPr>
        <w:t>R22</w:t>
      </w:r>
      <w:r>
        <w:rPr>
          <w:rFonts w:hint="eastAsia"/>
          <w:color w:val="000000" w:themeColor="text1"/>
          <w:szCs w:val="21"/>
        </w:rPr>
        <w:t>在常温下为无色，近似无味的气体，不燃烧、不爆炸、无腐蚀，毒性比</w:t>
      </w:r>
      <w:r>
        <w:rPr>
          <w:color w:val="000000" w:themeColor="text1"/>
          <w:szCs w:val="21"/>
        </w:rPr>
        <w:t>R12</w:t>
      </w:r>
      <w:r>
        <w:rPr>
          <w:rFonts w:hint="eastAsia"/>
          <w:color w:val="000000" w:themeColor="text1"/>
          <w:szCs w:val="21"/>
        </w:rPr>
        <w:t>略大，但仍然是安全的</w:t>
      </w:r>
      <w:r>
        <w:fldChar w:fldCharType="begin"/>
      </w:r>
      <w:r>
        <w:instrText xml:space="preserve"> HYPERLINK "https://baike.so.com/doc/5511675-5747431.html" \t "https://baike.so.com/doc/_blank" </w:instrText>
      </w:r>
      <w:r>
        <w:fldChar w:fldCharType="separate"/>
      </w:r>
      <w:r>
        <w:rPr>
          <w:rStyle w:val="46"/>
          <w:rFonts w:hint="eastAsia"/>
          <w:color w:val="000000" w:themeColor="text1"/>
          <w:szCs w:val="21"/>
        </w:rPr>
        <w:t>制冷剂</w:t>
      </w:r>
      <w:r>
        <w:rPr>
          <w:rStyle w:val="46"/>
          <w:rFonts w:hint="eastAsia"/>
          <w:color w:val="000000" w:themeColor="text1"/>
          <w:szCs w:val="21"/>
        </w:rPr>
        <w:fldChar w:fldCharType="end"/>
      </w:r>
      <w:r>
        <w:rPr>
          <w:rFonts w:hint="eastAsia"/>
          <w:color w:val="000000" w:themeColor="text1"/>
          <w:szCs w:val="21"/>
        </w:rPr>
        <w:t>，安全分类为</w:t>
      </w:r>
      <w:r>
        <w:rPr>
          <w:color w:val="000000" w:themeColor="text1"/>
          <w:szCs w:val="21"/>
        </w:rPr>
        <w:t>A1</w:t>
      </w:r>
      <w:r>
        <w:rPr>
          <w:rFonts w:hint="eastAsia"/>
          <w:color w:val="000000" w:themeColor="text1"/>
          <w:szCs w:val="21"/>
        </w:rPr>
        <w:t>；加压可液化为无色透明的液体。</w:t>
      </w:r>
      <w:r>
        <w:rPr>
          <w:color w:val="000000" w:themeColor="text1"/>
          <w:szCs w:val="21"/>
        </w:rPr>
        <w:t>R22</w:t>
      </w:r>
      <w:r>
        <w:rPr>
          <w:rFonts w:hint="eastAsia"/>
          <w:color w:val="000000" w:themeColor="text1"/>
          <w:szCs w:val="21"/>
        </w:rPr>
        <w:t>的化学稳定性和热稳定性均很高，特别是在没有水份存在的情况下，在</w:t>
      </w:r>
      <w:r>
        <w:rPr>
          <w:color w:val="000000" w:themeColor="text1"/>
          <w:szCs w:val="21"/>
        </w:rPr>
        <w:t>200℃</w:t>
      </w:r>
      <w:r>
        <w:rPr>
          <w:rFonts w:hint="eastAsia"/>
          <w:color w:val="000000" w:themeColor="text1"/>
          <w:szCs w:val="21"/>
        </w:rPr>
        <w:t>以下与一般金属不起反应。在水存在时，仅与碱缓慢起作用。但在高温下会发生裂解。</w:t>
      </w:r>
      <w:r>
        <w:rPr>
          <w:color w:val="000000" w:themeColor="text1"/>
          <w:szCs w:val="21"/>
        </w:rPr>
        <w:t xml:space="preserve">R22 </w:t>
      </w:r>
      <w:r>
        <w:rPr>
          <w:rFonts w:hint="eastAsia"/>
          <w:color w:val="000000" w:themeColor="text1"/>
          <w:szCs w:val="21"/>
        </w:rPr>
        <w:t>是一种低温制冷剂，可得到</w:t>
      </w:r>
      <w:r>
        <w:rPr>
          <w:color w:val="000000" w:themeColor="text1"/>
          <w:szCs w:val="21"/>
        </w:rPr>
        <w:t>-80℃</w:t>
      </w:r>
      <w:r>
        <w:rPr>
          <w:rFonts w:hint="eastAsia"/>
          <w:color w:val="000000" w:themeColor="text1"/>
          <w:szCs w:val="21"/>
        </w:rPr>
        <w:t>的制冷温度</w:t>
      </w:r>
      <w:r>
        <w:rPr>
          <w:rFonts w:hint="eastAsia" w:cs="Times New Roman"/>
          <w:color w:val="000000" w:themeColor="text1"/>
        </w:rPr>
        <w:t>。其在制冷过程中会从各设备的接口、阀门等处逸散出Cl</w:t>
      </w:r>
      <w:r>
        <w:rPr>
          <w:rFonts w:hint="eastAsia" w:cs="Times New Roman"/>
          <w:color w:val="000000" w:themeColor="text1"/>
          <w:vertAlign w:val="subscript"/>
        </w:rPr>
        <w:t>2</w:t>
      </w:r>
      <w:r>
        <w:rPr>
          <w:rFonts w:hint="eastAsia" w:cs="Times New Roman"/>
          <w:color w:val="000000" w:themeColor="text1"/>
        </w:rPr>
        <w:t>，再经过太阳紫外线辐射游离出Cl离子，而O</w:t>
      </w:r>
      <w:r>
        <w:rPr>
          <w:rFonts w:hint="eastAsia" w:cs="Times New Roman"/>
          <w:color w:val="000000" w:themeColor="text1"/>
          <w:vertAlign w:val="subscript"/>
        </w:rPr>
        <w:t>3</w:t>
      </w:r>
      <w:r>
        <w:rPr>
          <w:rFonts w:hint="eastAsia" w:cs="Times New Roman"/>
          <w:color w:val="000000" w:themeColor="text1"/>
        </w:rPr>
        <w:t>与之反应后分解成O</w:t>
      </w:r>
      <w:r>
        <w:rPr>
          <w:rFonts w:hint="eastAsia" w:cs="Times New Roman"/>
          <w:color w:val="000000" w:themeColor="text1"/>
          <w:vertAlign w:val="subscript"/>
        </w:rPr>
        <w:t>2</w:t>
      </w:r>
      <w:r>
        <w:rPr>
          <w:rFonts w:hint="eastAsia" w:cs="Times New Roman"/>
          <w:color w:val="000000" w:themeColor="text1"/>
        </w:rPr>
        <w:t>，从而导致臭氧层被破坏。本项目R22制冷剂使用量约为0.5t/a，用量较小，其逸散的废气量较小。</w:t>
      </w:r>
    </w:p>
    <w:p>
      <w:pPr>
        <w:pStyle w:val="57"/>
        <w:ind w:firstLine="482"/>
        <w:rPr>
          <w:color w:val="000000" w:themeColor="text1"/>
        </w:rPr>
      </w:pPr>
      <w:r>
        <w:rPr>
          <w:rFonts w:hint="eastAsia"/>
          <w:color w:val="000000" w:themeColor="text1"/>
        </w:rPr>
        <w:t>2.7.2.2大气污染物排放量核算</w:t>
      </w:r>
    </w:p>
    <w:p>
      <w:pPr>
        <w:ind w:firstLine="480"/>
        <w:rPr>
          <w:rFonts w:cs="Times New Roman"/>
          <w:color w:val="000000" w:themeColor="text1"/>
        </w:rPr>
      </w:pPr>
      <w:r>
        <w:rPr>
          <w:rFonts w:hint="eastAsia" w:cs="Times New Roman"/>
          <w:color w:val="000000" w:themeColor="text1"/>
        </w:rPr>
        <w:t>1、有组织排放量核算</w:t>
      </w:r>
    </w:p>
    <w:p>
      <w:pPr>
        <w:ind w:firstLine="480"/>
        <w:rPr>
          <w:rFonts w:cs="Times New Roman"/>
          <w:color w:val="000000" w:themeColor="text1"/>
        </w:rPr>
      </w:pPr>
      <w:r>
        <w:rPr>
          <w:rFonts w:hint="eastAsia" w:cs="Times New Roman"/>
          <w:color w:val="000000" w:themeColor="text1"/>
        </w:rPr>
        <w:t>本项目有组织排放废气主要为锅炉废气、焚烧炉尾气，有组织排放量核算详见表2.7.2-8。</w:t>
      </w:r>
    </w:p>
    <w:p>
      <w:pPr>
        <w:pStyle w:val="54"/>
        <w:rPr>
          <w:color w:val="000000" w:themeColor="text1"/>
        </w:rPr>
      </w:pPr>
      <w:r>
        <w:rPr>
          <w:rFonts w:hint="eastAsia"/>
          <w:color w:val="000000" w:themeColor="text1"/>
        </w:rPr>
        <w:t>表2.7.2-8  项目大气污染物有组织排放量核算表</w:t>
      </w:r>
    </w:p>
    <w:tbl>
      <w:tblPr>
        <w:tblStyle w:val="43"/>
        <w:tblW w:w="847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75"/>
        <w:gridCol w:w="1276"/>
        <w:gridCol w:w="992"/>
        <w:gridCol w:w="2268"/>
        <w:gridCol w:w="1895"/>
        <w:gridCol w:w="136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pStyle w:val="55"/>
              <w:rPr>
                <w:rFonts w:cs="Times New Roman"/>
                <w:color w:val="000000" w:themeColor="text1"/>
              </w:rPr>
            </w:pPr>
            <w:r>
              <w:rPr>
                <w:rFonts w:cs="Times New Roman"/>
                <w:color w:val="000000" w:themeColor="text1"/>
              </w:rPr>
              <w:t>序号</w:t>
            </w:r>
          </w:p>
        </w:tc>
        <w:tc>
          <w:tcPr>
            <w:tcW w:w="1276" w:type="dxa"/>
            <w:vAlign w:val="center"/>
          </w:tcPr>
          <w:p>
            <w:pPr>
              <w:pStyle w:val="55"/>
              <w:rPr>
                <w:rFonts w:cs="Times New Roman"/>
                <w:color w:val="000000" w:themeColor="text1"/>
              </w:rPr>
            </w:pPr>
            <w:r>
              <w:rPr>
                <w:rFonts w:cs="Times New Roman"/>
                <w:color w:val="000000" w:themeColor="text1"/>
              </w:rPr>
              <w:t>排放口编号</w:t>
            </w:r>
          </w:p>
        </w:tc>
        <w:tc>
          <w:tcPr>
            <w:tcW w:w="992" w:type="dxa"/>
            <w:vAlign w:val="center"/>
          </w:tcPr>
          <w:p>
            <w:pPr>
              <w:pStyle w:val="55"/>
              <w:rPr>
                <w:rFonts w:cs="Times New Roman"/>
                <w:color w:val="000000" w:themeColor="text1"/>
              </w:rPr>
            </w:pPr>
            <w:r>
              <w:rPr>
                <w:rFonts w:cs="Times New Roman"/>
                <w:color w:val="000000" w:themeColor="text1"/>
              </w:rPr>
              <w:t>污染物</w:t>
            </w:r>
          </w:p>
        </w:tc>
        <w:tc>
          <w:tcPr>
            <w:tcW w:w="2268" w:type="dxa"/>
            <w:vAlign w:val="center"/>
          </w:tcPr>
          <w:p>
            <w:pPr>
              <w:pStyle w:val="55"/>
              <w:rPr>
                <w:rFonts w:cs="Times New Roman"/>
                <w:color w:val="000000" w:themeColor="text1"/>
              </w:rPr>
            </w:pPr>
            <w:r>
              <w:rPr>
                <w:rFonts w:cs="Times New Roman"/>
                <w:color w:val="000000" w:themeColor="text1"/>
              </w:rPr>
              <w:t>核算排放浓度/（μg/m</w:t>
            </w:r>
            <w:r>
              <w:rPr>
                <w:rFonts w:cs="Times New Roman"/>
                <w:color w:val="000000" w:themeColor="text1"/>
                <w:vertAlign w:val="superscript"/>
              </w:rPr>
              <w:t>3</w:t>
            </w:r>
            <w:r>
              <w:rPr>
                <w:rFonts w:cs="Times New Roman"/>
                <w:color w:val="000000" w:themeColor="text1"/>
              </w:rPr>
              <w:t>）</w:t>
            </w:r>
          </w:p>
        </w:tc>
        <w:tc>
          <w:tcPr>
            <w:tcW w:w="1895" w:type="dxa"/>
            <w:vAlign w:val="center"/>
          </w:tcPr>
          <w:p>
            <w:pPr>
              <w:pStyle w:val="55"/>
              <w:rPr>
                <w:rFonts w:cs="Times New Roman"/>
                <w:color w:val="000000" w:themeColor="text1"/>
              </w:rPr>
            </w:pPr>
            <w:r>
              <w:rPr>
                <w:rFonts w:cs="Times New Roman"/>
                <w:color w:val="000000" w:themeColor="text1"/>
              </w:rPr>
              <w:t>核算排放速率/（kg/h）</w:t>
            </w:r>
          </w:p>
        </w:tc>
        <w:tc>
          <w:tcPr>
            <w:tcW w:w="1366" w:type="dxa"/>
            <w:vAlign w:val="center"/>
          </w:tcPr>
          <w:p>
            <w:pPr>
              <w:pStyle w:val="55"/>
              <w:rPr>
                <w:rFonts w:cs="Times New Roman"/>
                <w:color w:val="000000" w:themeColor="text1"/>
              </w:rPr>
            </w:pPr>
            <w:r>
              <w:rPr>
                <w:rFonts w:cs="Times New Roman"/>
                <w:color w:val="000000" w:themeColor="text1"/>
              </w:rPr>
              <w:t>核算年排放量</w:t>
            </w:r>
            <w:r>
              <w:rPr>
                <w:rFonts w:hint="eastAsia" w:cs="Times New Roman"/>
                <w:color w:val="000000" w:themeColor="text1"/>
              </w:rPr>
              <w:t>/（t/a）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72" w:type="dxa"/>
            <w:gridSpan w:val="6"/>
            <w:vAlign w:val="center"/>
          </w:tcPr>
          <w:p>
            <w:pPr>
              <w:pStyle w:val="55"/>
              <w:rPr>
                <w:rFonts w:cs="Times New Roman"/>
                <w:color w:val="000000" w:themeColor="text1"/>
              </w:rPr>
            </w:pPr>
            <w:r>
              <w:rPr>
                <w:rFonts w:cs="Times New Roman"/>
                <w:color w:val="000000" w:themeColor="text1"/>
              </w:rPr>
              <w:t>主要排放口</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pStyle w:val="55"/>
              <w:rPr>
                <w:rFonts w:cs="Times New Roman"/>
                <w:color w:val="000000" w:themeColor="text1"/>
              </w:rPr>
            </w:pPr>
            <w:r>
              <w:rPr>
                <w:rFonts w:hint="eastAsia" w:cs="Times New Roman"/>
                <w:color w:val="000000" w:themeColor="text1"/>
              </w:rPr>
              <w:t>1</w:t>
            </w:r>
          </w:p>
        </w:tc>
        <w:tc>
          <w:tcPr>
            <w:tcW w:w="1276" w:type="dxa"/>
            <w:vMerge w:val="restart"/>
            <w:vAlign w:val="center"/>
          </w:tcPr>
          <w:p>
            <w:pPr>
              <w:pStyle w:val="55"/>
              <w:rPr>
                <w:rFonts w:cs="Times New Roman"/>
                <w:color w:val="000000" w:themeColor="text1"/>
              </w:rPr>
            </w:pPr>
            <w:r>
              <w:rPr>
                <w:rFonts w:hint="eastAsia" w:cs="Times New Roman"/>
                <w:color w:val="000000" w:themeColor="text1"/>
              </w:rPr>
              <w:t>1#排气筒（锅炉废气）</w:t>
            </w:r>
          </w:p>
        </w:tc>
        <w:tc>
          <w:tcPr>
            <w:tcW w:w="992" w:type="dxa"/>
            <w:vAlign w:val="center"/>
          </w:tcPr>
          <w:p>
            <w:pPr>
              <w:pStyle w:val="55"/>
              <w:rPr>
                <w:rFonts w:cs="Times New Roman"/>
                <w:color w:val="000000" w:themeColor="text1"/>
              </w:rPr>
            </w:pPr>
            <w:r>
              <w:rPr>
                <w:rFonts w:cs="Times New Roman"/>
                <w:color w:val="000000" w:themeColor="text1"/>
              </w:rPr>
              <w:t>颗粒物</w:t>
            </w:r>
          </w:p>
        </w:tc>
        <w:tc>
          <w:tcPr>
            <w:tcW w:w="2268" w:type="dxa"/>
            <w:vAlign w:val="center"/>
          </w:tcPr>
          <w:p>
            <w:pPr>
              <w:pStyle w:val="55"/>
              <w:rPr>
                <w:color w:val="000000" w:themeColor="text1"/>
              </w:rPr>
            </w:pPr>
            <w:r>
              <w:rPr>
                <w:rFonts w:hint="eastAsia"/>
                <w:color w:val="000000" w:themeColor="text1"/>
              </w:rPr>
              <w:t>21970</w:t>
            </w:r>
          </w:p>
        </w:tc>
        <w:tc>
          <w:tcPr>
            <w:tcW w:w="1895" w:type="dxa"/>
            <w:vAlign w:val="center"/>
          </w:tcPr>
          <w:p>
            <w:pPr>
              <w:pStyle w:val="55"/>
              <w:rPr>
                <w:rFonts w:cs="Times New Roman"/>
                <w:color w:val="000000" w:themeColor="text1"/>
              </w:rPr>
            </w:pPr>
            <w:r>
              <w:rPr>
                <w:rFonts w:hint="eastAsia" w:cs="Times New Roman"/>
                <w:color w:val="000000" w:themeColor="text1"/>
              </w:rPr>
              <w:t>0.011</w:t>
            </w:r>
          </w:p>
        </w:tc>
        <w:tc>
          <w:tcPr>
            <w:tcW w:w="1366" w:type="dxa"/>
            <w:vAlign w:val="center"/>
          </w:tcPr>
          <w:p>
            <w:pPr>
              <w:pStyle w:val="55"/>
              <w:rPr>
                <w:color w:val="000000" w:themeColor="text1"/>
              </w:rPr>
            </w:pPr>
            <w:r>
              <w:rPr>
                <w:color w:val="000000" w:themeColor="text1"/>
              </w:rPr>
              <w:t>0.031</w:t>
            </w:r>
            <w:r>
              <w:rPr>
                <w:rFonts w:hint="eastAsia"/>
                <w:color w:val="000000" w:themeColor="text1"/>
              </w:rPr>
              <w:t>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pStyle w:val="55"/>
              <w:rPr>
                <w:rFonts w:cs="Times New Roman"/>
                <w:color w:val="000000" w:themeColor="text1"/>
              </w:rPr>
            </w:pPr>
            <w:r>
              <w:rPr>
                <w:rFonts w:hint="eastAsia" w:cs="Times New Roman"/>
                <w:color w:val="000000" w:themeColor="text1"/>
              </w:rPr>
              <w:t>2</w:t>
            </w:r>
          </w:p>
        </w:tc>
        <w:tc>
          <w:tcPr>
            <w:tcW w:w="1276" w:type="dxa"/>
            <w:vMerge w:val="continue"/>
            <w:vAlign w:val="center"/>
          </w:tcPr>
          <w:p>
            <w:pPr>
              <w:pStyle w:val="55"/>
              <w:rPr>
                <w:rFonts w:cs="Times New Roman"/>
                <w:color w:val="000000" w:themeColor="text1"/>
              </w:rPr>
            </w:pPr>
          </w:p>
        </w:tc>
        <w:tc>
          <w:tcPr>
            <w:tcW w:w="992" w:type="dxa"/>
            <w:vAlign w:val="center"/>
          </w:tcPr>
          <w:p>
            <w:pPr>
              <w:pStyle w:val="55"/>
              <w:rPr>
                <w:rFonts w:cs="Times New Roman"/>
                <w:color w:val="000000" w:themeColor="text1"/>
              </w:rPr>
            </w:pPr>
            <w:r>
              <w:rPr>
                <w:rFonts w:hint="eastAsia" w:cs="Times New Roman"/>
                <w:color w:val="000000" w:themeColor="text1"/>
              </w:rPr>
              <w:t>SO</w:t>
            </w:r>
            <w:r>
              <w:rPr>
                <w:rFonts w:hint="eastAsia" w:cs="Times New Roman"/>
                <w:color w:val="000000" w:themeColor="text1"/>
                <w:vertAlign w:val="subscript"/>
              </w:rPr>
              <w:t>2</w:t>
            </w:r>
          </w:p>
        </w:tc>
        <w:tc>
          <w:tcPr>
            <w:tcW w:w="2268" w:type="dxa"/>
            <w:vAlign w:val="center"/>
          </w:tcPr>
          <w:p>
            <w:pPr>
              <w:pStyle w:val="55"/>
              <w:rPr>
                <w:color w:val="000000" w:themeColor="text1"/>
              </w:rPr>
            </w:pPr>
            <w:r>
              <w:rPr>
                <w:rFonts w:hint="eastAsia"/>
                <w:color w:val="000000" w:themeColor="text1"/>
              </w:rPr>
              <w:t>21837</w:t>
            </w:r>
          </w:p>
        </w:tc>
        <w:tc>
          <w:tcPr>
            <w:tcW w:w="1895" w:type="dxa"/>
            <w:vAlign w:val="center"/>
          </w:tcPr>
          <w:p>
            <w:pPr>
              <w:pStyle w:val="55"/>
              <w:rPr>
                <w:rFonts w:cs="Times New Roman"/>
                <w:color w:val="000000" w:themeColor="text1"/>
              </w:rPr>
            </w:pPr>
            <w:r>
              <w:rPr>
                <w:rFonts w:hint="eastAsia" w:cs="Times New Roman"/>
                <w:color w:val="000000" w:themeColor="text1"/>
              </w:rPr>
              <w:t>0.011</w:t>
            </w:r>
          </w:p>
        </w:tc>
        <w:tc>
          <w:tcPr>
            <w:tcW w:w="1366" w:type="dxa"/>
            <w:vAlign w:val="center"/>
          </w:tcPr>
          <w:p>
            <w:pPr>
              <w:pStyle w:val="55"/>
              <w:rPr>
                <w:color w:val="000000" w:themeColor="text1"/>
              </w:rPr>
            </w:pPr>
            <w:r>
              <w:rPr>
                <w:color w:val="000000" w:themeColor="text1"/>
              </w:rPr>
              <w:t>0.0</w:t>
            </w:r>
            <w:r>
              <w:rPr>
                <w:rFonts w:hint="eastAsia"/>
                <w:color w:val="000000" w:themeColor="text1"/>
              </w:rPr>
              <w:t>315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pStyle w:val="55"/>
              <w:rPr>
                <w:rFonts w:cs="Times New Roman"/>
                <w:color w:val="000000" w:themeColor="text1"/>
              </w:rPr>
            </w:pPr>
            <w:r>
              <w:rPr>
                <w:rFonts w:hint="eastAsia" w:cs="Times New Roman"/>
                <w:color w:val="000000" w:themeColor="text1"/>
              </w:rPr>
              <w:t>3</w:t>
            </w:r>
          </w:p>
        </w:tc>
        <w:tc>
          <w:tcPr>
            <w:tcW w:w="1276" w:type="dxa"/>
            <w:vMerge w:val="continue"/>
            <w:vAlign w:val="center"/>
          </w:tcPr>
          <w:p>
            <w:pPr>
              <w:pStyle w:val="55"/>
              <w:rPr>
                <w:rFonts w:cs="Times New Roman"/>
                <w:color w:val="000000" w:themeColor="text1"/>
              </w:rPr>
            </w:pPr>
          </w:p>
        </w:tc>
        <w:tc>
          <w:tcPr>
            <w:tcW w:w="992" w:type="dxa"/>
            <w:vAlign w:val="center"/>
          </w:tcPr>
          <w:p>
            <w:pPr>
              <w:pStyle w:val="55"/>
              <w:rPr>
                <w:rFonts w:cs="Times New Roman"/>
                <w:color w:val="000000" w:themeColor="text1"/>
              </w:rPr>
            </w:pPr>
            <w:r>
              <w:rPr>
                <w:rFonts w:hint="eastAsia" w:cs="Times New Roman"/>
                <w:color w:val="000000" w:themeColor="text1"/>
              </w:rPr>
              <w:t>NOx</w:t>
            </w:r>
          </w:p>
        </w:tc>
        <w:tc>
          <w:tcPr>
            <w:tcW w:w="2268" w:type="dxa"/>
            <w:vAlign w:val="center"/>
          </w:tcPr>
          <w:p>
            <w:pPr>
              <w:pStyle w:val="55"/>
              <w:rPr>
                <w:color w:val="000000" w:themeColor="text1"/>
              </w:rPr>
            </w:pPr>
            <w:r>
              <w:rPr>
                <w:rFonts w:hint="eastAsia"/>
                <w:color w:val="000000" w:themeColor="text1"/>
              </w:rPr>
              <w:t>15280</w:t>
            </w:r>
          </w:p>
        </w:tc>
        <w:tc>
          <w:tcPr>
            <w:tcW w:w="1895" w:type="dxa"/>
            <w:vAlign w:val="center"/>
          </w:tcPr>
          <w:p>
            <w:pPr>
              <w:pStyle w:val="55"/>
              <w:rPr>
                <w:rFonts w:cs="Times New Roman"/>
                <w:color w:val="000000" w:themeColor="text1"/>
              </w:rPr>
            </w:pPr>
            <w:r>
              <w:rPr>
                <w:rFonts w:hint="eastAsia" w:cs="Times New Roman"/>
                <w:color w:val="000000" w:themeColor="text1"/>
              </w:rPr>
              <w:t>0.0076</w:t>
            </w:r>
          </w:p>
        </w:tc>
        <w:tc>
          <w:tcPr>
            <w:tcW w:w="1366" w:type="dxa"/>
            <w:vAlign w:val="center"/>
          </w:tcPr>
          <w:p>
            <w:pPr>
              <w:pStyle w:val="55"/>
              <w:rPr>
                <w:color w:val="000000" w:themeColor="text1"/>
              </w:rPr>
            </w:pPr>
            <w:r>
              <w:rPr>
                <w:color w:val="000000" w:themeColor="text1"/>
              </w:rPr>
              <w:t>0.</w:t>
            </w:r>
            <w:r>
              <w:rPr>
                <w:rFonts w:hint="eastAsia"/>
                <w:color w:val="000000" w:themeColor="text1"/>
              </w:rPr>
              <w:t>022</w:t>
            </w:r>
            <w:r>
              <w:rPr>
                <w:color w:val="000000" w:themeColor="text1"/>
              </w:rPr>
              <w:t xml:space="preserve">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pStyle w:val="55"/>
              <w:rPr>
                <w:rFonts w:cs="Times New Roman"/>
                <w:color w:val="000000" w:themeColor="text1"/>
              </w:rPr>
            </w:pPr>
            <w:r>
              <w:rPr>
                <w:rFonts w:hint="eastAsia" w:cs="Times New Roman"/>
                <w:color w:val="000000" w:themeColor="text1"/>
              </w:rPr>
              <w:t>4</w:t>
            </w:r>
          </w:p>
        </w:tc>
        <w:tc>
          <w:tcPr>
            <w:tcW w:w="1276" w:type="dxa"/>
            <w:vMerge w:val="restart"/>
            <w:vAlign w:val="center"/>
          </w:tcPr>
          <w:p>
            <w:pPr>
              <w:pStyle w:val="55"/>
              <w:rPr>
                <w:rFonts w:cs="Times New Roman"/>
                <w:color w:val="000000" w:themeColor="text1"/>
              </w:rPr>
            </w:pPr>
            <w:r>
              <w:rPr>
                <w:rFonts w:hint="eastAsia" w:cs="Times New Roman"/>
                <w:color w:val="000000" w:themeColor="text1"/>
              </w:rPr>
              <w:t>2#排气筒（焚烧炉废气）</w:t>
            </w:r>
          </w:p>
        </w:tc>
        <w:tc>
          <w:tcPr>
            <w:tcW w:w="992" w:type="dxa"/>
            <w:vAlign w:val="center"/>
          </w:tcPr>
          <w:p>
            <w:pPr>
              <w:pStyle w:val="55"/>
              <w:rPr>
                <w:rFonts w:cs="Times New Roman"/>
                <w:color w:val="000000" w:themeColor="text1"/>
              </w:rPr>
            </w:pPr>
            <w:r>
              <w:rPr>
                <w:rFonts w:cs="Times New Roman"/>
                <w:color w:val="000000" w:themeColor="text1"/>
              </w:rPr>
              <w:t>颗粒物</w:t>
            </w:r>
          </w:p>
        </w:tc>
        <w:tc>
          <w:tcPr>
            <w:tcW w:w="2268" w:type="dxa"/>
            <w:vAlign w:val="center"/>
          </w:tcPr>
          <w:p>
            <w:pPr>
              <w:pStyle w:val="55"/>
              <w:rPr>
                <w:color w:val="000000" w:themeColor="text1"/>
              </w:rPr>
            </w:pPr>
            <w:r>
              <w:rPr>
                <w:rFonts w:hint="eastAsia"/>
                <w:color w:val="000000" w:themeColor="text1"/>
              </w:rPr>
              <w:t>7650</w:t>
            </w:r>
          </w:p>
        </w:tc>
        <w:tc>
          <w:tcPr>
            <w:tcW w:w="1895" w:type="dxa"/>
            <w:vAlign w:val="center"/>
          </w:tcPr>
          <w:p>
            <w:pPr>
              <w:pStyle w:val="55"/>
              <w:rPr>
                <w:rFonts w:cs="Times New Roman"/>
                <w:color w:val="000000" w:themeColor="text1"/>
              </w:rPr>
            </w:pPr>
            <w:r>
              <w:rPr>
                <w:rFonts w:hint="eastAsia" w:cs="Times New Roman"/>
                <w:color w:val="000000" w:themeColor="text1"/>
              </w:rPr>
              <w:t>0.0223</w:t>
            </w:r>
          </w:p>
        </w:tc>
        <w:tc>
          <w:tcPr>
            <w:tcW w:w="1366" w:type="dxa"/>
            <w:vAlign w:val="center"/>
          </w:tcPr>
          <w:p>
            <w:pPr>
              <w:pStyle w:val="55"/>
              <w:rPr>
                <w:color w:val="000000" w:themeColor="text1"/>
              </w:rPr>
            </w:pPr>
            <w:r>
              <w:rPr>
                <w:rFonts w:hint="eastAsia"/>
                <w:color w:val="000000" w:themeColor="text1"/>
              </w:rPr>
              <w:t>0.0134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pStyle w:val="55"/>
              <w:rPr>
                <w:rFonts w:cs="Times New Roman"/>
                <w:color w:val="000000" w:themeColor="text1"/>
              </w:rPr>
            </w:pPr>
            <w:r>
              <w:rPr>
                <w:rFonts w:hint="eastAsia" w:cs="Times New Roman"/>
                <w:color w:val="000000" w:themeColor="text1"/>
              </w:rPr>
              <w:t>5</w:t>
            </w:r>
          </w:p>
        </w:tc>
        <w:tc>
          <w:tcPr>
            <w:tcW w:w="1276" w:type="dxa"/>
            <w:vMerge w:val="continue"/>
            <w:vAlign w:val="center"/>
          </w:tcPr>
          <w:p>
            <w:pPr>
              <w:pStyle w:val="55"/>
              <w:rPr>
                <w:rFonts w:cs="Times New Roman"/>
                <w:color w:val="000000" w:themeColor="text1"/>
              </w:rPr>
            </w:pPr>
          </w:p>
        </w:tc>
        <w:tc>
          <w:tcPr>
            <w:tcW w:w="992" w:type="dxa"/>
            <w:vAlign w:val="center"/>
          </w:tcPr>
          <w:p>
            <w:pPr>
              <w:pStyle w:val="55"/>
              <w:rPr>
                <w:rFonts w:cs="Times New Roman"/>
                <w:color w:val="000000" w:themeColor="text1"/>
              </w:rPr>
            </w:pPr>
            <w:r>
              <w:rPr>
                <w:rFonts w:hint="eastAsia" w:cs="Times New Roman"/>
                <w:color w:val="000000" w:themeColor="text1"/>
              </w:rPr>
              <w:t>SO</w:t>
            </w:r>
            <w:r>
              <w:rPr>
                <w:rFonts w:hint="eastAsia" w:cs="Times New Roman"/>
                <w:color w:val="000000" w:themeColor="text1"/>
                <w:vertAlign w:val="subscript"/>
              </w:rPr>
              <w:t>2</w:t>
            </w:r>
          </w:p>
        </w:tc>
        <w:tc>
          <w:tcPr>
            <w:tcW w:w="2268" w:type="dxa"/>
            <w:vAlign w:val="center"/>
          </w:tcPr>
          <w:p>
            <w:pPr>
              <w:pStyle w:val="55"/>
              <w:rPr>
                <w:color w:val="000000" w:themeColor="text1"/>
              </w:rPr>
            </w:pPr>
            <w:r>
              <w:rPr>
                <w:rFonts w:hint="eastAsia"/>
                <w:color w:val="000000" w:themeColor="text1"/>
              </w:rPr>
              <w:t>7780</w:t>
            </w:r>
          </w:p>
        </w:tc>
        <w:tc>
          <w:tcPr>
            <w:tcW w:w="1895" w:type="dxa"/>
            <w:vAlign w:val="center"/>
          </w:tcPr>
          <w:p>
            <w:pPr>
              <w:pStyle w:val="55"/>
              <w:rPr>
                <w:rFonts w:cs="Times New Roman"/>
                <w:color w:val="000000" w:themeColor="text1"/>
              </w:rPr>
            </w:pPr>
            <w:r>
              <w:rPr>
                <w:rFonts w:hint="eastAsia" w:cs="Times New Roman"/>
                <w:color w:val="000000" w:themeColor="text1"/>
              </w:rPr>
              <w:t>0.023</w:t>
            </w:r>
          </w:p>
        </w:tc>
        <w:tc>
          <w:tcPr>
            <w:tcW w:w="1366" w:type="dxa"/>
            <w:vAlign w:val="center"/>
          </w:tcPr>
          <w:p>
            <w:pPr>
              <w:pStyle w:val="55"/>
              <w:rPr>
                <w:color w:val="000000" w:themeColor="text1"/>
              </w:rPr>
            </w:pPr>
            <w:r>
              <w:rPr>
                <w:rFonts w:hint="eastAsia"/>
                <w:color w:val="000000" w:themeColor="text1"/>
              </w:rPr>
              <w:t>0.014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pStyle w:val="55"/>
              <w:rPr>
                <w:rFonts w:cs="Times New Roman"/>
                <w:color w:val="000000" w:themeColor="text1"/>
              </w:rPr>
            </w:pPr>
            <w:r>
              <w:rPr>
                <w:rFonts w:hint="eastAsia" w:cs="Times New Roman"/>
                <w:color w:val="000000" w:themeColor="text1"/>
              </w:rPr>
              <w:t>6</w:t>
            </w:r>
          </w:p>
        </w:tc>
        <w:tc>
          <w:tcPr>
            <w:tcW w:w="1276" w:type="dxa"/>
            <w:vMerge w:val="continue"/>
            <w:vAlign w:val="center"/>
          </w:tcPr>
          <w:p>
            <w:pPr>
              <w:pStyle w:val="55"/>
              <w:rPr>
                <w:rFonts w:cs="Times New Roman"/>
                <w:color w:val="000000" w:themeColor="text1"/>
              </w:rPr>
            </w:pPr>
          </w:p>
        </w:tc>
        <w:tc>
          <w:tcPr>
            <w:tcW w:w="992" w:type="dxa"/>
            <w:vAlign w:val="center"/>
          </w:tcPr>
          <w:p>
            <w:pPr>
              <w:pStyle w:val="55"/>
              <w:rPr>
                <w:rFonts w:cs="Times New Roman"/>
                <w:color w:val="000000" w:themeColor="text1"/>
              </w:rPr>
            </w:pPr>
            <w:r>
              <w:rPr>
                <w:rFonts w:hint="eastAsia" w:cs="Times New Roman"/>
                <w:color w:val="000000" w:themeColor="text1"/>
              </w:rPr>
              <w:t>NOx</w:t>
            </w:r>
          </w:p>
        </w:tc>
        <w:tc>
          <w:tcPr>
            <w:tcW w:w="2268" w:type="dxa"/>
            <w:vAlign w:val="center"/>
          </w:tcPr>
          <w:p>
            <w:pPr>
              <w:pStyle w:val="55"/>
              <w:rPr>
                <w:color w:val="000000" w:themeColor="text1"/>
              </w:rPr>
            </w:pPr>
            <w:r>
              <w:rPr>
                <w:rFonts w:hint="eastAsia"/>
                <w:color w:val="000000" w:themeColor="text1"/>
              </w:rPr>
              <w:t>251670</w:t>
            </w:r>
          </w:p>
        </w:tc>
        <w:tc>
          <w:tcPr>
            <w:tcW w:w="1895" w:type="dxa"/>
            <w:vAlign w:val="center"/>
          </w:tcPr>
          <w:p>
            <w:pPr>
              <w:pStyle w:val="55"/>
              <w:rPr>
                <w:rFonts w:cs="Times New Roman"/>
                <w:color w:val="000000" w:themeColor="text1"/>
              </w:rPr>
            </w:pPr>
            <w:r>
              <w:rPr>
                <w:rFonts w:hint="eastAsia" w:cs="Times New Roman"/>
                <w:color w:val="000000" w:themeColor="text1"/>
              </w:rPr>
              <w:t>0.755</w:t>
            </w:r>
          </w:p>
        </w:tc>
        <w:tc>
          <w:tcPr>
            <w:tcW w:w="1366" w:type="dxa"/>
            <w:vAlign w:val="center"/>
          </w:tcPr>
          <w:p>
            <w:pPr>
              <w:pStyle w:val="55"/>
              <w:rPr>
                <w:color w:val="000000" w:themeColor="text1"/>
              </w:rPr>
            </w:pPr>
            <w:r>
              <w:rPr>
                <w:rFonts w:hint="eastAsia"/>
                <w:color w:val="000000" w:themeColor="text1"/>
              </w:rPr>
              <w:t>0.453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51" w:type="dxa"/>
            <w:gridSpan w:val="2"/>
            <w:vMerge w:val="restart"/>
            <w:vAlign w:val="center"/>
          </w:tcPr>
          <w:p>
            <w:pPr>
              <w:pStyle w:val="55"/>
              <w:rPr>
                <w:rFonts w:cs="Times New Roman"/>
                <w:color w:val="000000" w:themeColor="text1"/>
              </w:rPr>
            </w:pPr>
            <w:r>
              <w:rPr>
                <w:rFonts w:hint="eastAsia" w:cs="Times New Roman"/>
                <w:color w:val="000000" w:themeColor="text1"/>
              </w:rPr>
              <w:t>有组织排放总计</w:t>
            </w:r>
          </w:p>
        </w:tc>
        <w:tc>
          <w:tcPr>
            <w:tcW w:w="5155" w:type="dxa"/>
            <w:gridSpan w:val="3"/>
            <w:vAlign w:val="center"/>
          </w:tcPr>
          <w:p>
            <w:pPr>
              <w:pStyle w:val="55"/>
              <w:rPr>
                <w:rFonts w:cs="Times New Roman"/>
                <w:color w:val="000000" w:themeColor="text1"/>
              </w:rPr>
            </w:pPr>
            <w:r>
              <w:rPr>
                <w:rFonts w:cs="Times New Roman"/>
                <w:color w:val="000000" w:themeColor="text1"/>
              </w:rPr>
              <w:t>颗粒物</w:t>
            </w:r>
          </w:p>
        </w:tc>
        <w:tc>
          <w:tcPr>
            <w:tcW w:w="1366" w:type="dxa"/>
            <w:vAlign w:val="center"/>
          </w:tcPr>
          <w:p>
            <w:pPr>
              <w:pStyle w:val="55"/>
              <w:rPr>
                <w:rFonts w:cs="Times New Roman"/>
                <w:color w:val="000000" w:themeColor="text1"/>
              </w:rPr>
            </w:pPr>
            <w:r>
              <w:rPr>
                <w:rFonts w:hint="eastAsia" w:cs="Times New Roman"/>
                <w:color w:val="000000" w:themeColor="text1"/>
              </w:rPr>
              <w:t>0.0451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51" w:type="dxa"/>
            <w:gridSpan w:val="2"/>
            <w:vMerge w:val="continue"/>
            <w:vAlign w:val="center"/>
          </w:tcPr>
          <w:p>
            <w:pPr>
              <w:pStyle w:val="55"/>
              <w:rPr>
                <w:rFonts w:cs="Times New Roman"/>
                <w:color w:val="000000" w:themeColor="text1"/>
              </w:rPr>
            </w:pPr>
          </w:p>
        </w:tc>
        <w:tc>
          <w:tcPr>
            <w:tcW w:w="5155" w:type="dxa"/>
            <w:gridSpan w:val="3"/>
            <w:vAlign w:val="center"/>
          </w:tcPr>
          <w:p>
            <w:pPr>
              <w:pStyle w:val="55"/>
              <w:rPr>
                <w:rFonts w:cs="Times New Roman"/>
                <w:color w:val="000000" w:themeColor="text1"/>
              </w:rPr>
            </w:pPr>
            <w:r>
              <w:rPr>
                <w:rFonts w:hint="eastAsia" w:cs="Times New Roman"/>
                <w:color w:val="000000" w:themeColor="text1"/>
              </w:rPr>
              <w:t>SO</w:t>
            </w:r>
            <w:r>
              <w:rPr>
                <w:rFonts w:hint="eastAsia" w:cs="Times New Roman"/>
                <w:color w:val="000000" w:themeColor="text1"/>
                <w:vertAlign w:val="subscript"/>
              </w:rPr>
              <w:t>2</w:t>
            </w:r>
          </w:p>
        </w:tc>
        <w:tc>
          <w:tcPr>
            <w:tcW w:w="1366" w:type="dxa"/>
            <w:vAlign w:val="center"/>
          </w:tcPr>
          <w:p>
            <w:pPr>
              <w:pStyle w:val="55"/>
              <w:rPr>
                <w:rFonts w:cs="Times New Roman"/>
                <w:color w:val="000000" w:themeColor="text1"/>
              </w:rPr>
            </w:pPr>
            <w:r>
              <w:rPr>
                <w:rFonts w:hint="eastAsia" w:cs="Times New Roman"/>
                <w:color w:val="000000" w:themeColor="text1"/>
              </w:rPr>
              <w:t>0.0455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51" w:type="dxa"/>
            <w:gridSpan w:val="2"/>
            <w:vMerge w:val="continue"/>
            <w:vAlign w:val="center"/>
          </w:tcPr>
          <w:p>
            <w:pPr>
              <w:pStyle w:val="55"/>
              <w:rPr>
                <w:rFonts w:cs="Times New Roman"/>
                <w:color w:val="000000" w:themeColor="text1"/>
              </w:rPr>
            </w:pPr>
          </w:p>
        </w:tc>
        <w:tc>
          <w:tcPr>
            <w:tcW w:w="5155" w:type="dxa"/>
            <w:gridSpan w:val="3"/>
            <w:vAlign w:val="center"/>
          </w:tcPr>
          <w:p>
            <w:pPr>
              <w:pStyle w:val="55"/>
              <w:rPr>
                <w:rFonts w:cs="Times New Roman"/>
                <w:color w:val="000000" w:themeColor="text1"/>
              </w:rPr>
            </w:pPr>
            <w:r>
              <w:rPr>
                <w:rFonts w:hint="eastAsia" w:cs="Times New Roman"/>
                <w:color w:val="000000" w:themeColor="text1"/>
              </w:rPr>
              <w:t>NOx</w:t>
            </w:r>
          </w:p>
        </w:tc>
        <w:tc>
          <w:tcPr>
            <w:tcW w:w="1366" w:type="dxa"/>
            <w:vAlign w:val="center"/>
          </w:tcPr>
          <w:p>
            <w:pPr>
              <w:pStyle w:val="55"/>
              <w:rPr>
                <w:rFonts w:cs="Times New Roman"/>
                <w:color w:val="000000" w:themeColor="text1"/>
              </w:rPr>
            </w:pPr>
            <w:r>
              <w:rPr>
                <w:rFonts w:hint="eastAsia" w:cs="Times New Roman"/>
                <w:color w:val="000000" w:themeColor="text1"/>
              </w:rPr>
              <w:t>0.475</w:t>
            </w:r>
          </w:p>
        </w:tc>
      </w:tr>
    </w:tbl>
    <w:p>
      <w:pPr>
        <w:ind w:firstLine="480"/>
        <w:rPr>
          <w:color w:val="000000" w:themeColor="text1"/>
        </w:rPr>
      </w:pPr>
      <w:r>
        <w:rPr>
          <w:rFonts w:hint="eastAsia"/>
          <w:color w:val="000000" w:themeColor="text1"/>
        </w:rPr>
        <w:t>2、无组织排放量核算</w:t>
      </w:r>
    </w:p>
    <w:p>
      <w:pPr>
        <w:ind w:firstLine="480"/>
        <w:rPr>
          <w:rFonts w:cs="Times New Roman"/>
          <w:color w:val="000000" w:themeColor="text1"/>
        </w:rPr>
      </w:pPr>
      <w:r>
        <w:rPr>
          <w:color w:val="000000" w:themeColor="text1"/>
        </w:rPr>
        <w:t>本项目无组织排放废气主要为</w:t>
      </w:r>
      <w:r>
        <w:rPr>
          <w:rFonts w:hint="eastAsia"/>
          <w:color w:val="000000" w:themeColor="text1"/>
        </w:rPr>
        <w:t>生猪待宰间及生鸡待宰圈的粪尿臭味，生猪及生鸡屠宰加工过程中产生的腥臭、胃肠内容物及污水处理站产生的恶臭。</w:t>
      </w:r>
      <w:r>
        <w:rPr>
          <w:rFonts w:hint="eastAsia" w:cs="Times New Roman"/>
          <w:color w:val="000000" w:themeColor="text1"/>
        </w:rPr>
        <w:t>无组织排放量核算详见表2.7.2-9。</w:t>
      </w:r>
    </w:p>
    <w:p>
      <w:pPr>
        <w:pStyle w:val="54"/>
        <w:rPr>
          <w:color w:val="000000" w:themeColor="text1"/>
        </w:rPr>
      </w:pPr>
      <w:r>
        <w:rPr>
          <w:rFonts w:hint="eastAsia"/>
          <w:color w:val="000000" w:themeColor="text1"/>
        </w:rPr>
        <w:t>表2.7.2-9  项目大气污染物无组织排放量核算表</w:t>
      </w:r>
    </w:p>
    <w:tbl>
      <w:tblPr>
        <w:tblStyle w:val="43"/>
        <w:tblW w:w="8363" w:type="dxa"/>
        <w:tblInd w:w="25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26"/>
        <w:gridCol w:w="685"/>
        <w:gridCol w:w="946"/>
        <w:gridCol w:w="960"/>
        <w:gridCol w:w="1483"/>
        <w:gridCol w:w="1733"/>
        <w:gridCol w:w="1146"/>
        <w:gridCol w:w="98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0" w:hRule="atLeast"/>
        </w:trPr>
        <w:tc>
          <w:tcPr>
            <w:tcW w:w="426" w:type="dxa"/>
            <w:vMerge w:val="restart"/>
            <w:vAlign w:val="center"/>
          </w:tcPr>
          <w:p>
            <w:pPr>
              <w:pStyle w:val="55"/>
              <w:rPr>
                <w:color w:val="000000" w:themeColor="text1"/>
              </w:rPr>
            </w:pPr>
            <w:r>
              <w:rPr>
                <w:rFonts w:hint="eastAsia"/>
                <w:color w:val="000000" w:themeColor="text1"/>
              </w:rPr>
              <w:t>序号</w:t>
            </w:r>
          </w:p>
        </w:tc>
        <w:tc>
          <w:tcPr>
            <w:tcW w:w="685" w:type="dxa"/>
            <w:vMerge w:val="restart"/>
            <w:vAlign w:val="center"/>
          </w:tcPr>
          <w:p>
            <w:pPr>
              <w:pStyle w:val="55"/>
              <w:rPr>
                <w:color w:val="000000" w:themeColor="text1"/>
              </w:rPr>
            </w:pPr>
            <w:r>
              <w:rPr>
                <w:rFonts w:hint="eastAsia"/>
                <w:color w:val="000000" w:themeColor="text1"/>
              </w:rPr>
              <w:t>排放口编号</w:t>
            </w:r>
          </w:p>
        </w:tc>
        <w:tc>
          <w:tcPr>
            <w:tcW w:w="946" w:type="dxa"/>
            <w:vMerge w:val="restart"/>
            <w:vAlign w:val="center"/>
          </w:tcPr>
          <w:p>
            <w:pPr>
              <w:pStyle w:val="55"/>
              <w:rPr>
                <w:color w:val="000000" w:themeColor="text1"/>
              </w:rPr>
            </w:pPr>
            <w:r>
              <w:rPr>
                <w:rFonts w:hint="eastAsia"/>
                <w:color w:val="000000" w:themeColor="text1"/>
              </w:rPr>
              <w:t>产污环节</w:t>
            </w:r>
          </w:p>
        </w:tc>
        <w:tc>
          <w:tcPr>
            <w:tcW w:w="960" w:type="dxa"/>
            <w:vMerge w:val="restart"/>
            <w:vAlign w:val="center"/>
          </w:tcPr>
          <w:p>
            <w:pPr>
              <w:pStyle w:val="55"/>
              <w:rPr>
                <w:color w:val="000000" w:themeColor="text1"/>
              </w:rPr>
            </w:pPr>
            <w:r>
              <w:rPr>
                <w:rFonts w:hint="eastAsia"/>
                <w:color w:val="000000" w:themeColor="text1"/>
              </w:rPr>
              <w:t>污染物</w:t>
            </w:r>
          </w:p>
        </w:tc>
        <w:tc>
          <w:tcPr>
            <w:tcW w:w="1483" w:type="dxa"/>
            <w:vMerge w:val="restart"/>
            <w:vAlign w:val="center"/>
          </w:tcPr>
          <w:p>
            <w:pPr>
              <w:pStyle w:val="55"/>
              <w:rPr>
                <w:color w:val="000000" w:themeColor="text1"/>
              </w:rPr>
            </w:pPr>
            <w:r>
              <w:rPr>
                <w:rFonts w:hint="eastAsia"/>
                <w:color w:val="000000" w:themeColor="text1"/>
              </w:rPr>
              <w:t>主要污染防治措施</w:t>
            </w:r>
          </w:p>
        </w:tc>
        <w:tc>
          <w:tcPr>
            <w:tcW w:w="2879" w:type="dxa"/>
            <w:gridSpan w:val="2"/>
            <w:vAlign w:val="center"/>
          </w:tcPr>
          <w:p>
            <w:pPr>
              <w:pStyle w:val="55"/>
              <w:rPr>
                <w:color w:val="000000" w:themeColor="text1"/>
              </w:rPr>
            </w:pPr>
            <w:r>
              <w:rPr>
                <w:rFonts w:hint="eastAsia"/>
                <w:color w:val="000000" w:themeColor="text1"/>
              </w:rPr>
              <w:t>国家或地方污染物排放标准</w:t>
            </w:r>
          </w:p>
        </w:tc>
        <w:tc>
          <w:tcPr>
            <w:tcW w:w="984" w:type="dxa"/>
            <w:vMerge w:val="restart"/>
            <w:vAlign w:val="center"/>
          </w:tcPr>
          <w:p>
            <w:pPr>
              <w:pStyle w:val="55"/>
              <w:rPr>
                <w:color w:val="000000" w:themeColor="text1"/>
              </w:rPr>
            </w:pPr>
            <w:r>
              <w:rPr>
                <w:rFonts w:hint="eastAsia"/>
                <w:color w:val="000000" w:themeColor="text1"/>
              </w:rPr>
              <w:t>年排放量/（t/a）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0" w:hRule="atLeast"/>
        </w:trPr>
        <w:tc>
          <w:tcPr>
            <w:tcW w:w="426" w:type="dxa"/>
            <w:vMerge w:val="continue"/>
            <w:vAlign w:val="center"/>
          </w:tcPr>
          <w:p>
            <w:pPr>
              <w:pStyle w:val="55"/>
              <w:rPr>
                <w:color w:val="000000" w:themeColor="text1"/>
              </w:rPr>
            </w:pPr>
          </w:p>
        </w:tc>
        <w:tc>
          <w:tcPr>
            <w:tcW w:w="685" w:type="dxa"/>
            <w:vMerge w:val="continue"/>
            <w:vAlign w:val="center"/>
          </w:tcPr>
          <w:p>
            <w:pPr>
              <w:pStyle w:val="55"/>
              <w:rPr>
                <w:color w:val="000000" w:themeColor="text1"/>
              </w:rPr>
            </w:pPr>
          </w:p>
        </w:tc>
        <w:tc>
          <w:tcPr>
            <w:tcW w:w="946" w:type="dxa"/>
            <w:vMerge w:val="continue"/>
            <w:vAlign w:val="center"/>
          </w:tcPr>
          <w:p>
            <w:pPr>
              <w:pStyle w:val="55"/>
              <w:rPr>
                <w:color w:val="000000" w:themeColor="text1"/>
              </w:rPr>
            </w:pPr>
          </w:p>
        </w:tc>
        <w:tc>
          <w:tcPr>
            <w:tcW w:w="960" w:type="dxa"/>
            <w:vMerge w:val="continue"/>
            <w:vAlign w:val="center"/>
          </w:tcPr>
          <w:p>
            <w:pPr>
              <w:pStyle w:val="55"/>
              <w:rPr>
                <w:color w:val="000000" w:themeColor="text1"/>
              </w:rPr>
            </w:pPr>
          </w:p>
        </w:tc>
        <w:tc>
          <w:tcPr>
            <w:tcW w:w="1483" w:type="dxa"/>
            <w:vMerge w:val="continue"/>
            <w:vAlign w:val="center"/>
          </w:tcPr>
          <w:p>
            <w:pPr>
              <w:pStyle w:val="55"/>
              <w:rPr>
                <w:color w:val="000000" w:themeColor="text1"/>
              </w:rPr>
            </w:pPr>
          </w:p>
        </w:tc>
        <w:tc>
          <w:tcPr>
            <w:tcW w:w="1733" w:type="dxa"/>
            <w:vAlign w:val="center"/>
          </w:tcPr>
          <w:p>
            <w:pPr>
              <w:pStyle w:val="55"/>
              <w:rPr>
                <w:color w:val="000000" w:themeColor="text1"/>
              </w:rPr>
            </w:pPr>
            <w:r>
              <w:rPr>
                <w:rFonts w:hint="eastAsia"/>
                <w:color w:val="000000" w:themeColor="text1"/>
              </w:rPr>
              <w:t>标准名称</w:t>
            </w:r>
          </w:p>
        </w:tc>
        <w:tc>
          <w:tcPr>
            <w:tcW w:w="1146" w:type="dxa"/>
            <w:vAlign w:val="center"/>
          </w:tcPr>
          <w:p>
            <w:pPr>
              <w:pStyle w:val="55"/>
              <w:rPr>
                <w:rFonts w:cs="Times New Roman"/>
                <w:color w:val="000000" w:themeColor="text1"/>
              </w:rPr>
            </w:pPr>
            <w:r>
              <w:rPr>
                <w:rFonts w:cs="Times New Roman"/>
                <w:color w:val="000000" w:themeColor="text1"/>
              </w:rPr>
              <w:t>浓度限值/（μg/m</w:t>
            </w:r>
            <w:r>
              <w:rPr>
                <w:rFonts w:cs="Times New Roman"/>
                <w:color w:val="000000" w:themeColor="text1"/>
                <w:vertAlign w:val="superscript"/>
              </w:rPr>
              <w:t>3</w:t>
            </w:r>
            <w:r>
              <w:rPr>
                <w:rFonts w:cs="Times New Roman"/>
                <w:color w:val="000000" w:themeColor="text1"/>
              </w:rPr>
              <w:t>）</w:t>
            </w:r>
          </w:p>
        </w:tc>
        <w:tc>
          <w:tcPr>
            <w:tcW w:w="984" w:type="dxa"/>
            <w:vMerge w:val="continue"/>
            <w:vAlign w:val="center"/>
          </w:tcPr>
          <w:p>
            <w:pPr>
              <w:pStyle w:val="55"/>
              <w:rPr>
                <w:color w:val="000000" w:themeColor="text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9" w:hRule="atLeast"/>
        </w:trPr>
        <w:tc>
          <w:tcPr>
            <w:tcW w:w="426" w:type="dxa"/>
            <w:vAlign w:val="center"/>
          </w:tcPr>
          <w:p>
            <w:pPr>
              <w:pStyle w:val="55"/>
              <w:rPr>
                <w:color w:val="000000" w:themeColor="text1"/>
              </w:rPr>
            </w:pPr>
            <w:r>
              <w:rPr>
                <w:rFonts w:hint="eastAsia"/>
                <w:color w:val="000000" w:themeColor="text1"/>
              </w:rPr>
              <w:t>1</w:t>
            </w:r>
          </w:p>
        </w:tc>
        <w:tc>
          <w:tcPr>
            <w:tcW w:w="685" w:type="dxa"/>
            <w:vAlign w:val="center"/>
          </w:tcPr>
          <w:p>
            <w:pPr>
              <w:pStyle w:val="55"/>
              <w:rPr>
                <w:color w:val="000000" w:themeColor="text1"/>
              </w:rPr>
            </w:pPr>
            <w:r>
              <w:rPr>
                <w:rFonts w:hint="eastAsia"/>
                <w:color w:val="000000" w:themeColor="text1"/>
              </w:rPr>
              <w:t>/</w:t>
            </w:r>
          </w:p>
        </w:tc>
        <w:tc>
          <w:tcPr>
            <w:tcW w:w="946" w:type="dxa"/>
            <w:vMerge w:val="restart"/>
            <w:vAlign w:val="center"/>
          </w:tcPr>
          <w:p>
            <w:pPr>
              <w:pStyle w:val="55"/>
              <w:rPr>
                <w:color w:val="000000" w:themeColor="text1"/>
              </w:rPr>
            </w:pPr>
            <w:r>
              <w:rPr>
                <w:color w:val="000000" w:themeColor="text1"/>
              </w:rPr>
              <w:t>生猪待宰间</w:t>
            </w:r>
          </w:p>
        </w:tc>
        <w:tc>
          <w:tcPr>
            <w:tcW w:w="960" w:type="dxa"/>
            <w:vAlign w:val="center"/>
          </w:tcPr>
          <w:p>
            <w:pPr>
              <w:pStyle w:val="55"/>
              <w:rPr>
                <w:color w:val="000000" w:themeColor="text1"/>
              </w:rPr>
            </w:pPr>
            <w:r>
              <w:rPr>
                <w:color w:val="000000" w:themeColor="text1"/>
                <w:kern w:val="0"/>
              </w:rPr>
              <w:t>NH</w:t>
            </w:r>
            <w:r>
              <w:rPr>
                <w:color w:val="000000" w:themeColor="text1"/>
                <w:kern w:val="0"/>
                <w:vertAlign w:val="subscript"/>
              </w:rPr>
              <w:t>3</w:t>
            </w:r>
          </w:p>
        </w:tc>
        <w:tc>
          <w:tcPr>
            <w:tcW w:w="1483" w:type="dxa"/>
            <w:vMerge w:val="restart"/>
            <w:vAlign w:val="center"/>
          </w:tcPr>
          <w:p>
            <w:pPr>
              <w:pStyle w:val="55"/>
              <w:rPr>
                <w:color w:val="000000" w:themeColor="text1"/>
              </w:rPr>
            </w:pPr>
            <w:r>
              <w:rPr>
                <w:rFonts w:hint="eastAsia"/>
                <w:color w:val="000000" w:themeColor="text1"/>
              </w:rPr>
              <w:t>封闭待宰和屠宰车间，定期清扫并喷洒生物除臭剂，周边设置绿化隔离带等措施除臭</w:t>
            </w:r>
          </w:p>
        </w:tc>
        <w:tc>
          <w:tcPr>
            <w:tcW w:w="1733" w:type="dxa"/>
            <w:vMerge w:val="restart"/>
            <w:vAlign w:val="center"/>
          </w:tcPr>
          <w:p>
            <w:pPr>
              <w:pStyle w:val="55"/>
              <w:rPr>
                <w:color w:val="000000" w:themeColor="text1"/>
              </w:rPr>
            </w:pPr>
            <w:r>
              <w:rPr>
                <w:rFonts w:hint="eastAsia"/>
                <w:color w:val="000000" w:themeColor="text1"/>
              </w:rPr>
              <w:t>《恶臭污染物排放标准》（GB14554-93）</w:t>
            </w:r>
          </w:p>
        </w:tc>
        <w:tc>
          <w:tcPr>
            <w:tcW w:w="1146" w:type="dxa"/>
            <w:vAlign w:val="center"/>
          </w:tcPr>
          <w:p>
            <w:pPr>
              <w:pStyle w:val="55"/>
              <w:rPr>
                <w:color w:val="000000" w:themeColor="text1"/>
              </w:rPr>
            </w:pPr>
            <w:r>
              <w:rPr>
                <w:rFonts w:hint="eastAsia"/>
                <w:color w:val="000000" w:themeColor="text1"/>
              </w:rPr>
              <w:t>1500</w:t>
            </w:r>
          </w:p>
        </w:tc>
        <w:tc>
          <w:tcPr>
            <w:tcW w:w="984" w:type="dxa"/>
            <w:vAlign w:val="center"/>
          </w:tcPr>
          <w:p>
            <w:pPr>
              <w:pStyle w:val="55"/>
              <w:rPr>
                <w:color w:val="000000" w:themeColor="text1"/>
                <w:kern w:val="0"/>
              </w:rPr>
            </w:pPr>
            <w:r>
              <w:rPr>
                <w:rFonts w:hint="eastAsia"/>
                <w:color w:val="000000" w:themeColor="text1"/>
                <w:kern w:val="0"/>
              </w:rPr>
              <w:t>0.052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 w:type="dxa"/>
            <w:vAlign w:val="center"/>
          </w:tcPr>
          <w:p>
            <w:pPr>
              <w:pStyle w:val="55"/>
              <w:rPr>
                <w:color w:val="000000" w:themeColor="text1"/>
              </w:rPr>
            </w:pPr>
            <w:r>
              <w:rPr>
                <w:rFonts w:hint="eastAsia"/>
                <w:color w:val="000000" w:themeColor="text1"/>
              </w:rPr>
              <w:t>2</w:t>
            </w:r>
          </w:p>
        </w:tc>
        <w:tc>
          <w:tcPr>
            <w:tcW w:w="685" w:type="dxa"/>
            <w:vAlign w:val="center"/>
          </w:tcPr>
          <w:p>
            <w:pPr>
              <w:pStyle w:val="55"/>
              <w:rPr>
                <w:color w:val="000000" w:themeColor="text1"/>
              </w:rPr>
            </w:pPr>
            <w:r>
              <w:rPr>
                <w:rFonts w:hint="eastAsia"/>
                <w:color w:val="000000" w:themeColor="text1"/>
              </w:rPr>
              <w:t>/</w:t>
            </w:r>
          </w:p>
        </w:tc>
        <w:tc>
          <w:tcPr>
            <w:tcW w:w="946" w:type="dxa"/>
            <w:vMerge w:val="continue"/>
            <w:vAlign w:val="center"/>
          </w:tcPr>
          <w:p>
            <w:pPr>
              <w:pStyle w:val="55"/>
              <w:rPr>
                <w:color w:val="000000" w:themeColor="text1"/>
              </w:rPr>
            </w:pPr>
          </w:p>
        </w:tc>
        <w:tc>
          <w:tcPr>
            <w:tcW w:w="960" w:type="dxa"/>
            <w:vAlign w:val="center"/>
          </w:tcPr>
          <w:p>
            <w:pPr>
              <w:pStyle w:val="55"/>
              <w:rPr>
                <w:color w:val="000000" w:themeColor="text1"/>
              </w:rPr>
            </w:pPr>
            <w:r>
              <w:rPr>
                <w:color w:val="000000" w:themeColor="text1"/>
                <w:kern w:val="0"/>
              </w:rPr>
              <w:t>H</w:t>
            </w:r>
            <w:r>
              <w:rPr>
                <w:color w:val="000000" w:themeColor="text1"/>
                <w:kern w:val="0"/>
                <w:vertAlign w:val="subscript"/>
              </w:rPr>
              <w:t>2</w:t>
            </w:r>
            <w:r>
              <w:rPr>
                <w:color w:val="000000" w:themeColor="text1"/>
                <w:kern w:val="0"/>
              </w:rPr>
              <w:t>S</w:t>
            </w:r>
          </w:p>
        </w:tc>
        <w:tc>
          <w:tcPr>
            <w:tcW w:w="1483" w:type="dxa"/>
            <w:vMerge w:val="continue"/>
            <w:vAlign w:val="center"/>
          </w:tcPr>
          <w:p>
            <w:pPr>
              <w:pStyle w:val="55"/>
              <w:rPr>
                <w:color w:val="000000" w:themeColor="text1"/>
              </w:rPr>
            </w:pPr>
          </w:p>
        </w:tc>
        <w:tc>
          <w:tcPr>
            <w:tcW w:w="1733" w:type="dxa"/>
            <w:vMerge w:val="continue"/>
            <w:vAlign w:val="center"/>
          </w:tcPr>
          <w:p>
            <w:pPr>
              <w:pStyle w:val="55"/>
              <w:rPr>
                <w:color w:val="000000" w:themeColor="text1"/>
              </w:rPr>
            </w:pPr>
          </w:p>
        </w:tc>
        <w:tc>
          <w:tcPr>
            <w:tcW w:w="1146" w:type="dxa"/>
            <w:vAlign w:val="center"/>
          </w:tcPr>
          <w:p>
            <w:pPr>
              <w:pStyle w:val="55"/>
              <w:rPr>
                <w:color w:val="000000" w:themeColor="text1"/>
              </w:rPr>
            </w:pPr>
            <w:r>
              <w:rPr>
                <w:rFonts w:hint="eastAsia"/>
                <w:color w:val="000000" w:themeColor="text1"/>
              </w:rPr>
              <w:t>60</w:t>
            </w:r>
          </w:p>
        </w:tc>
        <w:tc>
          <w:tcPr>
            <w:tcW w:w="984" w:type="dxa"/>
            <w:vAlign w:val="center"/>
          </w:tcPr>
          <w:p>
            <w:pPr>
              <w:pStyle w:val="55"/>
              <w:rPr>
                <w:color w:val="000000" w:themeColor="text1"/>
                <w:kern w:val="0"/>
              </w:rPr>
            </w:pPr>
            <w:r>
              <w:rPr>
                <w:rFonts w:hint="eastAsia"/>
                <w:color w:val="000000" w:themeColor="text1"/>
                <w:kern w:val="0"/>
              </w:rPr>
              <w:t>0.00288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 w:type="dxa"/>
            <w:vAlign w:val="center"/>
          </w:tcPr>
          <w:p>
            <w:pPr>
              <w:pStyle w:val="55"/>
              <w:rPr>
                <w:color w:val="000000" w:themeColor="text1"/>
              </w:rPr>
            </w:pPr>
            <w:r>
              <w:rPr>
                <w:rFonts w:hint="eastAsia"/>
                <w:color w:val="000000" w:themeColor="text1"/>
              </w:rPr>
              <w:t>3</w:t>
            </w:r>
          </w:p>
        </w:tc>
        <w:tc>
          <w:tcPr>
            <w:tcW w:w="685" w:type="dxa"/>
            <w:vAlign w:val="center"/>
          </w:tcPr>
          <w:p>
            <w:pPr>
              <w:pStyle w:val="55"/>
              <w:rPr>
                <w:color w:val="000000" w:themeColor="text1"/>
              </w:rPr>
            </w:pPr>
            <w:r>
              <w:rPr>
                <w:rFonts w:hint="eastAsia"/>
                <w:color w:val="000000" w:themeColor="text1"/>
              </w:rPr>
              <w:t>/</w:t>
            </w:r>
          </w:p>
        </w:tc>
        <w:tc>
          <w:tcPr>
            <w:tcW w:w="946" w:type="dxa"/>
            <w:vMerge w:val="restart"/>
            <w:vAlign w:val="center"/>
          </w:tcPr>
          <w:p>
            <w:pPr>
              <w:pStyle w:val="55"/>
              <w:rPr>
                <w:color w:val="000000" w:themeColor="text1"/>
              </w:rPr>
            </w:pPr>
            <w:r>
              <w:rPr>
                <w:rFonts w:hint="eastAsia"/>
                <w:color w:val="000000" w:themeColor="text1"/>
              </w:rPr>
              <w:t>生猪屠宰车间</w:t>
            </w:r>
          </w:p>
        </w:tc>
        <w:tc>
          <w:tcPr>
            <w:tcW w:w="960" w:type="dxa"/>
            <w:vAlign w:val="center"/>
          </w:tcPr>
          <w:p>
            <w:pPr>
              <w:pStyle w:val="55"/>
              <w:rPr>
                <w:color w:val="000000" w:themeColor="text1"/>
              </w:rPr>
            </w:pPr>
            <w:r>
              <w:rPr>
                <w:color w:val="000000" w:themeColor="text1"/>
                <w:kern w:val="0"/>
              </w:rPr>
              <w:t>NH</w:t>
            </w:r>
            <w:r>
              <w:rPr>
                <w:color w:val="000000" w:themeColor="text1"/>
                <w:kern w:val="0"/>
                <w:vertAlign w:val="subscript"/>
              </w:rPr>
              <w:t>3</w:t>
            </w:r>
          </w:p>
        </w:tc>
        <w:tc>
          <w:tcPr>
            <w:tcW w:w="1483" w:type="dxa"/>
            <w:vMerge w:val="continue"/>
            <w:vAlign w:val="center"/>
          </w:tcPr>
          <w:p>
            <w:pPr>
              <w:pStyle w:val="55"/>
              <w:rPr>
                <w:color w:val="000000" w:themeColor="text1"/>
              </w:rPr>
            </w:pPr>
          </w:p>
        </w:tc>
        <w:tc>
          <w:tcPr>
            <w:tcW w:w="1733" w:type="dxa"/>
            <w:vMerge w:val="continue"/>
            <w:vAlign w:val="center"/>
          </w:tcPr>
          <w:p>
            <w:pPr>
              <w:pStyle w:val="55"/>
              <w:rPr>
                <w:color w:val="000000" w:themeColor="text1"/>
              </w:rPr>
            </w:pPr>
          </w:p>
        </w:tc>
        <w:tc>
          <w:tcPr>
            <w:tcW w:w="1146" w:type="dxa"/>
            <w:vAlign w:val="center"/>
          </w:tcPr>
          <w:p>
            <w:pPr>
              <w:pStyle w:val="55"/>
              <w:rPr>
                <w:color w:val="000000" w:themeColor="text1"/>
              </w:rPr>
            </w:pPr>
            <w:r>
              <w:rPr>
                <w:rFonts w:hint="eastAsia"/>
                <w:color w:val="000000" w:themeColor="text1"/>
              </w:rPr>
              <w:t>1500</w:t>
            </w:r>
          </w:p>
        </w:tc>
        <w:tc>
          <w:tcPr>
            <w:tcW w:w="984" w:type="dxa"/>
            <w:vAlign w:val="center"/>
          </w:tcPr>
          <w:p>
            <w:pPr>
              <w:pStyle w:val="55"/>
              <w:rPr>
                <w:color w:val="000000" w:themeColor="text1"/>
                <w:kern w:val="0"/>
              </w:rPr>
            </w:pPr>
            <w:r>
              <w:rPr>
                <w:rFonts w:hint="eastAsia"/>
                <w:color w:val="000000" w:themeColor="text1"/>
                <w:kern w:val="0"/>
              </w:rPr>
              <w:t>0.0173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 w:type="dxa"/>
            <w:vAlign w:val="center"/>
          </w:tcPr>
          <w:p>
            <w:pPr>
              <w:pStyle w:val="55"/>
              <w:rPr>
                <w:color w:val="000000" w:themeColor="text1"/>
              </w:rPr>
            </w:pPr>
            <w:r>
              <w:rPr>
                <w:rFonts w:hint="eastAsia"/>
                <w:color w:val="000000" w:themeColor="text1"/>
              </w:rPr>
              <w:t>4</w:t>
            </w:r>
          </w:p>
        </w:tc>
        <w:tc>
          <w:tcPr>
            <w:tcW w:w="685" w:type="dxa"/>
            <w:vAlign w:val="center"/>
          </w:tcPr>
          <w:p>
            <w:pPr>
              <w:pStyle w:val="55"/>
              <w:rPr>
                <w:color w:val="000000" w:themeColor="text1"/>
              </w:rPr>
            </w:pPr>
            <w:r>
              <w:rPr>
                <w:rFonts w:hint="eastAsia"/>
                <w:color w:val="000000" w:themeColor="text1"/>
              </w:rPr>
              <w:t>/</w:t>
            </w:r>
          </w:p>
        </w:tc>
        <w:tc>
          <w:tcPr>
            <w:tcW w:w="946" w:type="dxa"/>
            <w:vMerge w:val="continue"/>
            <w:vAlign w:val="center"/>
          </w:tcPr>
          <w:p>
            <w:pPr>
              <w:pStyle w:val="55"/>
              <w:rPr>
                <w:color w:val="000000" w:themeColor="text1"/>
              </w:rPr>
            </w:pPr>
          </w:p>
        </w:tc>
        <w:tc>
          <w:tcPr>
            <w:tcW w:w="960" w:type="dxa"/>
            <w:vAlign w:val="center"/>
          </w:tcPr>
          <w:p>
            <w:pPr>
              <w:pStyle w:val="55"/>
              <w:rPr>
                <w:color w:val="000000" w:themeColor="text1"/>
              </w:rPr>
            </w:pPr>
            <w:r>
              <w:rPr>
                <w:color w:val="000000" w:themeColor="text1"/>
                <w:kern w:val="0"/>
              </w:rPr>
              <w:t>H</w:t>
            </w:r>
            <w:r>
              <w:rPr>
                <w:color w:val="000000" w:themeColor="text1"/>
                <w:kern w:val="0"/>
                <w:vertAlign w:val="subscript"/>
              </w:rPr>
              <w:t>2</w:t>
            </w:r>
            <w:r>
              <w:rPr>
                <w:color w:val="000000" w:themeColor="text1"/>
                <w:kern w:val="0"/>
              </w:rPr>
              <w:t>S</w:t>
            </w:r>
          </w:p>
        </w:tc>
        <w:tc>
          <w:tcPr>
            <w:tcW w:w="1483" w:type="dxa"/>
            <w:vMerge w:val="continue"/>
            <w:vAlign w:val="center"/>
          </w:tcPr>
          <w:p>
            <w:pPr>
              <w:pStyle w:val="55"/>
              <w:rPr>
                <w:color w:val="000000" w:themeColor="text1"/>
              </w:rPr>
            </w:pPr>
          </w:p>
        </w:tc>
        <w:tc>
          <w:tcPr>
            <w:tcW w:w="1733" w:type="dxa"/>
            <w:vMerge w:val="continue"/>
            <w:vAlign w:val="center"/>
          </w:tcPr>
          <w:p>
            <w:pPr>
              <w:pStyle w:val="55"/>
              <w:rPr>
                <w:color w:val="000000" w:themeColor="text1"/>
              </w:rPr>
            </w:pPr>
          </w:p>
        </w:tc>
        <w:tc>
          <w:tcPr>
            <w:tcW w:w="1146" w:type="dxa"/>
            <w:vAlign w:val="center"/>
          </w:tcPr>
          <w:p>
            <w:pPr>
              <w:pStyle w:val="55"/>
              <w:rPr>
                <w:color w:val="000000" w:themeColor="text1"/>
              </w:rPr>
            </w:pPr>
            <w:r>
              <w:rPr>
                <w:rFonts w:hint="eastAsia"/>
                <w:color w:val="000000" w:themeColor="text1"/>
              </w:rPr>
              <w:t>60</w:t>
            </w:r>
          </w:p>
        </w:tc>
        <w:tc>
          <w:tcPr>
            <w:tcW w:w="984" w:type="dxa"/>
            <w:vAlign w:val="center"/>
          </w:tcPr>
          <w:p>
            <w:pPr>
              <w:pStyle w:val="55"/>
              <w:rPr>
                <w:color w:val="000000" w:themeColor="text1"/>
                <w:kern w:val="0"/>
              </w:rPr>
            </w:pPr>
            <w:r>
              <w:rPr>
                <w:rFonts w:hint="eastAsia"/>
                <w:color w:val="000000" w:themeColor="text1"/>
                <w:kern w:val="0"/>
              </w:rPr>
              <w:t>0.0008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 w:type="dxa"/>
            <w:vAlign w:val="center"/>
          </w:tcPr>
          <w:p>
            <w:pPr>
              <w:pStyle w:val="55"/>
              <w:rPr>
                <w:color w:val="000000" w:themeColor="text1"/>
              </w:rPr>
            </w:pPr>
            <w:r>
              <w:rPr>
                <w:rFonts w:hint="eastAsia"/>
                <w:color w:val="000000" w:themeColor="text1"/>
              </w:rPr>
              <w:t>5</w:t>
            </w:r>
          </w:p>
        </w:tc>
        <w:tc>
          <w:tcPr>
            <w:tcW w:w="685" w:type="dxa"/>
            <w:vAlign w:val="center"/>
          </w:tcPr>
          <w:p>
            <w:pPr>
              <w:pStyle w:val="55"/>
              <w:rPr>
                <w:color w:val="000000" w:themeColor="text1"/>
              </w:rPr>
            </w:pPr>
            <w:r>
              <w:rPr>
                <w:rFonts w:hint="eastAsia"/>
                <w:color w:val="000000" w:themeColor="text1"/>
              </w:rPr>
              <w:t>/</w:t>
            </w:r>
          </w:p>
        </w:tc>
        <w:tc>
          <w:tcPr>
            <w:tcW w:w="946" w:type="dxa"/>
            <w:vMerge w:val="restart"/>
            <w:vAlign w:val="center"/>
          </w:tcPr>
          <w:p>
            <w:pPr>
              <w:pStyle w:val="55"/>
              <w:rPr>
                <w:color w:val="000000" w:themeColor="text1"/>
              </w:rPr>
            </w:pPr>
            <w:r>
              <w:rPr>
                <w:rFonts w:hint="eastAsia"/>
                <w:color w:val="000000" w:themeColor="text1"/>
              </w:rPr>
              <w:t>待宰鸡圈</w:t>
            </w:r>
          </w:p>
        </w:tc>
        <w:tc>
          <w:tcPr>
            <w:tcW w:w="960" w:type="dxa"/>
            <w:vAlign w:val="center"/>
          </w:tcPr>
          <w:p>
            <w:pPr>
              <w:pStyle w:val="55"/>
              <w:rPr>
                <w:color w:val="000000" w:themeColor="text1"/>
              </w:rPr>
            </w:pPr>
            <w:r>
              <w:rPr>
                <w:color w:val="000000" w:themeColor="text1"/>
                <w:kern w:val="0"/>
              </w:rPr>
              <w:t>NH</w:t>
            </w:r>
            <w:r>
              <w:rPr>
                <w:color w:val="000000" w:themeColor="text1"/>
                <w:kern w:val="0"/>
                <w:vertAlign w:val="subscript"/>
              </w:rPr>
              <w:t>3</w:t>
            </w:r>
          </w:p>
        </w:tc>
        <w:tc>
          <w:tcPr>
            <w:tcW w:w="1483" w:type="dxa"/>
            <w:vMerge w:val="continue"/>
            <w:vAlign w:val="center"/>
          </w:tcPr>
          <w:p>
            <w:pPr>
              <w:pStyle w:val="55"/>
              <w:rPr>
                <w:color w:val="000000" w:themeColor="text1"/>
              </w:rPr>
            </w:pPr>
          </w:p>
        </w:tc>
        <w:tc>
          <w:tcPr>
            <w:tcW w:w="1733" w:type="dxa"/>
            <w:vMerge w:val="continue"/>
            <w:vAlign w:val="center"/>
          </w:tcPr>
          <w:p>
            <w:pPr>
              <w:pStyle w:val="55"/>
              <w:rPr>
                <w:color w:val="000000" w:themeColor="text1"/>
              </w:rPr>
            </w:pPr>
          </w:p>
        </w:tc>
        <w:tc>
          <w:tcPr>
            <w:tcW w:w="1146" w:type="dxa"/>
            <w:vAlign w:val="center"/>
          </w:tcPr>
          <w:p>
            <w:pPr>
              <w:pStyle w:val="55"/>
              <w:rPr>
                <w:color w:val="000000" w:themeColor="text1"/>
              </w:rPr>
            </w:pPr>
            <w:r>
              <w:rPr>
                <w:rFonts w:hint="eastAsia"/>
                <w:color w:val="000000" w:themeColor="text1"/>
              </w:rPr>
              <w:t>1500</w:t>
            </w:r>
          </w:p>
        </w:tc>
        <w:tc>
          <w:tcPr>
            <w:tcW w:w="984" w:type="dxa"/>
            <w:vAlign w:val="center"/>
          </w:tcPr>
          <w:p>
            <w:pPr>
              <w:pStyle w:val="55"/>
              <w:rPr>
                <w:color w:val="000000" w:themeColor="text1"/>
              </w:rPr>
            </w:pPr>
            <w:r>
              <w:rPr>
                <w:rFonts w:hint="eastAsia"/>
                <w:color w:val="000000" w:themeColor="text1"/>
                <w:kern w:val="0"/>
              </w:rPr>
              <w:t>0.0218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 w:type="dxa"/>
            <w:vAlign w:val="center"/>
          </w:tcPr>
          <w:p>
            <w:pPr>
              <w:pStyle w:val="55"/>
              <w:rPr>
                <w:color w:val="000000" w:themeColor="text1"/>
              </w:rPr>
            </w:pPr>
            <w:r>
              <w:rPr>
                <w:rFonts w:hint="eastAsia"/>
                <w:color w:val="000000" w:themeColor="text1"/>
              </w:rPr>
              <w:t>6</w:t>
            </w:r>
          </w:p>
        </w:tc>
        <w:tc>
          <w:tcPr>
            <w:tcW w:w="685" w:type="dxa"/>
            <w:vAlign w:val="center"/>
          </w:tcPr>
          <w:p>
            <w:pPr>
              <w:pStyle w:val="55"/>
              <w:rPr>
                <w:color w:val="000000" w:themeColor="text1"/>
              </w:rPr>
            </w:pPr>
            <w:r>
              <w:rPr>
                <w:rFonts w:hint="eastAsia"/>
                <w:color w:val="000000" w:themeColor="text1"/>
              </w:rPr>
              <w:t>/</w:t>
            </w:r>
          </w:p>
        </w:tc>
        <w:tc>
          <w:tcPr>
            <w:tcW w:w="946" w:type="dxa"/>
            <w:vMerge w:val="continue"/>
            <w:vAlign w:val="center"/>
          </w:tcPr>
          <w:p>
            <w:pPr>
              <w:pStyle w:val="55"/>
              <w:rPr>
                <w:color w:val="000000" w:themeColor="text1"/>
              </w:rPr>
            </w:pPr>
          </w:p>
        </w:tc>
        <w:tc>
          <w:tcPr>
            <w:tcW w:w="960" w:type="dxa"/>
            <w:vAlign w:val="center"/>
          </w:tcPr>
          <w:p>
            <w:pPr>
              <w:pStyle w:val="55"/>
              <w:rPr>
                <w:color w:val="000000" w:themeColor="text1"/>
              </w:rPr>
            </w:pPr>
            <w:r>
              <w:rPr>
                <w:color w:val="000000" w:themeColor="text1"/>
                <w:kern w:val="0"/>
              </w:rPr>
              <w:t>H</w:t>
            </w:r>
            <w:r>
              <w:rPr>
                <w:color w:val="000000" w:themeColor="text1"/>
                <w:kern w:val="0"/>
                <w:vertAlign w:val="subscript"/>
              </w:rPr>
              <w:t>2</w:t>
            </w:r>
            <w:r>
              <w:rPr>
                <w:color w:val="000000" w:themeColor="text1"/>
                <w:kern w:val="0"/>
              </w:rPr>
              <w:t>S</w:t>
            </w:r>
          </w:p>
        </w:tc>
        <w:tc>
          <w:tcPr>
            <w:tcW w:w="1483" w:type="dxa"/>
            <w:vMerge w:val="continue"/>
            <w:vAlign w:val="center"/>
          </w:tcPr>
          <w:p>
            <w:pPr>
              <w:pStyle w:val="55"/>
              <w:rPr>
                <w:color w:val="000000" w:themeColor="text1"/>
              </w:rPr>
            </w:pPr>
          </w:p>
        </w:tc>
        <w:tc>
          <w:tcPr>
            <w:tcW w:w="1733" w:type="dxa"/>
            <w:vMerge w:val="continue"/>
            <w:vAlign w:val="center"/>
          </w:tcPr>
          <w:p>
            <w:pPr>
              <w:pStyle w:val="55"/>
              <w:rPr>
                <w:color w:val="000000" w:themeColor="text1"/>
              </w:rPr>
            </w:pPr>
          </w:p>
        </w:tc>
        <w:tc>
          <w:tcPr>
            <w:tcW w:w="1146" w:type="dxa"/>
            <w:vAlign w:val="center"/>
          </w:tcPr>
          <w:p>
            <w:pPr>
              <w:pStyle w:val="55"/>
              <w:rPr>
                <w:color w:val="000000" w:themeColor="text1"/>
              </w:rPr>
            </w:pPr>
            <w:r>
              <w:rPr>
                <w:rFonts w:hint="eastAsia"/>
                <w:color w:val="000000" w:themeColor="text1"/>
              </w:rPr>
              <w:t>60</w:t>
            </w:r>
          </w:p>
        </w:tc>
        <w:tc>
          <w:tcPr>
            <w:tcW w:w="984" w:type="dxa"/>
            <w:vAlign w:val="center"/>
          </w:tcPr>
          <w:p>
            <w:pPr>
              <w:pStyle w:val="55"/>
              <w:rPr>
                <w:color w:val="000000" w:themeColor="text1"/>
              </w:rPr>
            </w:pPr>
            <w:r>
              <w:rPr>
                <w:rFonts w:hint="eastAsia"/>
                <w:color w:val="000000" w:themeColor="text1"/>
                <w:kern w:val="0"/>
              </w:rPr>
              <w:t>0.00044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 w:type="dxa"/>
            <w:vAlign w:val="center"/>
          </w:tcPr>
          <w:p>
            <w:pPr>
              <w:pStyle w:val="55"/>
              <w:rPr>
                <w:color w:val="000000" w:themeColor="text1"/>
              </w:rPr>
            </w:pPr>
            <w:r>
              <w:rPr>
                <w:rFonts w:hint="eastAsia"/>
                <w:color w:val="000000" w:themeColor="text1"/>
              </w:rPr>
              <w:t>7</w:t>
            </w:r>
          </w:p>
        </w:tc>
        <w:tc>
          <w:tcPr>
            <w:tcW w:w="685" w:type="dxa"/>
            <w:vAlign w:val="center"/>
          </w:tcPr>
          <w:p>
            <w:pPr>
              <w:pStyle w:val="55"/>
              <w:rPr>
                <w:color w:val="000000" w:themeColor="text1"/>
              </w:rPr>
            </w:pPr>
            <w:r>
              <w:rPr>
                <w:rFonts w:hint="eastAsia"/>
                <w:color w:val="000000" w:themeColor="text1"/>
              </w:rPr>
              <w:t>/</w:t>
            </w:r>
          </w:p>
        </w:tc>
        <w:tc>
          <w:tcPr>
            <w:tcW w:w="946" w:type="dxa"/>
            <w:vMerge w:val="restart"/>
            <w:vAlign w:val="center"/>
          </w:tcPr>
          <w:p>
            <w:pPr>
              <w:pStyle w:val="55"/>
              <w:rPr>
                <w:color w:val="000000" w:themeColor="text1"/>
              </w:rPr>
            </w:pPr>
            <w:r>
              <w:rPr>
                <w:rFonts w:hint="eastAsia"/>
                <w:color w:val="000000" w:themeColor="text1"/>
              </w:rPr>
              <w:t>生鸡屠宰车间</w:t>
            </w:r>
          </w:p>
        </w:tc>
        <w:tc>
          <w:tcPr>
            <w:tcW w:w="960" w:type="dxa"/>
            <w:vAlign w:val="center"/>
          </w:tcPr>
          <w:p>
            <w:pPr>
              <w:pStyle w:val="55"/>
              <w:rPr>
                <w:color w:val="000000" w:themeColor="text1"/>
              </w:rPr>
            </w:pPr>
            <w:r>
              <w:rPr>
                <w:color w:val="000000" w:themeColor="text1"/>
                <w:kern w:val="0"/>
              </w:rPr>
              <w:t>NH</w:t>
            </w:r>
            <w:r>
              <w:rPr>
                <w:color w:val="000000" w:themeColor="text1"/>
                <w:kern w:val="0"/>
                <w:vertAlign w:val="subscript"/>
              </w:rPr>
              <w:t>3</w:t>
            </w:r>
          </w:p>
        </w:tc>
        <w:tc>
          <w:tcPr>
            <w:tcW w:w="1483" w:type="dxa"/>
            <w:vMerge w:val="continue"/>
            <w:vAlign w:val="center"/>
          </w:tcPr>
          <w:p>
            <w:pPr>
              <w:pStyle w:val="55"/>
              <w:rPr>
                <w:color w:val="000000" w:themeColor="text1"/>
              </w:rPr>
            </w:pPr>
          </w:p>
        </w:tc>
        <w:tc>
          <w:tcPr>
            <w:tcW w:w="1733" w:type="dxa"/>
            <w:vMerge w:val="continue"/>
            <w:vAlign w:val="center"/>
          </w:tcPr>
          <w:p>
            <w:pPr>
              <w:pStyle w:val="55"/>
              <w:rPr>
                <w:color w:val="000000" w:themeColor="text1"/>
              </w:rPr>
            </w:pPr>
          </w:p>
        </w:tc>
        <w:tc>
          <w:tcPr>
            <w:tcW w:w="1146" w:type="dxa"/>
            <w:vAlign w:val="center"/>
          </w:tcPr>
          <w:p>
            <w:pPr>
              <w:pStyle w:val="55"/>
              <w:rPr>
                <w:color w:val="000000" w:themeColor="text1"/>
              </w:rPr>
            </w:pPr>
            <w:r>
              <w:rPr>
                <w:rFonts w:hint="eastAsia"/>
                <w:color w:val="000000" w:themeColor="text1"/>
              </w:rPr>
              <w:t>1500</w:t>
            </w:r>
          </w:p>
        </w:tc>
        <w:tc>
          <w:tcPr>
            <w:tcW w:w="984" w:type="dxa"/>
            <w:vAlign w:val="center"/>
          </w:tcPr>
          <w:p>
            <w:pPr>
              <w:pStyle w:val="55"/>
              <w:rPr>
                <w:color w:val="000000" w:themeColor="text1"/>
              </w:rPr>
            </w:pPr>
            <w:r>
              <w:rPr>
                <w:rFonts w:hint="eastAsia"/>
                <w:color w:val="000000" w:themeColor="text1"/>
                <w:kern w:val="0"/>
              </w:rPr>
              <w:t>0.0582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 w:type="dxa"/>
            <w:vAlign w:val="center"/>
          </w:tcPr>
          <w:p>
            <w:pPr>
              <w:pStyle w:val="55"/>
              <w:rPr>
                <w:color w:val="000000" w:themeColor="text1"/>
              </w:rPr>
            </w:pPr>
            <w:r>
              <w:rPr>
                <w:rFonts w:hint="eastAsia"/>
                <w:color w:val="000000" w:themeColor="text1"/>
              </w:rPr>
              <w:t>8</w:t>
            </w:r>
          </w:p>
        </w:tc>
        <w:tc>
          <w:tcPr>
            <w:tcW w:w="685" w:type="dxa"/>
            <w:vAlign w:val="center"/>
          </w:tcPr>
          <w:p>
            <w:pPr>
              <w:pStyle w:val="55"/>
              <w:rPr>
                <w:color w:val="000000" w:themeColor="text1"/>
              </w:rPr>
            </w:pPr>
            <w:r>
              <w:rPr>
                <w:rFonts w:hint="eastAsia"/>
                <w:color w:val="000000" w:themeColor="text1"/>
              </w:rPr>
              <w:t>/</w:t>
            </w:r>
          </w:p>
        </w:tc>
        <w:tc>
          <w:tcPr>
            <w:tcW w:w="946" w:type="dxa"/>
            <w:vMerge w:val="continue"/>
            <w:vAlign w:val="center"/>
          </w:tcPr>
          <w:p>
            <w:pPr>
              <w:pStyle w:val="55"/>
              <w:rPr>
                <w:color w:val="000000" w:themeColor="text1"/>
              </w:rPr>
            </w:pPr>
          </w:p>
        </w:tc>
        <w:tc>
          <w:tcPr>
            <w:tcW w:w="960" w:type="dxa"/>
            <w:vAlign w:val="center"/>
          </w:tcPr>
          <w:p>
            <w:pPr>
              <w:pStyle w:val="55"/>
              <w:rPr>
                <w:color w:val="000000" w:themeColor="text1"/>
              </w:rPr>
            </w:pPr>
            <w:r>
              <w:rPr>
                <w:color w:val="000000" w:themeColor="text1"/>
                <w:kern w:val="0"/>
              </w:rPr>
              <w:t>H</w:t>
            </w:r>
            <w:r>
              <w:rPr>
                <w:color w:val="000000" w:themeColor="text1"/>
                <w:kern w:val="0"/>
                <w:vertAlign w:val="subscript"/>
              </w:rPr>
              <w:t>2</w:t>
            </w:r>
            <w:r>
              <w:rPr>
                <w:color w:val="000000" w:themeColor="text1"/>
                <w:kern w:val="0"/>
              </w:rPr>
              <w:t>S</w:t>
            </w:r>
          </w:p>
        </w:tc>
        <w:tc>
          <w:tcPr>
            <w:tcW w:w="1483" w:type="dxa"/>
            <w:vMerge w:val="continue"/>
            <w:vAlign w:val="center"/>
          </w:tcPr>
          <w:p>
            <w:pPr>
              <w:pStyle w:val="55"/>
              <w:rPr>
                <w:color w:val="000000" w:themeColor="text1"/>
              </w:rPr>
            </w:pPr>
          </w:p>
        </w:tc>
        <w:tc>
          <w:tcPr>
            <w:tcW w:w="1733" w:type="dxa"/>
            <w:vMerge w:val="continue"/>
            <w:vAlign w:val="center"/>
          </w:tcPr>
          <w:p>
            <w:pPr>
              <w:pStyle w:val="55"/>
              <w:rPr>
                <w:color w:val="000000" w:themeColor="text1"/>
              </w:rPr>
            </w:pPr>
          </w:p>
        </w:tc>
        <w:tc>
          <w:tcPr>
            <w:tcW w:w="1146" w:type="dxa"/>
            <w:vAlign w:val="center"/>
          </w:tcPr>
          <w:p>
            <w:pPr>
              <w:pStyle w:val="55"/>
              <w:rPr>
                <w:color w:val="000000" w:themeColor="text1"/>
              </w:rPr>
            </w:pPr>
            <w:r>
              <w:rPr>
                <w:rFonts w:hint="eastAsia"/>
                <w:color w:val="000000" w:themeColor="text1"/>
              </w:rPr>
              <w:t>60</w:t>
            </w:r>
          </w:p>
        </w:tc>
        <w:tc>
          <w:tcPr>
            <w:tcW w:w="984" w:type="dxa"/>
            <w:vAlign w:val="center"/>
          </w:tcPr>
          <w:p>
            <w:pPr>
              <w:pStyle w:val="55"/>
              <w:rPr>
                <w:color w:val="000000" w:themeColor="text1"/>
              </w:rPr>
            </w:pPr>
            <w:r>
              <w:rPr>
                <w:rFonts w:hint="eastAsia"/>
                <w:color w:val="000000" w:themeColor="text1"/>
                <w:kern w:val="0"/>
              </w:rPr>
              <w:t>0.0017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trPr>
        <w:tc>
          <w:tcPr>
            <w:tcW w:w="426" w:type="dxa"/>
            <w:vAlign w:val="center"/>
          </w:tcPr>
          <w:p>
            <w:pPr>
              <w:pStyle w:val="55"/>
              <w:rPr>
                <w:color w:val="000000" w:themeColor="text1"/>
              </w:rPr>
            </w:pPr>
            <w:r>
              <w:rPr>
                <w:rFonts w:hint="eastAsia"/>
                <w:color w:val="000000" w:themeColor="text1"/>
              </w:rPr>
              <w:t>9</w:t>
            </w:r>
          </w:p>
        </w:tc>
        <w:tc>
          <w:tcPr>
            <w:tcW w:w="685" w:type="dxa"/>
            <w:vAlign w:val="center"/>
          </w:tcPr>
          <w:p>
            <w:pPr>
              <w:pStyle w:val="55"/>
              <w:rPr>
                <w:color w:val="000000" w:themeColor="text1"/>
              </w:rPr>
            </w:pPr>
            <w:r>
              <w:rPr>
                <w:rFonts w:hint="eastAsia"/>
                <w:color w:val="000000" w:themeColor="text1"/>
              </w:rPr>
              <w:t>/</w:t>
            </w:r>
          </w:p>
        </w:tc>
        <w:tc>
          <w:tcPr>
            <w:tcW w:w="946" w:type="dxa"/>
            <w:vMerge w:val="restart"/>
            <w:vAlign w:val="center"/>
          </w:tcPr>
          <w:p>
            <w:pPr>
              <w:pStyle w:val="55"/>
              <w:rPr>
                <w:color w:val="000000" w:themeColor="text1"/>
              </w:rPr>
            </w:pPr>
            <w:r>
              <w:rPr>
                <w:rFonts w:hint="eastAsia"/>
                <w:color w:val="000000" w:themeColor="text1"/>
              </w:rPr>
              <w:t>污水处理站</w:t>
            </w:r>
          </w:p>
        </w:tc>
        <w:tc>
          <w:tcPr>
            <w:tcW w:w="960" w:type="dxa"/>
            <w:vAlign w:val="center"/>
          </w:tcPr>
          <w:p>
            <w:pPr>
              <w:pStyle w:val="55"/>
              <w:rPr>
                <w:color w:val="000000" w:themeColor="text1"/>
              </w:rPr>
            </w:pPr>
            <w:r>
              <w:rPr>
                <w:color w:val="000000" w:themeColor="text1"/>
                <w:kern w:val="0"/>
              </w:rPr>
              <w:t>NH</w:t>
            </w:r>
            <w:r>
              <w:rPr>
                <w:color w:val="000000" w:themeColor="text1"/>
                <w:kern w:val="0"/>
                <w:vertAlign w:val="subscript"/>
              </w:rPr>
              <w:t>3</w:t>
            </w:r>
          </w:p>
        </w:tc>
        <w:tc>
          <w:tcPr>
            <w:tcW w:w="1483" w:type="dxa"/>
            <w:vMerge w:val="restart"/>
            <w:vAlign w:val="center"/>
          </w:tcPr>
          <w:p>
            <w:pPr>
              <w:pStyle w:val="55"/>
              <w:rPr>
                <w:color w:val="000000" w:themeColor="text1"/>
              </w:rPr>
            </w:pPr>
            <w:r>
              <w:rPr>
                <w:rFonts w:hint="eastAsia"/>
                <w:color w:val="000000" w:themeColor="text1"/>
              </w:rPr>
              <w:t>污水处理站设为地埋式，喷洒生物除臭剂，周边设置绿化隔离带等措施除臭</w:t>
            </w:r>
          </w:p>
        </w:tc>
        <w:tc>
          <w:tcPr>
            <w:tcW w:w="1733" w:type="dxa"/>
            <w:vMerge w:val="continue"/>
            <w:vAlign w:val="center"/>
          </w:tcPr>
          <w:p>
            <w:pPr>
              <w:pStyle w:val="55"/>
              <w:rPr>
                <w:color w:val="000000" w:themeColor="text1"/>
              </w:rPr>
            </w:pPr>
          </w:p>
        </w:tc>
        <w:tc>
          <w:tcPr>
            <w:tcW w:w="1146" w:type="dxa"/>
            <w:vAlign w:val="center"/>
          </w:tcPr>
          <w:p>
            <w:pPr>
              <w:pStyle w:val="55"/>
              <w:rPr>
                <w:color w:val="000000" w:themeColor="text1"/>
              </w:rPr>
            </w:pPr>
            <w:r>
              <w:rPr>
                <w:rFonts w:hint="eastAsia"/>
                <w:color w:val="000000" w:themeColor="text1"/>
              </w:rPr>
              <w:t>1500</w:t>
            </w:r>
          </w:p>
        </w:tc>
        <w:tc>
          <w:tcPr>
            <w:tcW w:w="984" w:type="dxa"/>
            <w:vAlign w:val="center"/>
          </w:tcPr>
          <w:p>
            <w:pPr>
              <w:pStyle w:val="55"/>
              <w:rPr>
                <w:color w:val="000000" w:themeColor="text1"/>
                <w:kern w:val="0"/>
              </w:rPr>
            </w:pPr>
            <w:r>
              <w:rPr>
                <w:rFonts w:hint="eastAsia"/>
                <w:color w:val="000000" w:themeColor="text1"/>
                <w:kern w:val="0"/>
              </w:rPr>
              <w:t>0.19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 w:type="dxa"/>
            <w:vAlign w:val="center"/>
          </w:tcPr>
          <w:p>
            <w:pPr>
              <w:pStyle w:val="55"/>
              <w:rPr>
                <w:color w:val="000000" w:themeColor="text1"/>
              </w:rPr>
            </w:pPr>
            <w:r>
              <w:rPr>
                <w:rFonts w:hint="eastAsia"/>
                <w:color w:val="000000" w:themeColor="text1"/>
              </w:rPr>
              <w:t>10</w:t>
            </w:r>
          </w:p>
        </w:tc>
        <w:tc>
          <w:tcPr>
            <w:tcW w:w="685" w:type="dxa"/>
            <w:vAlign w:val="center"/>
          </w:tcPr>
          <w:p>
            <w:pPr>
              <w:pStyle w:val="55"/>
              <w:rPr>
                <w:color w:val="000000" w:themeColor="text1"/>
              </w:rPr>
            </w:pPr>
            <w:r>
              <w:rPr>
                <w:rFonts w:hint="eastAsia"/>
                <w:color w:val="000000" w:themeColor="text1"/>
              </w:rPr>
              <w:t>/</w:t>
            </w:r>
          </w:p>
        </w:tc>
        <w:tc>
          <w:tcPr>
            <w:tcW w:w="946" w:type="dxa"/>
            <w:vMerge w:val="continue"/>
            <w:vAlign w:val="center"/>
          </w:tcPr>
          <w:p>
            <w:pPr>
              <w:pStyle w:val="55"/>
              <w:rPr>
                <w:color w:val="000000" w:themeColor="text1"/>
              </w:rPr>
            </w:pPr>
          </w:p>
        </w:tc>
        <w:tc>
          <w:tcPr>
            <w:tcW w:w="960" w:type="dxa"/>
            <w:vAlign w:val="center"/>
          </w:tcPr>
          <w:p>
            <w:pPr>
              <w:pStyle w:val="55"/>
              <w:rPr>
                <w:color w:val="000000" w:themeColor="text1"/>
              </w:rPr>
            </w:pPr>
            <w:r>
              <w:rPr>
                <w:color w:val="000000" w:themeColor="text1"/>
                <w:kern w:val="0"/>
              </w:rPr>
              <w:t>H</w:t>
            </w:r>
            <w:r>
              <w:rPr>
                <w:color w:val="000000" w:themeColor="text1"/>
                <w:kern w:val="0"/>
                <w:vertAlign w:val="subscript"/>
              </w:rPr>
              <w:t>2</w:t>
            </w:r>
            <w:r>
              <w:rPr>
                <w:color w:val="000000" w:themeColor="text1"/>
                <w:kern w:val="0"/>
              </w:rPr>
              <w:t>S</w:t>
            </w:r>
          </w:p>
        </w:tc>
        <w:tc>
          <w:tcPr>
            <w:tcW w:w="1483" w:type="dxa"/>
            <w:vMerge w:val="continue"/>
            <w:vAlign w:val="center"/>
          </w:tcPr>
          <w:p>
            <w:pPr>
              <w:pStyle w:val="55"/>
              <w:rPr>
                <w:color w:val="000000" w:themeColor="text1"/>
              </w:rPr>
            </w:pPr>
          </w:p>
        </w:tc>
        <w:tc>
          <w:tcPr>
            <w:tcW w:w="1733" w:type="dxa"/>
            <w:vMerge w:val="continue"/>
            <w:vAlign w:val="center"/>
          </w:tcPr>
          <w:p>
            <w:pPr>
              <w:pStyle w:val="55"/>
              <w:rPr>
                <w:color w:val="000000" w:themeColor="text1"/>
              </w:rPr>
            </w:pPr>
          </w:p>
        </w:tc>
        <w:tc>
          <w:tcPr>
            <w:tcW w:w="1146" w:type="dxa"/>
            <w:vAlign w:val="center"/>
          </w:tcPr>
          <w:p>
            <w:pPr>
              <w:pStyle w:val="55"/>
              <w:rPr>
                <w:color w:val="000000" w:themeColor="text1"/>
              </w:rPr>
            </w:pPr>
            <w:r>
              <w:rPr>
                <w:rFonts w:hint="eastAsia"/>
                <w:color w:val="000000" w:themeColor="text1"/>
              </w:rPr>
              <w:t>60</w:t>
            </w:r>
          </w:p>
        </w:tc>
        <w:tc>
          <w:tcPr>
            <w:tcW w:w="984" w:type="dxa"/>
            <w:vAlign w:val="center"/>
          </w:tcPr>
          <w:p>
            <w:pPr>
              <w:pStyle w:val="55"/>
              <w:rPr>
                <w:color w:val="000000" w:themeColor="text1"/>
                <w:kern w:val="0"/>
              </w:rPr>
            </w:pPr>
            <w:r>
              <w:rPr>
                <w:color w:val="000000" w:themeColor="text1"/>
                <w:kern w:val="0"/>
              </w:rPr>
              <w:t>0.</w:t>
            </w:r>
            <w:r>
              <w:rPr>
                <w:rFonts w:hint="eastAsia"/>
                <w:color w:val="000000" w:themeColor="text1"/>
                <w:kern w:val="0"/>
              </w:rPr>
              <w:t>0074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17" w:type="dxa"/>
            <w:gridSpan w:val="4"/>
            <w:vMerge w:val="restart"/>
            <w:vAlign w:val="center"/>
          </w:tcPr>
          <w:p>
            <w:pPr>
              <w:pStyle w:val="55"/>
              <w:rPr>
                <w:color w:val="000000" w:themeColor="text1"/>
              </w:rPr>
            </w:pPr>
            <w:r>
              <w:rPr>
                <w:rFonts w:hint="eastAsia"/>
                <w:color w:val="000000" w:themeColor="text1"/>
              </w:rPr>
              <w:t>无组织排放总计</w:t>
            </w:r>
          </w:p>
        </w:tc>
        <w:tc>
          <w:tcPr>
            <w:tcW w:w="4362" w:type="dxa"/>
            <w:gridSpan w:val="3"/>
            <w:vAlign w:val="center"/>
          </w:tcPr>
          <w:p>
            <w:pPr>
              <w:pStyle w:val="55"/>
              <w:rPr>
                <w:color w:val="000000" w:themeColor="text1"/>
              </w:rPr>
            </w:pPr>
            <w:r>
              <w:rPr>
                <w:color w:val="000000" w:themeColor="text1"/>
                <w:kern w:val="0"/>
              </w:rPr>
              <w:t>NH</w:t>
            </w:r>
            <w:r>
              <w:rPr>
                <w:color w:val="000000" w:themeColor="text1"/>
                <w:kern w:val="0"/>
                <w:vertAlign w:val="subscript"/>
              </w:rPr>
              <w:t>3</w:t>
            </w:r>
          </w:p>
        </w:tc>
        <w:tc>
          <w:tcPr>
            <w:tcW w:w="984" w:type="dxa"/>
            <w:vAlign w:val="center"/>
          </w:tcPr>
          <w:p>
            <w:pPr>
              <w:pStyle w:val="55"/>
              <w:rPr>
                <w:color w:val="000000" w:themeColor="text1"/>
              </w:rPr>
            </w:pPr>
            <w:r>
              <w:rPr>
                <w:rFonts w:hint="eastAsia"/>
                <w:color w:val="000000" w:themeColor="text1"/>
                <w:lang w:bidi="zh-CN"/>
              </w:rPr>
              <w:t>0.3393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17" w:type="dxa"/>
            <w:gridSpan w:val="4"/>
            <w:vMerge w:val="continue"/>
            <w:vAlign w:val="center"/>
          </w:tcPr>
          <w:p>
            <w:pPr>
              <w:pStyle w:val="55"/>
              <w:rPr>
                <w:color w:val="000000" w:themeColor="text1"/>
              </w:rPr>
            </w:pPr>
          </w:p>
        </w:tc>
        <w:tc>
          <w:tcPr>
            <w:tcW w:w="4362" w:type="dxa"/>
            <w:gridSpan w:val="3"/>
            <w:vAlign w:val="center"/>
          </w:tcPr>
          <w:p>
            <w:pPr>
              <w:pStyle w:val="55"/>
              <w:rPr>
                <w:color w:val="000000" w:themeColor="text1"/>
              </w:rPr>
            </w:pPr>
            <w:r>
              <w:rPr>
                <w:color w:val="000000" w:themeColor="text1"/>
                <w:kern w:val="0"/>
              </w:rPr>
              <w:t>H</w:t>
            </w:r>
            <w:r>
              <w:rPr>
                <w:color w:val="000000" w:themeColor="text1"/>
                <w:kern w:val="0"/>
                <w:vertAlign w:val="subscript"/>
              </w:rPr>
              <w:t>2</w:t>
            </w:r>
            <w:r>
              <w:rPr>
                <w:color w:val="000000" w:themeColor="text1"/>
                <w:kern w:val="0"/>
              </w:rPr>
              <w:t>S</w:t>
            </w:r>
          </w:p>
        </w:tc>
        <w:tc>
          <w:tcPr>
            <w:tcW w:w="984" w:type="dxa"/>
            <w:vAlign w:val="center"/>
          </w:tcPr>
          <w:p>
            <w:pPr>
              <w:pStyle w:val="55"/>
              <w:rPr>
                <w:color w:val="000000" w:themeColor="text1"/>
              </w:rPr>
            </w:pPr>
            <w:r>
              <w:rPr>
                <w:rFonts w:hint="eastAsia"/>
                <w:color w:val="000000" w:themeColor="text1"/>
                <w:lang w:bidi="zh-CN"/>
              </w:rPr>
              <w:t>0.01322</w:t>
            </w:r>
          </w:p>
        </w:tc>
      </w:tr>
    </w:tbl>
    <w:p>
      <w:pPr>
        <w:ind w:firstLine="480"/>
        <w:rPr>
          <w:color w:val="000000" w:themeColor="text1"/>
        </w:rPr>
      </w:pPr>
      <w:r>
        <w:rPr>
          <w:rFonts w:hint="eastAsia"/>
          <w:color w:val="000000" w:themeColor="text1"/>
        </w:rPr>
        <w:t>3、项目大气污染物年排放量核算</w:t>
      </w:r>
    </w:p>
    <w:p>
      <w:pPr>
        <w:ind w:firstLine="480"/>
        <w:rPr>
          <w:rFonts w:cs="Times New Roman"/>
          <w:color w:val="000000" w:themeColor="text1"/>
        </w:rPr>
      </w:pPr>
      <w:r>
        <w:rPr>
          <w:rFonts w:hint="eastAsia" w:cs="Times New Roman"/>
          <w:color w:val="000000" w:themeColor="text1"/>
        </w:rPr>
        <w:t>本项目大气污染物年排放量核算详见表2.7.2-10。</w:t>
      </w:r>
    </w:p>
    <w:p>
      <w:pPr>
        <w:pStyle w:val="54"/>
        <w:rPr>
          <w:color w:val="000000" w:themeColor="text1"/>
        </w:rPr>
      </w:pPr>
      <w:r>
        <w:rPr>
          <w:rFonts w:hint="eastAsia"/>
          <w:color w:val="000000" w:themeColor="text1"/>
        </w:rPr>
        <w:t>表2.7.2-10  项目大气污染物年排放量核算表</w:t>
      </w:r>
    </w:p>
    <w:tbl>
      <w:tblPr>
        <w:tblStyle w:val="43"/>
        <w:tblW w:w="694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458"/>
        <w:gridCol w:w="2843"/>
        <w:gridCol w:w="264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58" w:type="dxa"/>
            <w:vAlign w:val="center"/>
          </w:tcPr>
          <w:p>
            <w:pPr>
              <w:pStyle w:val="55"/>
              <w:rPr>
                <w:color w:val="000000" w:themeColor="text1"/>
              </w:rPr>
            </w:pPr>
            <w:r>
              <w:rPr>
                <w:rFonts w:hint="eastAsia"/>
                <w:color w:val="000000" w:themeColor="text1"/>
              </w:rPr>
              <w:t>序号</w:t>
            </w:r>
          </w:p>
        </w:tc>
        <w:tc>
          <w:tcPr>
            <w:tcW w:w="2843" w:type="dxa"/>
            <w:vAlign w:val="center"/>
          </w:tcPr>
          <w:p>
            <w:pPr>
              <w:pStyle w:val="55"/>
              <w:rPr>
                <w:color w:val="000000" w:themeColor="text1"/>
              </w:rPr>
            </w:pPr>
            <w:r>
              <w:rPr>
                <w:rFonts w:hint="eastAsia"/>
                <w:color w:val="000000" w:themeColor="text1"/>
              </w:rPr>
              <w:t>污染物</w:t>
            </w:r>
          </w:p>
        </w:tc>
        <w:tc>
          <w:tcPr>
            <w:tcW w:w="2645" w:type="dxa"/>
            <w:vAlign w:val="center"/>
          </w:tcPr>
          <w:p>
            <w:pPr>
              <w:pStyle w:val="55"/>
              <w:rPr>
                <w:color w:val="000000" w:themeColor="text1"/>
              </w:rPr>
            </w:pPr>
            <w:r>
              <w:rPr>
                <w:rFonts w:hint="eastAsia"/>
                <w:color w:val="000000" w:themeColor="text1"/>
              </w:rPr>
              <w:t>年排放量/（t/a）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58" w:type="dxa"/>
            <w:vAlign w:val="center"/>
          </w:tcPr>
          <w:p>
            <w:pPr>
              <w:pStyle w:val="55"/>
              <w:rPr>
                <w:color w:val="000000" w:themeColor="text1"/>
              </w:rPr>
            </w:pPr>
            <w:r>
              <w:rPr>
                <w:rFonts w:hint="eastAsia"/>
                <w:color w:val="000000" w:themeColor="text1"/>
              </w:rPr>
              <w:t>1</w:t>
            </w:r>
          </w:p>
        </w:tc>
        <w:tc>
          <w:tcPr>
            <w:tcW w:w="2843" w:type="dxa"/>
            <w:vAlign w:val="center"/>
          </w:tcPr>
          <w:p>
            <w:pPr>
              <w:pStyle w:val="55"/>
              <w:rPr>
                <w:color w:val="000000" w:themeColor="text1"/>
              </w:rPr>
            </w:pPr>
            <w:r>
              <w:rPr>
                <w:color w:val="000000" w:themeColor="text1"/>
                <w:kern w:val="0"/>
              </w:rPr>
              <w:t>NH</w:t>
            </w:r>
            <w:r>
              <w:rPr>
                <w:color w:val="000000" w:themeColor="text1"/>
                <w:kern w:val="0"/>
                <w:vertAlign w:val="subscript"/>
              </w:rPr>
              <w:t>3</w:t>
            </w:r>
          </w:p>
        </w:tc>
        <w:tc>
          <w:tcPr>
            <w:tcW w:w="2645" w:type="dxa"/>
            <w:vAlign w:val="center"/>
          </w:tcPr>
          <w:p>
            <w:pPr>
              <w:pStyle w:val="55"/>
              <w:rPr>
                <w:color w:val="000000" w:themeColor="text1"/>
              </w:rPr>
            </w:pPr>
            <w:r>
              <w:rPr>
                <w:rFonts w:hint="eastAsia"/>
                <w:color w:val="000000" w:themeColor="text1"/>
                <w:lang w:bidi="zh-CN"/>
              </w:rPr>
              <w:t>0.3393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58" w:type="dxa"/>
            <w:vAlign w:val="center"/>
          </w:tcPr>
          <w:p>
            <w:pPr>
              <w:pStyle w:val="55"/>
              <w:rPr>
                <w:color w:val="000000" w:themeColor="text1"/>
              </w:rPr>
            </w:pPr>
            <w:r>
              <w:rPr>
                <w:rFonts w:hint="eastAsia"/>
                <w:color w:val="000000" w:themeColor="text1"/>
              </w:rPr>
              <w:t>2</w:t>
            </w:r>
          </w:p>
        </w:tc>
        <w:tc>
          <w:tcPr>
            <w:tcW w:w="2843" w:type="dxa"/>
            <w:vAlign w:val="center"/>
          </w:tcPr>
          <w:p>
            <w:pPr>
              <w:pStyle w:val="55"/>
              <w:rPr>
                <w:color w:val="000000" w:themeColor="text1"/>
              </w:rPr>
            </w:pPr>
            <w:r>
              <w:rPr>
                <w:color w:val="000000" w:themeColor="text1"/>
                <w:kern w:val="0"/>
              </w:rPr>
              <w:t>H</w:t>
            </w:r>
            <w:r>
              <w:rPr>
                <w:color w:val="000000" w:themeColor="text1"/>
                <w:kern w:val="0"/>
                <w:vertAlign w:val="subscript"/>
              </w:rPr>
              <w:t>2</w:t>
            </w:r>
            <w:r>
              <w:rPr>
                <w:color w:val="000000" w:themeColor="text1"/>
                <w:kern w:val="0"/>
              </w:rPr>
              <w:t>S</w:t>
            </w:r>
          </w:p>
        </w:tc>
        <w:tc>
          <w:tcPr>
            <w:tcW w:w="2645" w:type="dxa"/>
            <w:vAlign w:val="center"/>
          </w:tcPr>
          <w:p>
            <w:pPr>
              <w:pStyle w:val="55"/>
              <w:rPr>
                <w:color w:val="000000" w:themeColor="text1"/>
              </w:rPr>
            </w:pPr>
            <w:r>
              <w:rPr>
                <w:rFonts w:hint="eastAsia"/>
                <w:color w:val="000000" w:themeColor="text1"/>
                <w:lang w:bidi="zh-CN"/>
              </w:rPr>
              <w:t>0.01322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58" w:type="dxa"/>
            <w:vAlign w:val="center"/>
          </w:tcPr>
          <w:p>
            <w:pPr>
              <w:pStyle w:val="55"/>
              <w:rPr>
                <w:color w:val="000000" w:themeColor="text1"/>
              </w:rPr>
            </w:pPr>
            <w:r>
              <w:rPr>
                <w:rFonts w:hint="eastAsia"/>
                <w:color w:val="000000" w:themeColor="text1"/>
              </w:rPr>
              <w:t>3</w:t>
            </w:r>
          </w:p>
        </w:tc>
        <w:tc>
          <w:tcPr>
            <w:tcW w:w="2843" w:type="dxa"/>
            <w:vAlign w:val="center"/>
          </w:tcPr>
          <w:p>
            <w:pPr>
              <w:pStyle w:val="55"/>
              <w:rPr>
                <w:rFonts w:cs="Times New Roman"/>
                <w:color w:val="000000" w:themeColor="text1"/>
              </w:rPr>
            </w:pPr>
            <w:r>
              <w:rPr>
                <w:rFonts w:cs="Times New Roman"/>
                <w:color w:val="000000" w:themeColor="text1"/>
              </w:rPr>
              <w:t>颗粒物</w:t>
            </w:r>
          </w:p>
        </w:tc>
        <w:tc>
          <w:tcPr>
            <w:tcW w:w="2645" w:type="dxa"/>
            <w:vAlign w:val="center"/>
          </w:tcPr>
          <w:p>
            <w:pPr>
              <w:pStyle w:val="55"/>
              <w:rPr>
                <w:rFonts w:cs="Times New Roman"/>
                <w:color w:val="000000" w:themeColor="text1"/>
              </w:rPr>
            </w:pPr>
            <w:r>
              <w:rPr>
                <w:rFonts w:hint="eastAsia" w:cs="Times New Roman"/>
                <w:color w:val="000000" w:themeColor="text1"/>
              </w:rPr>
              <w:t>0.0451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58" w:type="dxa"/>
            <w:vAlign w:val="center"/>
          </w:tcPr>
          <w:p>
            <w:pPr>
              <w:pStyle w:val="55"/>
              <w:rPr>
                <w:color w:val="000000" w:themeColor="text1"/>
              </w:rPr>
            </w:pPr>
            <w:r>
              <w:rPr>
                <w:rFonts w:hint="eastAsia"/>
                <w:color w:val="000000" w:themeColor="text1"/>
              </w:rPr>
              <w:t>4</w:t>
            </w:r>
          </w:p>
        </w:tc>
        <w:tc>
          <w:tcPr>
            <w:tcW w:w="2843" w:type="dxa"/>
            <w:vAlign w:val="center"/>
          </w:tcPr>
          <w:p>
            <w:pPr>
              <w:pStyle w:val="55"/>
              <w:rPr>
                <w:rFonts w:cs="Times New Roman"/>
                <w:color w:val="000000" w:themeColor="text1"/>
              </w:rPr>
            </w:pPr>
            <w:r>
              <w:rPr>
                <w:rFonts w:hint="eastAsia" w:cs="Times New Roman"/>
                <w:color w:val="000000" w:themeColor="text1"/>
              </w:rPr>
              <w:t>SO</w:t>
            </w:r>
            <w:r>
              <w:rPr>
                <w:rFonts w:hint="eastAsia" w:cs="Times New Roman"/>
                <w:color w:val="000000" w:themeColor="text1"/>
                <w:vertAlign w:val="subscript"/>
              </w:rPr>
              <w:t>2</w:t>
            </w:r>
          </w:p>
        </w:tc>
        <w:tc>
          <w:tcPr>
            <w:tcW w:w="2645" w:type="dxa"/>
            <w:vAlign w:val="center"/>
          </w:tcPr>
          <w:p>
            <w:pPr>
              <w:pStyle w:val="55"/>
              <w:rPr>
                <w:rFonts w:cs="Times New Roman"/>
                <w:color w:val="000000" w:themeColor="text1"/>
              </w:rPr>
            </w:pPr>
            <w:r>
              <w:rPr>
                <w:rFonts w:hint="eastAsia" w:cs="Times New Roman"/>
                <w:color w:val="000000" w:themeColor="text1"/>
              </w:rPr>
              <w:t>0.0455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58" w:type="dxa"/>
            <w:vAlign w:val="center"/>
          </w:tcPr>
          <w:p>
            <w:pPr>
              <w:pStyle w:val="55"/>
              <w:rPr>
                <w:color w:val="000000" w:themeColor="text1"/>
              </w:rPr>
            </w:pPr>
            <w:r>
              <w:rPr>
                <w:rFonts w:hint="eastAsia"/>
                <w:color w:val="000000" w:themeColor="text1"/>
              </w:rPr>
              <w:t>5</w:t>
            </w:r>
          </w:p>
        </w:tc>
        <w:tc>
          <w:tcPr>
            <w:tcW w:w="2843" w:type="dxa"/>
            <w:vAlign w:val="center"/>
          </w:tcPr>
          <w:p>
            <w:pPr>
              <w:pStyle w:val="55"/>
              <w:rPr>
                <w:rFonts w:cs="Times New Roman"/>
                <w:color w:val="000000" w:themeColor="text1"/>
              </w:rPr>
            </w:pPr>
            <w:r>
              <w:rPr>
                <w:rFonts w:hint="eastAsia" w:cs="Times New Roman"/>
                <w:color w:val="000000" w:themeColor="text1"/>
              </w:rPr>
              <w:t>NOx</w:t>
            </w:r>
          </w:p>
        </w:tc>
        <w:tc>
          <w:tcPr>
            <w:tcW w:w="2645" w:type="dxa"/>
            <w:vAlign w:val="center"/>
          </w:tcPr>
          <w:p>
            <w:pPr>
              <w:pStyle w:val="55"/>
              <w:rPr>
                <w:rFonts w:cs="Times New Roman"/>
                <w:color w:val="000000" w:themeColor="text1"/>
              </w:rPr>
            </w:pPr>
            <w:r>
              <w:rPr>
                <w:rFonts w:hint="eastAsia" w:cs="Times New Roman"/>
                <w:color w:val="000000" w:themeColor="text1"/>
              </w:rPr>
              <w:t>0.475</w:t>
            </w:r>
          </w:p>
        </w:tc>
      </w:tr>
    </w:tbl>
    <w:p>
      <w:pPr>
        <w:ind w:firstLine="480"/>
        <w:rPr>
          <w:color w:val="000000" w:themeColor="text1"/>
        </w:rPr>
      </w:pPr>
      <w:r>
        <w:rPr>
          <w:rFonts w:hint="eastAsia"/>
          <w:color w:val="000000" w:themeColor="text1"/>
        </w:rPr>
        <w:t>4、非正常排放量核算</w:t>
      </w:r>
    </w:p>
    <w:p>
      <w:pPr>
        <w:ind w:firstLine="480"/>
        <w:rPr>
          <w:rFonts w:cs="Times New Roman"/>
          <w:color w:val="000000" w:themeColor="text1"/>
        </w:rPr>
      </w:pPr>
      <w:r>
        <w:rPr>
          <w:rFonts w:hint="eastAsia"/>
          <w:color w:val="000000" w:themeColor="text1"/>
        </w:rPr>
        <w:t>本项目锅炉废气</w:t>
      </w:r>
      <w:r>
        <w:rPr>
          <w:rFonts w:hint="eastAsia"/>
          <w:color w:val="000000" w:themeColor="text1"/>
          <w:szCs w:val="24"/>
        </w:rPr>
        <w:t>经过水膜除尘系统处理后排放，焚烧炉尾气经过布袋除尘器处理后排放，如果除尘设施出现故障，将会出现废气非正常排放，本项目非正常排放量核算</w:t>
      </w:r>
      <w:r>
        <w:rPr>
          <w:rFonts w:hint="eastAsia" w:cs="Times New Roman"/>
          <w:color w:val="000000" w:themeColor="text1"/>
        </w:rPr>
        <w:t>详见表2.7.2-11。</w:t>
      </w:r>
    </w:p>
    <w:p>
      <w:pPr>
        <w:pStyle w:val="54"/>
        <w:rPr>
          <w:color w:val="000000" w:themeColor="text1"/>
        </w:rPr>
      </w:pPr>
      <w:r>
        <w:rPr>
          <w:rFonts w:hint="eastAsia"/>
          <w:color w:val="000000" w:themeColor="text1"/>
        </w:rPr>
        <w:t>表2.7.2-11  污染源非正常排放量核算表</w:t>
      </w:r>
    </w:p>
    <w:tbl>
      <w:tblPr>
        <w:tblStyle w:val="43"/>
        <w:tblW w:w="8755"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33"/>
        <w:gridCol w:w="709"/>
        <w:gridCol w:w="851"/>
        <w:gridCol w:w="850"/>
        <w:gridCol w:w="1146"/>
        <w:gridCol w:w="1122"/>
        <w:gridCol w:w="851"/>
        <w:gridCol w:w="709"/>
        <w:gridCol w:w="198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3" w:type="dxa"/>
            <w:vAlign w:val="center"/>
          </w:tcPr>
          <w:p>
            <w:pPr>
              <w:pStyle w:val="55"/>
              <w:rPr>
                <w:rFonts w:cs="Times New Roman"/>
                <w:color w:val="000000" w:themeColor="text1"/>
              </w:rPr>
            </w:pPr>
            <w:r>
              <w:rPr>
                <w:rFonts w:cs="Times New Roman"/>
                <w:color w:val="000000" w:themeColor="text1"/>
              </w:rPr>
              <w:t>序号</w:t>
            </w:r>
          </w:p>
        </w:tc>
        <w:tc>
          <w:tcPr>
            <w:tcW w:w="709" w:type="dxa"/>
            <w:vAlign w:val="center"/>
          </w:tcPr>
          <w:p>
            <w:pPr>
              <w:pStyle w:val="55"/>
              <w:rPr>
                <w:rFonts w:cs="Times New Roman"/>
                <w:color w:val="000000" w:themeColor="text1"/>
              </w:rPr>
            </w:pPr>
            <w:r>
              <w:rPr>
                <w:rFonts w:cs="Times New Roman"/>
                <w:color w:val="000000" w:themeColor="text1"/>
              </w:rPr>
              <w:t>污染源</w:t>
            </w:r>
          </w:p>
        </w:tc>
        <w:tc>
          <w:tcPr>
            <w:tcW w:w="851" w:type="dxa"/>
            <w:vAlign w:val="center"/>
          </w:tcPr>
          <w:p>
            <w:pPr>
              <w:pStyle w:val="55"/>
              <w:rPr>
                <w:rFonts w:cs="Times New Roman"/>
                <w:color w:val="000000" w:themeColor="text1"/>
              </w:rPr>
            </w:pPr>
            <w:r>
              <w:rPr>
                <w:rFonts w:cs="Times New Roman"/>
                <w:color w:val="000000" w:themeColor="text1"/>
              </w:rPr>
              <w:t>非正常排放原因</w:t>
            </w:r>
          </w:p>
        </w:tc>
        <w:tc>
          <w:tcPr>
            <w:tcW w:w="850" w:type="dxa"/>
            <w:vAlign w:val="center"/>
          </w:tcPr>
          <w:p>
            <w:pPr>
              <w:pStyle w:val="55"/>
              <w:rPr>
                <w:rFonts w:cs="Times New Roman"/>
                <w:color w:val="000000" w:themeColor="text1"/>
              </w:rPr>
            </w:pPr>
            <w:r>
              <w:rPr>
                <w:rFonts w:cs="Times New Roman"/>
                <w:color w:val="000000" w:themeColor="text1"/>
              </w:rPr>
              <w:t>污染物</w:t>
            </w:r>
          </w:p>
        </w:tc>
        <w:tc>
          <w:tcPr>
            <w:tcW w:w="1146" w:type="dxa"/>
            <w:vAlign w:val="center"/>
          </w:tcPr>
          <w:p>
            <w:pPr>
              <w:pStyle w:val="55"/>
              <w:rPr>
                <w:rFonts w:cs="Times New Roman"/>
                <w:color w:val="000000" w:themeColor="text1"/>
              </w:rPr>
            </w:pPr>
            <w:r>
              <w:rPr>
                <w:rFonts w:cs="Times New Roman"/>
                <w:color w:val="000000" w:themeColor="text1"/>
              </w:rPr>
              <w:t>非正常排放浓度/（μg/m</w:t>
            </w:r>
            <w:r>
              <w:rPr>
                <w:rFonts w:cs="Times New Roman"/>
                <w:color w:val="000000" w:themeColor="text1"/>
                <w:vertAlign w:val="superscript"/>
              </w:rPr>
              <w:t>3</w:t>
            </w:r>
            <w:r>
              <w:rPr>
                <w:rFonts w:cs="Times New Roman"/>
                <w:color w:val="000000" w:themeColor="text1"/>
              </w:rPr>
              <w:t>）</w:t>
            </w:r>
          </w:p>
        </w:tc>
        <w:tc>
          <w:tcPr>
            <w:tcW w:w="1122" w:type="dxa"/>
            <w:vAlign w:val="center"/>
          </w:tcPr>
          <w:p>
            <w:pPr>
              <w:pStyle w:val="55"/>
              <w:rPr>
                <w:rFonts w:cs="Times New Roman"/>
                <w:color w:val="000000" w:themeColor="text1"/>
              </w:rPr>
            </w:pPr>
            <w:r>
              <w:rPr>
                <w:rFonts w:cs="Times New Roman"/>
                <w:color w:val="000000" w:themeColor="text1"/>
              </w:rPr>
              <w:t>非正常排放速率/（kg/h）</w:t>
            </w:r>
          </w:p>
        </w:tc>
        <w:tc>
          <w:tcPr>
            <w:tcW w:w="851" w:type="dxa"/>
            <w:vAlign w:val="center"/>
          </w:tcPr>
          <w:p>
            <w:pPr>
              <w:pStyle w:val="55"/>
              <w:rPr>
                <w:rFonts w:cs="Times New Roman"/>
                <w:color w:val="000000" w:themeColor="text1"/>
              </w:rPr>
            </w:pPr>
            <w:r>
              <w:rPr>
                <w:rFonts w:cs="Times New Roman"/>
                <w:color w:val="000000" w:themeColor="text1"/>
              </w:rPr>
              <w:t>单次持续时间/h</w:t>
            </w:r>
          </w:p>
        </w:tc>
        <w:tc>
          <w:tcPr>
            <w:tcW w:w="709" w:type="dxa"/>
            <w:vAlign w:val="center"/>
          </w:tcPr>
          <w:p>
            <w:pPr>
              <w:pStyle w:val="55"/>
              <w:rPr>
                <w:rFonts w:cs="Times New Roman"/>
                <w:color w:val="000000" w:themeColor="text1"/>
              </w:rPr>
            </w:pPr>
            <w:r>
              <w:rPr>
                <w:rFonts w:cs="Times New Roman"/>
                <w:color w:val="000000" w:themeColor="text1"/>
              </w:rPr>
              <w:t>年发生频次/次</w:t>
            </w:r>
          </w:p>
        </w:tc>
        <w:tc>
          <w:tcPr>
            <w:tcW w:w="1984" w:type="dxa"/>
            <w:vAlign w:val="center"/>
          </w:tcPr>
          <w:p>
            <w:pPr>
              <w:pStyle w:val="55"/>
              <w:rPr>
                <w:rFonts w:cs="Times New Roman"/>
                <w:color w:val="000000" w:themeColor="text1"/>
              </w:rPr>
            </w:pPr>
            <w:r>
              <w:rPr>
                <w:rFonts w:cs="Times New Roman"/>
                <w:color w:val="000000" w:themeColor="text1"/>
              </w:rPr>
              <w:t>应对措施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47" w:hRule="atLeast"/>
        </w:trPr>
        <w:tc>
          <w:tcPr>
            <w:tcW w:w="533" w:type="dxa"/>
            <w:vAlign w:val="center"/>
          </w:tcPr>
          <w:p>
            <w:pPr>
              <w:pStyle w:val="55"/>
              <w:rPr>
                <w:rFonts w:cs="Times New Roman"/>
                <w:color w:val="000000" w:themeColor="text1"/>
              </w:rPr>
            </w:pPr>
            <w:r>
              <w:rPr>
                <w:rFonts w:hint="eastAsia" w:cs="Times New Roman"/>
                <w:color w:val="000000" w:themeColor="text1"/>
              </w:rPr>
              <w:t>1</w:t>
            </w:r>
          </w:p>
        </w:tc>
        <w:tc>
          <w:tcPr>
            <w:tcW w:w="709" w:type="dxa"/>
            <w:vMerge w:val="restart"/>
            <w:vAlign w:val="center"/>
          </w:tcPr>
          <w:p>
            <w:pPr>
              <w:pStyle w:val="55"/>
              <w:rPr>
                <w:rFonts w:cs="Times New Roman"/>
                <w:color w:val="000000" w:themeColor="text1"/>
              </w:rPr>
            </w:pPr>
            <w:r>
              <w:rPr>
                <w:rFonts w:cs="Times New Roman"/>
                <w:color w:val="000000" w:themeColor="text1"/>
              </w:rPr>
              <w:t>锅炉废气</w:t>
            </w:r>
          </w:p>
        </w:tc>
        <w:tc>
          <w:tcPr>
            <w:tcW w:w="851" w:type="dxa"/>
            <w:vMerge w:val="restart"/>
            <w:vAlign w:val="center"/>
          </w:tcPr>
          <w:p>
            <w:pPr>
              <w:pStyle w:val="55"/>
              <w:rPr>
                <w:rFonts w:cs="Times New Roman"/>
                <w:color w:val="000000" w:themeColor="text1"/>
              </w:rPr>
            </w:pPr>
            <w:r>
              <w:rPr>
                <w:rFonts w:cs="Times New Roman"/>
                <w:color w:val="000000" w:themeColor="text1"/>
              </w:rPr>
              <w:t>水膜除尘系统故障</w:t>
            </w:r>
          </w:p>
        </w:tc>
        <w:tc>
          <w:tcPr>
            <w:tcW w:w="850" w:type="dxa"/>
            <w:vAlign w:val="center"/>
          </w:tcPr>
          <w:p>
            <w:pPr>
              <w:pStyle w:val="55"/>
              <w:rPr>
                <w:rFonts w:cs="Times New Roman"/>
                <w:color w:val="000000" w:themeColor="text1"/>
              </w:rPr>
            </w:pPr>
            <w:r>
              <w:rPr>
                <w:rFonts w:cs="Times New Roman"/>
                <w:color w:val="000000" w:themeColor="text1"/>
              </w:rPr>
              <w:t>颗粒物</w:t>
            </w:r>
          </w:p>
        </w:tc>
        <w:tc>
          <w:tcPr>
            <w:tcW w:w="1146" w:type="dxa"/>
            <w:vAlign w:val="center"/>
          </w:tcPr>
          <w:p>
            <w:pPr>
              <w:pStyle w:val="55"/>
              <w:rPr>
                <w:color w:val="000000" w:themeColor="text1"/>
              </w:rPr>
            </w:pPr>
            <w:r>
              <w:rPr>
                <w:rFonts w:hint="eastAsia"/>
                <w:color w:val="000000" w:themeColor="text1"/>
              </w:rPr>
              <w:t>84720</w:t>
            </w:r>
          </w:p>
        </w:tc>
        <w:tc>
          <w:tcPr>
            <w:tcW w:w="1122" w:type="dxa"/>
            <w:vAlign w:val="center"/>
          </w:tcPr>
          <w:p>
            <w:pPr>
              <w:pStyle w:val="55"/>
              <w:rPr>
                <w:rFonts w:cs="Times New Roman"/>
                <w:color w:val="000000" w:themeColor="text1"/>
              </w:rPr>
            </w:pPr>
            <w:r>
              <w:rPr>
                <w:rFonts w:hint="eastAsia" w:cs="Times New Roman"/>
                <w:color w:val="000000" w:themeColor="text1"/>
              </w:rPr>
              <w:t>0.0847</w:t>
            </w:r>
          </w:p>
        </w:tc>
        <w:tc>
          <w:tcPr>
            <w:tcW w:w="851" w:type="dxa"/>
            <w:vMerge w:val="restart"/>
            <w:vAlign w:val="center"/>
          </w:tcPr>
          <w:p>
            <w:pPr>
              <w:pStyle w:val="55"/>
              <w:rPr>
                <w:rFonts w:cs="Times New Roman"/>
                <w:color w:val="000000" w:themeColor="text1"/>
              </w:rPr>
            </w:pPr>
            <w:r>
              <w:rPr>
                <w:rFonts w:hint="eastAsia" w:cs="Times New Roman"/>
                <w:color w:val="000000" w:themeColor="text1"/>
              </w:rPr>
              <w:t>16</w:t>
            </w:r>
          </w:p>
        </w:tc>
        <w:tc>
          <w:tcPr>
            <w:tcW w:w="709" w:type="dxa"/>
            <w:vMerge w:val="restart"/>
            <w:vAlign w:val="center"/>
          </w:tcPr>
          <w:p>
            <w:pPr>
              <w:pStyle w:val="55"/>
              <w:rPr>
                <w:rFonts w:cs="Times New Roman"/>
                <w:color w:val="000000" w:themeColor="text1"/>
              </w:rPr>
            </w:pPr>
            <w:r>
              <w:rPr>
                <w:rFonts w:hint="eastAsia" w:cs="Times New Roman"/>
                <w:color w:val="000000" w:themeColor="text1"/>
              </w:rPr>
              <w:t>3</w:t>
            </w:r>
          </w:p>
        </w:tc>
        <w:tc>
          <w:tcPr>
            <w:tcW w:w="1984" w:type="dxa"/>
            <w:vMerge w:val="restart"/>
            <w:vAlign w:val="center"/>
          </w:tcPr>
          <w:p>
            <w:pPr>
              <w:pStyle w:val="55"/>
              <w:rPr>
                <w:rFonts w:cs="Times New Roman"/>
                <w:color w:val="000000" w:themeColor="text1"/>
              </w:rPr>
            </w:pPr>
            <w:r>
              <w:rPr>
                <w:rFonts w:hint="eastAsia"/>
                <w:color w:val="000000" w:themeColor="text1"/>
              </w:rPr>
              <w:t>建设单位重视环保设施的维护，加强</w:t>
            </w:r>
            <w:r>
              <w:rPr>
                <w:rFonts w:hint="eastAsia"/>
                <w:bCs/>
                <w:color w:val="000000" w:themeColor="text1"/>
              </w:rPr>
              <w:t>除尘设备</w:t>
            </w:r>
            <w:r>
              <w:rPr>
                <w:rFonts w:hint="eastAsia"/>
                <w:color w:val="000000" w:themeColor="text1"/>
              </w:rPr>
              <w:t>的日常维护管理，若发生非正常排放时，应及时排除故障隐患，待设备维修完善后，确保</w:t>
            </w:r>
            <w:r>
              <w:rPr>
                <w:rFonts w:hint="eastAsia"/>
                <w:bCs/>
                <w:color w:val="000000" w:themeColor="text1"/>
              </w:rPr>
              <w:t>除尘设备</w:t>
            </w:r>
            <w:r>
              <w:rPr>
                <w:rFonts w:hint="eastAsia"/>
                <w:color w:val="000000" w:themeColor="text1"/>
              </w:rPr>
              <w:t>处理系统的正常运行，杜绝发生事故排放</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2" w:hRule="atLeast"/>
        </w:trPr>
        <w:tc>
          <w:tcPr>
            <w:tcW w:w="533" w:type="dxa"/>
            <w:vAlign w:val="center"/>
          </w:tcPr>
          <w:p>
            <w:pPr>
              <w:pStyle w:val="55"/>
              <w:rPr>
                <w:rFonts w:cs="Times New Roman"/>
                <w:color w:val="000000" w:themeColor="text1"/>
              </w:rPr>
            </w:pPr>
            <w:r>
              <w:rPr>
                <w:rFonts w:hint="eastAsia" w:cs="Times New Roman"/>
                <w:color w:val="000000" w:themeColor="text1"/>
              </w:rPr>
              <w:t>2</w:t>
            </w:r>
          </w:p>
        </w:tc>
        <w:tc>
          <w:tcPr>
            <w:tcW w:w="709" w:type="dxa"/>
            <w:vMerge w:val="continue"/>
            <w:vAlign w:val="center"/>
          </w:tcPr>
          <w:p>
            <w:pPr>
              <w:pStyle w:val="55"/>
              <w:rPr>
                <w:rFonts w:cs="Times New Roman"/>
                <w:color w:val="000000" w:themeColor="text1"/>
              </w:rPr>
            </w:pPr>
          </w:p>
        </w:tc>
        <w:tc>
          <w:tcPr>
            <w:tcW w:w="851" w:type="dxa"/>
            <w:vMerge w:val="continue"/>
            <w:vAlign w:val="center"/>
          </w:tcPr>
          <w:p>
            <w:pPr>
              <w:pStyle w:val="55"/>
              <w:rPr>
                <w:rFonts w:cs="Times New Roman"/>
                <w:color w:val="000000" w:themeColor="text1"/>
              </w:rPr>
            </w:pPr>
          </w:p>
        </w:tc>
        <w:tc>
          <w:tcPr>
            <w:tcW w:w="850" w:type="dxa"/>
            <w:vAlign w:val="center"/>
          </w:tcPr>
          <w:p>
            <w:pPr>
              <w:pStyle w:val="55"/>
              <w:rPr>
                <w:rFonts w:cs="Times New Roman"/>
                <w:color w:val="000000" w:themeColor="text1"/>
              </w:rPr>
            </w:pPr>
            <w:r>
              <w:rPr>
                <w:rFonts w:hint="eastAsia" w:cs="Times New Roman"/>
                <w:color w:val="000000" w:themeColor="text1"/>
              </w:rPr>
              <w:t>SO</w:t>
            </w:r>
            <w:r>
              <w:rPr>
                <w:rFonts w:hint="eastAsia" w:cs="Times New Roman"/>
                <w:color w:val="000000" w:themeColor="text1"/>
                <w:vertAlign w:val="subscript"/>
              </w:rPr>
              <w:t>2</w:t>
            </w:r>
          </w:p>
        </w:tc>
        <w:tc>
          <w:tcPr>
            <w:tcW w:w="1146" w:type="dxa"/>
            <w:vAlign w:val="center"/>
          </w:tcPr>
          <w:p>
            <w:pPr>
              <w:pStyle w:val="55"/>
              <w:rPr>
                <w:color w:val="000000" w:themeColor="text1"/>
              </w:rPr>
            </w:pPr>
            <w:r>
              <w:rPr>
                <w:rFonts w:hint="eastAsia"/>
                <w:color w:val="000000" w:themeColor="text1"/>
              </w:rPr>
              <w:t>12850</w:t>
            </w:r>
          </w:p>
        </w:tc>
        <w:tc>
          <w:tcPr>
            <w:tcW w:w="1122" w:type="dxa"/>
            <w:vAlign w:val="center"/>
          </w:tcPr>
          <w:p>
            <w:pPr>
              <w:pStyle w:val="55"/>
              <w:rPr>
                <w:rFonts w:cs="Times New Roman"/>
                <w:color w:val="000000" w:themeColor="text1"/>
              </w:rPr>
            </w:pPr>
            <w:r>
              <w:rPr>
                <w:rFonts w:hint="eastAsia" w:cs="Times New Roman"/>
                <w:color w:val="000000" w:themeColor="text1"/>
              </w:rPr>
              <w:t>0.0128</w:t>
            </w:r>
          </w:p>
        </w:tc>
        <w:tc>
          <w:tcPr>
            <w:tcW w:w="851" w:type="dxa"/>
            <w:vMerge w:val="continue"/>
            <w:vAlign w:val="center"/>
          </w:tcPr>
          <w:p>
            <w:pPr>
              <w:pStyle w:val="55"/>
              <w:rPr>
                <w:rFonts w:cs="Times New Roman"/>
                <w:color w:val="000000" w:themeColor="text1"/>
              </w:rPr>
            </w:pPr>
          </w:p>
        </w:tc>
        <w:tc>
          <w:tcPr>
            <w:tcW w:w="709" w:type="dxa"/>
            <w:vMerge w:val="continue"/>
            <w:vAlign w:val="center"/>
          </w:tcPr>
          <w:p>
            <w:pPr>
              <w:pStyle w:val="55"/>
              <w:rPr>
                <w:rFonts w:cs="Times New Roman"/>
                <w:color w:val="000000" w:themeColor="text1"/>
              </w:rPr>
            </w:pPr>
          </w:p>
        </w:tc>
        <w:tc>
          <w:tcPr>
            <w:tcW w:w="1984" w:type="dxa"/>
            <w:vMerge w:val="continue"/>
            <w:vAlign w:val="center"/>
          </w:tcPr>
          <w:p>
            <w:pPr>
              <w:pStyle w:val="55"/>
              <w:rPr>
                <w:rFonts w:cs="Times New Roman"/>
                <w:color w:val="000000" w:themeColor="text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0" w:hRule="atLeast"/>
        </w:trPr>
        <w:tc>
          <w:tcPr>
            <w:tcW w:w="533" w:type="dxa"/>
            <w:vAlign w:val="center"/>
          </w:tcPr>
          <w:p>
            <w:pPr>
              <w:pStyle w:val="55"/>
              <w:rPr>
                <w:rFonts w:cs="Times New Roman"/>
                <w:color w:val="000000" w:themeColor="text1"/>
              </w:rPr>
            </w:pPr>
            <w:r>
              <w:rPr>
                <w:rFonts w:hint="eastAsia" w:cs="Times New Roman"/>
                <w:color w:val="000000" w:themeColor="text1"/>
              </w:rPr>
              <w:t>3</w:t>
            </w:r>
          </w:p>
        </w:tc>
        <w:tc>
          <w:tcPr>
            <w:tcW w:w="709" w:type="dxa"/>
            <w:vMerge w:val="continue"/>
            <w:vAlign w:val="center"/>
          </w:tcPr>
          <w:p>
            <w:pPr>
              <w:pStyle w:val="55"/>
              <w:rPr>
                <w:rFonts w:cs="Times New Roman"/>
                <w:color w:val="000000" w:themeColor="text1"/>
              </w:rPr>
            </w:pPr>
          </w:p>
        </w:tc>
        <w:tc>
          <w:tcPr>
            <w:tcW w:w="851" w:type="dxa"/>
            <w:vMerge w:val="continue"/>
            <w:vAlign w:val="center"/>
          </w:tcPr>
          <w:p>
            <w:pPr>
              <w:pStyle w:val="55"/>
              <w:rPr>
                <w:rFonts w:cs="Times New Roman"/>
                <w:color w:val="000000" w:themeColor="text1"/>
              </w:rPr>
            </w:pPr>
          </w:p>
        </w:tc>
        <w:tc>
          <w:tcPr>
            <w:tcW w:w="850" w:type="dxa"/>
            <w:vAlign w:val="center"/>
          </w:tcPr>
          <w:p>
            <w:pPr>
              <w:pStyle w:val="55"/>
              <w:rPr>
                <w:rFonts w:cs="Times New Roman"/>
                <w:color w:val="000000" w:themeColor="text1"/>
              </w:rPr>
            </w:pPr>
            <w:r>
              <w:rPr>
                <w:rFonts w:hint="eastAsia" w:cs="Times New Roman"/>
                <w:color w:val="000000" w:themeColor="text1"/>
              </w:rPr>
              <w:t>NOx</w:t>
            </w:r>
          </w:p>
        </w:tc>
        <w:tc>
          <w:tcPr>
            <w:tcW w:w="1146" w:type="dxa"/>
            <w:vAlign w:val="center"/>
          </w:tcPr>
          <w:p>
            <w:pPr>
              <w:pStyle w:val="55"/>
              <w:rPr>
                <w:color w:val="000000" w:themeColor="text1"/>
              </w:rPr>
            </w:pPr>
            <w:r>
              <w:rPr>
                <w:rFonts w:hint="eastAsia"/>
                <w:color w:val="000000" w:themeColor="text1"/>
              </w:rPr>
              <w:t>7640</w:t>
            </w:r>
          </w:p>
        </w:tc>
        <w:tc>
          <w:tcPr>
            <w:tcW w:w="1122" w:type="dxa"/>
            <w:vAlign w:val="center"/>
          </w:tcPr>
          <w:p>
            <w:pPr>
              <w:pStyle w:val="55"/>
              <w:rPr>
                <w:rFonts w:cs="Times New Roman"/>
                <w:color w:val="000000" w:themeColor="text1"/>
              </w:rPr>
            </w:pPr>
            <w:r>
              <w:rPr>
                <w:rFonts w:hint="eastAsia" w:cs="Times New Roman"/>
                <w:color w:val="000000" w:themeColor="text1"/>
              </w:rPr>
              <w:t>0.0076</w:t>
            </w:r>
          </w:p>
        </w:tc>
        <w:tc>
          <w:tcPr>
            <w:tcW w:w="851" w:type="dxa"/>
            <w:vMerge w:val="continue"/>
            <w:vAlign w:val="center"/>
          </w:tcPr>
          <w:p>
            <w:pPr>
              <w:pStyle w:val="55"/>
              <w:rPr>
                <w:rFonts w:cs="Times New Roman"/>
                <w:color w:val="000000" w:themeColor="text1"/>
              </w:rPr>
            </w:pPr>
          </w:p>
        </w:tc>
        <w:tc>
          <w:tcPr>
            <w:tcW w:w="709" w:type="dxa"/>
            <w:vMerge w:val="continue"/>
            <w:vAlign w:val="center"/>
          </w:tcPr>
          <w:p>
            <w:pPr>
              <w:pStyle w:val="55"/>
              <w:rPr>
                <w:rFonts w:cs="Times New Roman"/>
                <w:color w:val="000000" w:themeColor="text1"/>
              </w:rPr>
            </w:pPr>
          </w:p>
        </w:tc>
        <w:tc>
          <w:tcPr>
            <w:tcW w:w="1984" w:type="dxa"/>
            <w:vMerge w:val="continue"/>
            <w:vAlign w:val="center"/>
          </w:tcPr>
          <w:p>
            <w:pPr>
              <w:pStyle w:val="55"/>
              <w:rPr>
                <w:rFonts w:cs="Times New Roman"/>
                <w:color w:val="000000" w:themeColor="text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8" w:hRule="atLeast"/>
        </w:trPr>
        <w:tc>
          <w:tcPr>
            <w:tcW w:w="533" w:type="dxa"/>
            <w:vAlign w:val="center"/>
          </w:tcPr>
          <w:p>
            <w:pPr>
              <w:pStyle w:val="55"/>
              <w:rPr>
                <w:rFonts w:cs="Times New Roman"/>
                <w:color w:val="000000" w:themeColor="text1"/>
              </w:rPr>
            </w:pPr>
            <w:r>
              <w:rPr>
                <w:rFonts w:hint="eastAsia" w:cs="Times New Roman"/>
                <w:color w:val="000000" w:themeColor="text1"/>
              </w:rPr>
              <w:t>4</w:t>
            </w:r>
          </w:p>
        </w:tc>
        <w:tc>
          <w:tcPr>
            <w:tcW w:w="709" w:type="dxa"/>
            <w:vMerge w:val="restart"/>
            <w:vAlign w:val="center"/>
          </w:tcPr>
          <w:p>
            <w:pPr>
              <w:pStyle w:val="55"/>
              <w:rPr>
                <w:rFonts w:cs="Times New Roman"/>
                <w:color w:val="000000" w:themeColor="text1"/>
              </w:rPr>
            </w:pPr>
            <w:r>
              <w:rPr>
                <w:rFonts w:cs="Times New Roman"/>
                <w:color w:val="000000" w:themeColor="text1"/>
              </w:rPr>
              <w:t>焚烧炉尾气</w:t>
            </w:r>
          </w:p>
        </w:tc>
        <w:tc>
          <w:tcPr>
            <w:tcW w:w="851" w:type="dxa"/>
            <w:vMerge w:val="restart"/>
            <w:vAlign w:val="center"/>
          </w:tcPr>
          <w:p>
            <w:pPr>
              <w:pStyle w:val="55"/>
              <w:rPr>
                <w:rFonts w:cs="Times New Roman"/>
                <w:color w:val="000000" w:themeColor="text1"/>
              </w:rPr>
            </w:pPr>
            <w:r>
              <w:rPr>
                <w:rFonts w:cs="Times New Roman"/>
                <w:color w:val="000000" w:themeColor="text1"/>
              </w:rPr>
              <w:t>布袋除尘器故障</w:t>
            </w:r>
          </w:p>
        </w:tc>
        <w:tc>
          <w:tcPr>
            <w:tcW w:w="850" w:type="dxa"/>
            <w:vAlign w:val="center"/>
          </w:tcPr>
          <w:p>
            <w:pPr>
              <w:pStyle w:val="55"/>
              <w:rPr>
                <w:rFonts w:cs="Times New Roman"/>
                <w:color w:val="000000" w:themeColor="text1"/>
              </w:rPr>
            </w:pPr>
            <w:r>
              <w:rPr>
                <w:rFonts w:cs="Times New Roman"/>
                <w:color w:val="000000" w:themeColor="text1"/>
              </w:rPr>
              <w:t>颗粒物</w:t>
            </w:r>
          </w:p>
        </w:tc>
        <w:tc>
          <w:tcPr>
            <w:tcW w:w="1146" w:type="dxa"/>
            <w:vAlign w:val="center"/>
          </w:tcPr>
          <w:p>
            <w:pPr>
              <w:pStyle w:val="55"/>
              <w:rPr>
                <w:color w:val="000000" w:themeColor="text1"/>
              </w:rPr>
            </w:pPr>
            <w:r>
              <w:rPr>
                <w:rFonts w:hint="eastAsia"/>
                <w:color w:val="000000" w:themeColor="text1"/>
              </w:rPr>
              <w:t>153000</w:t>
            </w:r>
          </w:p>
        </w:tc>
        <w:tc>
          <w:tcPr>
            <w:tcW w:w="1122" w:type="dxa"/>
            <w:vAlign w:val="center"/>
          </w:tcPr>
          <w:p>
            <w:pPr>
              <w:pStyle w:val="55"/>
              <w:rPr>
                <w:rFonts w:cs="Times New Roman"/>
                <w:color w:val="000000" w:themeColor="text1"/>
              </w:rPr>
            </w:pPr>
            <w:r>
              <w:rPr>
                <w:rFonts w:hint="eastAsia" w:cs="Times New Roman"/>
                <w:color w:val="000000" w:themeColor="text1"/>
              </w:rPr>
              <w:t>0.46</w:t>
            </w:r>
          </w:p>
        </w:tc>
        <w:tc>
          <w:tcPr>
            <w:tcW w:w="851" w:type="dxa"/>
            <w:vMerge w:val="restart"/>
            <w:vAlign w:val="center"/>
          </w:tcPr>
          <w:p>
            <w:pPr>
              <w:pStyle w:val="55"/>
              <w:rPr>
                <w:rFonts w:cs="Times New Roman"/>
                <w:color w:val="000000" w:themeColor="text1"/>
              </w:rPr>
            </w:pPr>
            <w:r>
              <w:rPr>
                <w:rFonts w:hint="eastAsia" w:cs="Times New Roman"/>
                <w:color w:val="000000" w:themeColor="text1"/>
              </w:rPr>
              <w:t>6</w:t>
            </w:r>
          </w:p>
        </w:tc>
        <w:tc>
          <w:tcPr>
            <w:tcW w:w="709" w:type="dxa"/>
            <w:vMerge w:val="restart"/>
            <w:vAlign w:val="center"/>
          </w:tcPr>
          <w:p>
            <w:pPr>
              <w:pStyle w:val="55"/>
              <w:rPr>
                <w:rFonts w:cs="Times New Roman"/>
                <w:color w:val="000000" w:themeColor="text1"/>
              </w:rPr>
            </w:pPr>
            <w:r>
              <w:rPr>
                <w:rFonts w:hint="eastAsia" w:cs="Times New Roman"/>
                <w:color w:val="000000" w:themeColor="text1"/>
              </w:rPr>
              <w:t>1</w:t>
            </w:r>
          </w:p>
        </w:tc>
        <w:tc>
          <w:tcPr>
            <w:tcW w:w="1984" w:type="dxa"/>
            <w:vMerge w:val="continue"/>
            <w:vAlign w:val="center"/>
          </w:tcPr>
          <w:p>
            <w:pPr>
              <w:pStyle w:val="55"/>
              <w:rPr>
                <w:rFonts w:cs="Times New Roman"/>
                <w:color w:val="000000" w:themeColor="text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9" w:hRule="atLeast"/>
        </w:trPr>
        <w:tc>
          <w:tcPr>
            <w:tcW w:w="533" w:type="dxa"/>
            <w:vAlign w:val="center"/>
          </w:tcPr>
          <w:p>
            <w:pPr>
              <w:pStyle w:val="55"/>
              <w:rPr>
                <w:rFonts w:cs="Times New Roman"/>
                <w:color w:val="000000" w:themeColor="text1"/>
              </w:rPr>
            </w:pPr>
            <w:r>
              <w:rPr>
                <w:rFonts w:hint="eastAsia" w:cs="Times New Roman"/>
                <w:color w:val="000000" w:themeColor="text1"/>
              </w:rPr>
              <w:t>5</w:t>
            </w:r>
          </w:p>
        </w:tc>
        <w:tc>
          <w:tcPr>
            <w:tcW w:w="709" w:type="dxa"/>
            <w:vMerge w:val="continue"/>
            <w:vAlign w:val="center"/>
          </w:tcPr>
          <w:p>
            <w:pPr>
              <w:pStyle w:val="55"/>
              <w:rPr>
                <w:rFonts w:cs="Times New Roman"/>
                <w:color w:val="000000" w:themeColor="text1"/>
              </w:rPr>
            </w:pPr>
          </w:p>
        </w:tc>
        <w:tc>
          <w:tcPr>
            <w:tcW w:w="851" w:type="dxa"/>
            <w:vMerge w:val="continue"/>
            <w:vAlign w:val="center"/>
          </w:tcPr>
          <w:p>
            <w:pPr>
              <w:pStyle w:val="55"/>
              <w:rPr>
                <w:rFonts w:cs="Times New Roman"/>
                <w:color w:val="000000" w:themeColor="text1"/>
              </w:rPr>
            </w:pPr>
          </w:p>
        </w:tc>
        <w:tc>
          <w:tcPr>
            <w:tcW w:w="850" w:type="dxa"/>
            <w:vAlign w:val="center"/>
          </w:tcPr>
          <w:p>
            <w:pPr>
              <w:pStyle w:val="55"/>
              <w:rPr>
                <w:rFonts w:cs="Times New Roman"/>
                <w:color w:val="000000" w:themeColor="text1"/>
              </w:rPr>
            </w:pPr>
            <w:r>
              <w:rPr>
                <w:rFonts w:hint="eastAsia" w:cs="Times New Roman"/>
                <w:color w:val="000000" w:themeColor="text1"/>
              </w:rPr>
              <w:t>SO</w:t>
            </w:r>
            <w:r>
              <w:rPr>
                <w:rFonts w:hint="eastAsia" w:cs="Times New Roman"/>
                <w:color w:val="000000" w:themeColor="text1"/>
                <w:vertAlign w:val="subscript"/>
              </w:rPr>
              <w:t>2</w:t>
            </w:r>
          </w:p>
        </w:tc>
        <w:tc>
          <w:tcPr>
            <w:tcW w:w="1146" w:type="dxa"/>
            <w:vAlign w:val="center"/>
          </w:tcPr>
          <w:p>
            <w:pPr>
              <w:pStyle w:val="55"/>
              <w:rPr>
                <w:color w:val="000000" w:themeColor="text1"/>
              </w:rPr>
            </w:pPr>
            <w:r>
              <w:rPr>
                <w:rFonts w:hint="eastAsia"/>
                <w:color w:val="000000" w:themeColor="text1"/>
              </w:rPr>
              <w:t>7780</w:t>
            </w:r>
          </w:p>
        </w:tc>
        <w:tc>
          <w:tcPr>
            <w:tcW w:w="1122" w:type="dxa"/>
            <w:vAlign w:val="center"/>
          </w:tcPr>
          <w:p>
            <w:pPr>
              <w:pStyle w:val="55"/>
              <w:rPr>
                <w:rFonts w:cs="Times New Roman"/>
                <w:color w:val="000000" w:themeColor="text1"/>
              </w:rPr>
            </w:pPr>
            <w:r>
              <w:rPr>
                <w:rFonts w:hint="eastAsia" w:cs="Times New Roman"/>
                <w:color w:val="000000" w:themeColor="text1"/>
              </w:rPr>
              <w:t>0.023</w:t>
            </w:r>
          </w:p>
        </w:tc>
        <w:tc>
          <w:tcPr>
            <w:tcW w:w="851" w:type="dxa"/>
            <w:vMerge w:val="continue"/>
            <w:vAlign w:val="center"/>
          </w:tcPr>
          <w:p>
            <w:pPr>
              <w:pStyle w:val="55"/>
              <w:rPr>
                <w:rFonts w:cs="Times New Roman"/>
                <w:color w:val="000000" w:themeColor="text1"/>
              </w:rPr>
            </w:pPr>
          </w:p>
        </w:tc>
        <w:tc>
          <w:tcPr>
            <w:tcW w:w="709" w:type="dxa"/>
            <w:vMerge w:val="continue"/>
            <w:vAlign w:val="center"/>
          </w:tcPr>
          <w:p>
            <w:pPr>
              <w:pStyle w:val="55"/>
              <w:rPr>
                <w:rFonts w:cs="Times New Roman"/>
                <w:color w:val="000000" w:themeColor="text1"/>
              </w:rPr>
            </w:pPr>
          </w:p>
        </w:tc>
        <w:tc>
          <w:tcPr>
            <w:tcW w:w="1984" w:type="dxa"/>
            <w:vMerge w:val="continue"/>
            <w:vAlign w:val="center"/>
          </w:tcPr>
          <w:p>
            <w:pPr>
              <w:pStyle w:val="55"/>
              <w:rPr>
                <w:rFonts w:cs="Times New Roman"/>
                <w:color w:val="000000" w:themeColor="text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3" w:type="dxa"/>
            <w:vAlign w:val="center"/>
          </w:tcPr>
          <w:p>
            <w:pPr>
              <w:pStyle w:val="55"/>
              <w:rPr>
                <w:rFonts w:cs="Times New Roman"/>
                <w:color w:val="000000" w:themeColor="text1"/>
              </w:rPr>
            </w:pPr>
            <w:r>
              <w:rPr>
                <w:rFonts w:hint="eastAsia" w:cs="Times New Roman"/>
                <w:color w:val="000000" w:themeColor="text1"/>
              </w:rPr>
              <w:t>6</w:t>
            </w:r>
          </w:p>
        </w:tc>
        <w:tc>
          <w:tcPr>
            <w:tcW w:w="709" w:type="dxa"/>
            <w:vMerge w:val="continue"/>
            <w:vAlign w:val="center"/>
          </w:tcPr>
          <w:p>
            <w:pPr>
              <w:pStyle w:val="55"/>
              <w:rPr>
                <w:rFonts w:cs="Times New Roman"/>
                <w:color w:val="000000" w:themeColor="text1"/>
              </w:rPr>
            </w:pPr>
          </w:p>
        </w:tc>
        <w:tc>
          <w:tcPr>
            <w:tcW w:w="851" w:type="dxa"/>
            <w:vMerge w:val="continue"/>
            <w:vAlign w:val="center"/>
          </w:tcPr>
          <w:p>
            <w:pPr>
              <w:pStyle w:val="55"/>
              <w:rPr>
                <w:rFonts w:cs="Times New Roman"/>
                <w:color w:val="000000" w:themeColor="text1"/>
              </w:rPr>
            </w:pPr>
          </w:p>
        </w:tc>
        <w:tc>
          <w:tcPr>
            <w:tcW w:w="850" w:type="dxa"/>
            <w:vAlign w:val="center"/>
          </w:tcPr>
          <w:p>
            <w:pPr>
              <w:pStyle w:val="55"/>
              <w:rPr>
                <w:rFonts w:cs="Times New Roman"/>
                <w:color w:val="000000" w:themeColor="text1"/>
              </w:rPr>
            </w:pPr>
            <w:r>
              <w:rPr>
                <w:rFonts w:hint="eastAsia" w:cs="Times New Roman"/>
                <w:color w:val="000000" w:themeColor="text1"/>
              </w:rPr>
              <w:t>NOx</w:t>
            </w:r>
          </w:p>
        </w:tc>
        <w:tc>
          <w:tcPr>
            <w:tcW w:w="1146" w:type="dxa"/>
            <w:vAlign w:val="center"/>
          </w:tcPr>
          <w:p>
            <w:pPr>
              <w:pStyle w:val="55"/>
              <w:rPr>
                <w:color w:val="000000" w:themeColor="text1"/>
              </w:rPr>
            </w:pPr>
            <w:r>
              <w:rPr>
                <w:rFonts w:hint="eastAsia"/>
                <w:color w:val="000000" w:themeColor="text1"/>
              </w:rPr>
              <w:t>251670</w:t>
            </w:r>
          </w:p>
        </w:tc>
        <w:tc>
          <w:tcPr>
            <w:tcW w:w="1122" w:type="dxa"/>
            <w:vAlign w:val="center"/>
          </w:tcPr>
          <w:p>
            <w:pPr>
              <w:pStyle w:val="55"/>
              <w:rPr>
                <w:rFonts w:cs="Times New Roman"/>
                <w:color w:val="000000" w:themeColor="text1"/>
              </w:rPr>
            </w:pPr>
            <w:r>
              <w:rPr>
                <w:rFonts w:hint="eastAsia" w:cs="Times New Roman"/>
                <w:color w:val="000000" w:themeColor="text1"/>
              </w:rPr>
              <w:t>0.755</w:t>
            </w:r>
          </w:p>
        </w:tc>
        <w:tc>
          <w:tcPr>
            <w:tcW w:w="851" w:type="dxa"/>
            <w:vMerge w:val="continue"/>
            <w:vAlign w:val="center"/>
          </w:tcPr>
          <w:p>
            <w:pPr>
              <w:pStyle w:val="55"/>
              <w:rPr>
                <w:rFonts w:cs="Times New Roman"/>
                <w:color w:val="000000" w:themeColor="text1"/>
              </w:rPr>
            </w:pPr>
          </w:p>
        </w:tc>
        <w:tc>
          <w:tcPr>
            <w:tcW w:w="709" w:type="dxa"/>
            <w:vMerge w:val="continue"/>
            <w:vAlign w:val="center"/>
          </w:tcPr>
          <w:p>
            <w:pPr>
              <w:pStyle w:val="55"/>
              <w:rPr>
                <w:rFonts w:cs="Times New Roman"/>
                <w:color w:val="000000" w:themeColor="text1"/>
              </w:rPr>
            </w:pPr>
          </w:p>
        </w:tc>
        <w:tc>
          <w:tcPr>
            <w:tcW w:w="1984" w:type="dxa"/>
            <w:vMerge w:val="continue"/>
            <w:vAlign w:val="center"/>
          </w:tcPr>
          <w:p>
            <w:pPr>
              <w:pStyle w:val="55"/>
              <w:rPr>
                <w:rFonts w:cs="Times New Roman"/>
                <w:color w:val="000000" w:themeColor="text1"/>
              </w:rPr>
            </w:pPr>
          </w:p>
        </w:tc>
      </w:tr>
    </w:tbl>
    <w:p>
      <w:pPr>
        <w:pStyle w:val="38"/>
        <w:ind w:firstLine="281"/>
        <w:rPr>
          <w:color w:val="000000" w:themeColor="text1"/>
        </w:rPr>
      </w:pPr>
      <w:bookmarkStart w:id="56" w:name="_Toc47375814"/>
      <w:r>
        <w:rPr>
          <w:rFonts w:hint="eastAsia"/>
          <w:color w:val="000000" w:themeColor="text1"/>
        </w:rPr>
        <w:t>2.7.3噪声</w:t>
      </w:r>
      <w:bookmarkEnd w:id="56"/>
    </w:p>
    <w:p>
      <w:pPr>
        <w:pStyle w:val="57"/>
        <w:ind w:firstLine="482"/>
        <w:rPr>
          <w:color w:val="000000" w:themeColor="text1"/>
        </w:rPr>
      </w:pPr>
      <w:r>
        <w:rPr>
          <w:rFonts w:hint="eastAsia"/>
          <w:color w:val="000000" w:themeColor="text1"/>
        </w:rPr>
        <w:t>2.7.3.1噪声源强</w:t>
      </w:r>
    </w:p>
    <w:p>
      <w:pPr>
        <w:ind w:firstLine="480"/>
        <w:rPr>
          <w:color w:val="000000" w:themeColor="text1"/>
        </w:rPr>
      </w:pPr>
      <w:r>
        <w:rPr>
          <w:rFonts w:hint="eastAsia"/>
          <w:color w:val="000000" w:themeColor="text1"/>
        </w:rPr>
        <w:t>该项目主要噪声源为活猪、活鸡待宰前的叫声、风机运转噪声、生产车间设备噪声、制冷机噪声、进出运输车辆噪声、人员活动噪声等。本项目设计均选用低噪声设备，主要设备布置在室内。运营期主要噪声源强见表2.7.3-1。</w:t>
      </w:r>
    </w:p>
    <w:p>
      <w:pPr>
        <w:pStyle w:val="54"/>
        <w:rPr>
          <w:color w:val="000000" w:themeColor="text1"/>
        </w:rPr>
      </w:pPr>
      <w:r>
        <w:rPr>
          <w:rFonts w:hint="eastAsia"/>
          <w:color w:val="000000" w:themeColor="text1"/>
        </w:rPr>
        <w:t>表2.7.3-1 项目运营期噪声源一览表</w:t>
      </w:r>
    </w:p>
    <w:tbl>
      <w:tblPr>
        <w:tblStyle w:val="43"/>
        <w:tblW w:w="847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34"/>
        <w:gridCol w:w="1417"/>
        <w:gridCol w:w="1276"/>
        <w:gridCol w:w="992"/>
        <w:gridCol w:w="1418"/>
        <w:gridCol w:w="1275"/>
        <w:gridCol w:w="156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vAlign w:val="center"/>
          </w:tcPr>
          <w:p>
            <w:pPr>
              <w:pStyle w:val="55"/>
              <w:rPr>
                <w:color w:val="000000" w:themeColor="text1"/>
              </w:rPr>
            </w:pPr>
            <w:r>
              <w:rPr>
                <w:rFonts w:hint="eastAsia"/>
                <w:color w:val="000000" w:themeColor="text1"/>
              </w:rPr>
              <w:t>序号</w:t>
            </w:r>
          </w:p>
        </w:tc>
        <w:tc>
          <w:tcPr>
            <w:tcW w:w="1417" w:type="dxa"/>
            <w:vAlign w:val="center"/>
          </w:tcPr>
          <w:p>
            <w:pPr>
              <w:pStyle w:val="55"/>
              <w:rPr>
                <w:color w:val="000000" w:themeColor="text1"/>
              </w:rPr>
            </w:pPr>
            <w:r>
              <w:rPr>
                <w:rFonts w:hint="eastAsia"/>
                <w:color w:val="000000" w:themeColor="text1"/>
              </w:rPr>
              <w:t>噪声源</w:t>
            </w:r>
          </w:p>
        </w:tc>
        <w:tc>
          <w:tcPr>
            <w:tcW w:w="1276" w:type="dxa"/>
            <w:vAlign w:val="center"/>
          </w:tcPr>
          <w:p>
            <w:pPr>
              <w:pStyle w:val="55"/>
              <w:rPr>
                <w:color w:val="000000" w:themeColor="text1"/>
              </w:rPr>
            </w:pPr>
            <w:r>
              <w:rPr>
                <w:rFonts w:hint="eastAsia"/>
                <w:color w:val="000000" w:themeColor="text1"/>
              </w:rPr>
              <w:t>噪声强度（dB(A)）</w:t>
            </w:r>
          </w:p>
        </w:tc>
        <w:tc>
          <w:tcPr>
            <w:tcW w:w="992" w:type="dxa"/>
            <w:vAlign w:val="center"/>
          </w:tcPr>
          <w:p>
            <w:pPr>
              <w:pStyle w:val="55"/>
              <w:rPr>
                <w:color w:val="000000" w:themeColor="text1"/>
              </w:rPr>
            </w:pPr>
            <w:r>
              <w:rPr>
                <w:rFonts w:hint="eastAsia"/>
                <w:color w:val="000000" w:themeColor="text1"/>
              </w:rPr>
              <w:t>数量（台/套）</w:t>
            </w:r>
          </w:p>
        </w:tc>
        <w:tc>
          <w:tcPr>
            <w:tcW w:w="1418" w:type="dxa"/>
            <w:vAlign w:val="center"/>
          </w:tcPr>
          <w:p>
            <w:pPr>
              <w:pStyle w:val="55"/>
              <w:rPr>
                <w:color w:val="000000" w:themeColor="text1"/>
              </w:rPr>
            </w:pPr>
            <w:r>
              <w:rPr>
                <w:rFonts w:hint="eastAsia"/>
                <w:color w:val="000000" w:themeColor="text1"/>
              </w:rPr>
              <w:t>噪声位置</w:t>
            </w:r>
          </w:p>
        </w:tc>
        <w:tc>
          <w:tcPr>
            <w:tcW w:w="1275" w:type="dxa"/>
            <w:vAlign w:val="center"/>
          </w:tcPr>
          <w:p>
            <w:pPr>
              <w:pStyle w:val="55"/>
              <w:rPr>
                <w:color w:val="000000" w:themeColor="text1"/>
              </w:rPr>
            </w:pPr>
            <w:r>
              <w:rPr>
                <w:rFonts w:hint="eastAsia"/>
                <w:color w:val="000000" w:themeColor="text1"/>
              </w:rPr>
              <w:t>噪声类别</w:t>
            </w:r>
          </w:p>
        </w:tc>
        <w:tc>
          <w:tcPr>
            <w:tcW w:w="1560" w:type="dxa"/>
            <w:vAlign w:val="center"/>
          </w:tcPr>
          <w:p>
            <w:pPr>
              <w:pStyle w:val="55"/>
              <w:rPr>
                <w:color w:val="000000" w:themeColor="text1"/>
              </w:rPr>
            </w:pPr>
            <w:r>
              <w:rPr>
                <w:rFonts w:hint="eastAsia"/>
                <w:color w:val="000000" w:themeColor="text1"/>
              </w:rPr>
              <w:t>排放方式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vAlign w:val="center"/>
          </w:tcPr>
          <w:p>
            <w:pPr>
              <w:pStyle w:val="55"/>
              <w:rPr>
                <w:color w:val="000000" w:themeColor="text1"/>
              </w:rPr>
            </w:pPr>
            <w:r>
              <w:rPr>
                <w:rFonts w:hint="eastAsia"/>
                <w:color w:val="000000" w:themeColor="text1"/>
              </w:rPr>
              <w:t>1</w:t>
            </w:r>
          </w:p>
        </w:tc>
        <w:tc>
          <w:tcPr>
            <w:tcW w:w="1417" w:type="dxa"/>
            <w:vAlign w:val="center"/>
          </w:tcPr>
          <w:p>
            <w:pPr>
              <w:pStyle w:val="55"/>
              <w:rPr>
                <w:color w:val="000000" w:themeColor="text1"/>
              </w:rPr>
            </w:pPr>
            <w:r>
              <w:rPr>
                <w:rFonts w:hint="eastAsia"/>
                <w:color w:val="000000" w:themeColor="text1"/>
              </w:rPr>
              <w:t>猪叫声</w:t>
            </w:r>
          </w:p>
        </w:tc>
        <w:tc>
          <w:tcPr>
            <w:tcW w:w="1276" w:type="dxa"/>
            <w:vAlign w:val="center"/>
          </w:tcPr>
          <w:p>
            <w:pPr>
              <w:pStyle w:val="55"/>
              <w:rPr>
                <w:color w:val="000000" w:themeColor="text1"/>
              </w:rPr>
            </w:pPr>
            <w:r>
              <w:rPr>
                <w:rFonts w:hint="eastAsia"/>
                <w:color w:val="000000" w:themeColor="text1"/>
              </w:rPr>
              <w:t>90</w:t>
            </w:r>
          </w:p>
        </w:tc>
        <w:tc>
          <w:tcPr>
            <w:tcW w:w="992" w:type="dxa"/>
            <w:vAlign w:val="center"/>
          </w:tcPr>
          <w:p>
            <w:pPr>
              <w:pStyle w:val="55"/>
              <w:rPr>
                <w:color w:val="000000" w:themeColor="text1"/>
              </w:rPr>
            </w:pPr>
            <w:r>
              <w:rPr>
                <w:rFonts w:hint="eastAsia"/>
                <w:color w:val="000000" w:themeColor="text1"/>
              </w:rPr>
              <w:t>/</w:t>
            </w:r>
          </w:p>
        </w:tc>
        <w:tc>
          <w:tcPr>
            <w:tcW w:w="1418" w:type="dxa"/>
            <w:vAlign w:val="center"/>
          </w:tcPr>
          <w:p>
            <w:pPr>
              <w:pStyle w:val="55"/>
              <w:rPr>
                <w:color w:val="000000" w:themeColor="text1"/>
              </w:rPr>
            </w:pPr>
            <w:r>
              <w:rPr>
                <w:rFonts w:hint="eastAsia"/>
                <w:color w:val="000000" w:themeColor="text1"/>
              </w:rPr>
              <w:t>待宰间</w:t>
            </w:r>
          </w:p>
        </w:tc>
        <w:tc>
          <w:tcPr>
            <w:tcW w:w="1275" w:type="dxa"/>
            <w:vAlign w:val="center"/>
          </w:tcPr>
          <w:p>
            <w:pPr>
              <w:pStyle w:val="55"/>
              <w:rPr>
                <w:color w:val="000000" w:themeColor="text1"/>
              </w:rPr>
            </w:pPr>
            <w:r>
              <w:rPr>
                <w:rFonts w:hint="eastAsia"/>
                <w:color w:val="000000" w:themeColor="text1"/>
              </w:rPr>
              <w:t>生产噪声</w:t>
            </w:r>
          </w:p>
        </w:tc>
        <w:tc>
          <w:tcPr>
            <w:tcW w:w="1560" w:type="dxa"/>
            <w:vAlign w:val="center"/>
          </w:tcPr>
          <w:p>
            <w:pPr>
              <w:pStyle w:val="55"/>
              <w:rPr>
                <w:color w:val="000000" w:themeColor="text1"/>
              </w:rPr>
            </w:pPr>
            <w:r>
              <w:rPr>
                <w:rFonts w:hint="eastAsia"/>
                <w:color w:val="000000" w:themeColor="text1"/>
              </w:rPr>
              <w:t>间歇性排放</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vAlign w:val="center"/>
          </w:tcPr>
          <w:p>
            <w:pPr>
              <w:pStyle w:val="55"/>
              <w:rPr>
                <w:color w:val="000000" w:themeColor="text1"/>
              </w:rPr>
            </w:pPr>
            <w:r>
              <w:rPr>
                <w:rFonts w:hint="eastAsia"/>
                <w:color w:val="000000" w:themeColor="text1"/>
              </w:rPr>
              <w:t>2</w:t>
            </w:r>
          </w:p>
        </w:tc>
        <w:tc>
          <w:tcPr>
            <w:tcW w:w="1417" w:type="dxa"/>
            <w:vAlign w:val="center"/>
          </w:tcPr>
          <w:p>
            <w:pPr>
              <w:pStyle w:val="55"/>
              <w:rPr>
                <w:color w:val="000000" w:themeColor="text1"/>
              </w:rPr>
            </w:pPr>
            <w:r>
              <w:rPr>
                <w:rFonts w:hint="eastAsia"/>
                <w:color w:val="000000" w:themeColor="text1"/>
              </w:rPr>
              <w:t>鸡叫声</w:t>
            </w:r>
          </w:p>
        </w:tc>
        <w:tc>
          <w:tcPr>
            <w:tcW w:w="1276" w:type="dxa"/>
            <w:vAlign w:val="center"/>
          </w:tcPr>
          <w:p>
            <w:pPr>
              <w:pStyle w:val="55"/>
              <w:rPr>
                <w:color w:val="000000" w:themeColor="text1"/>
              </w:rPr>
            </w:pPr>
            <w:r>
              <w:rPr>
                <w:rFonts w:hint="eastAsia"/>
                <w:color w:val="000000" w:themeColor="text1"/>
              </w:rPr>
              <w:t>90</w:t>
            </w:r>
          </w:p>
        </w:tc>
        <w:tc>
          <w:tcPr>
            <w:tcW w:w="992" w:type="dxa"/>
            <w:vAlign w:val="center"/>
          </w:tcPr>
          <w:p>
            <w:pPr>
              <w:pStyle w:val="55"/>
              <w:rPr>
                <w:color w:val="000000" w:themeColor="text1"/>
              </w:rPr>
            </w:pPr>
            <w:r>
              <w:rPr>
                <w:rFonts w:hint="eastAsia"/>
                <w:color w:val="000000" w:themeColor="text1"/>
              </w:rPr>
              <w:t>/</w:t>
            </w:r>
          </w:p>
        </w:tc>
        <w:tc>
          <w:tcPr>
            <w:tcW w:w="1418" w:type="dxa"/>
            <w:vAlign w:val="center"/>
          </w:tcPr>
          <w:p>
            <w:pPr>
              <w:pStyle w:val="55"/>
              <w:rPr>
                <w:color w:val="000000" w:themeColor="text1"/>
              </w:rPr>
            </w:pPr>
            <w:r>
              <w:rPr>
                <w:rFonts w:hint="eastAsia"/>
                <w:color w:val="000000" w:themeColor="text1"/>
              </w:rPr>
              <w:t>待宰圈</w:t>
            </w:r>
          </w:p>
        </w:tc>
        <w:tc>
          <w:tcPr>
            <w:tcW w:w="1275" w:type="dxa"/>
            <w:vAlign w:val="center"/>
          </w:tcPr>
          <w:p>
            <w:pPr>
              <w:pStyle w:val="55"/>
              <w:rPr>
                <w:color w:val="000000" w:themeColor="text1"/>
              </w:rPr>
            </w:pPr>
            <w:r>
              <w:rPr>
                <w:rFonts w:hint="eastAsia"/>
                <w:color w:val="000000" w:themeColor="text1"/>
              </w:rPr>
              <w:t>生产噪声</w:t>
            </w:r>
          </w:p>
        </w:tc>
        <w:tc>
          <w:tcPr>
            <w:tcW w:w="1560" w:type="dxa"/>
            <w:vAlign w:val="center"/>
          </w:tcPr>
          <w:p>
            <w:pPr>
              <w:pStyle w:val="55"/>
              <w:rPr>
                <w:color w:val="000000" w:themeColor="text1"/>
              </w:rPr>
            </w:pPr>
            <w:r>
              <w:rPr>
                <w:rFonts w:hint="eastAsia"/>
                <w:color w:val="000000" w:themeColor="text1"/>
              </w:rPr>
              <w:t>间歇性排放</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vAlign w:val="center"/>
          </w:tcPr>
          <w:p>
            <w:pPr>
              <w:pStyle w:val="55"/>
              <w:rPr>
                <w:color w:val="000000" w:themeColor="text1"/>
              </w:rPr>
            </w:pPr>
            <w:r>
              <w:rPr>
                <w:rFonts w:hint="eastAsia"/>
                <w:color w:val="000000" w:themeColor="text1"/>
              </w:rPr>
              <w:t>3</w:t>
            </w:r>
          </w:p>
        </w:tc>
        <w:tc>
          <w:tcPr>
            <w:tcW w:w="1417" w:type="dxa"/>
            <w:vAlign w:val="center"/>
          </w:tcPr>
          <w:p>
            <w:pPr>
              <w:pStyle w:val="55"/>
              <w:rPr>
                <w:color w:val="000000" w:themeColor="text1"/>
              </w:rPr>
            </w:pPr>
            <w:r>
              <w:rPr>
                <w:rFonts w:hint="eastAsia"/>
                <w:color w:val="000000" w:themeColor="text1"/>
              </w:rPr>
              <w:t>生猪屠宰设备噪声</w:t>
            </w:r>
          </w:p>
        </w:tc>
        <w:tc>
          <w:tcPr>
            <w:tcW w:w="1276" w:type="dxa"/>
            <w:vAlign w:val="center"/>
          </w:tcPr>
          <w:p>
            <w:pPr>
              <w:pStyle w:val="55"/>
              <w:rPr>
                <w:color w:val="000000" w:themeColor="text1"/>
              </w:rPr>
            </w:pPr>
            <w:r>
              <w:rPr>
                <w:rFonts w:hint="eastAsia"/>
                <w:color w:val="000000" w:themeColor="text1"/>
              </w:rPr>
              <w:t>85</w:t>
            </w:r>
          </w:p>
        </w:tc>
        <w:tc>
          <w:tcPr>
            <w:tcW w:w="992" w:type="dxa"/>
            <w:vAlign w:val="center"/>
          </w:tcPr>
          <w:p>
            <w:pPr>
              <w:pStyle w:val="55"/>
              <w:rPr>
                <w:color w:val="000000" w:themeColor="text1"/>
              </w:rPr>
            </w:pPr>
            <w:r>
              <w:rPr>
                <w:rFonts w:hint="eastAsia"/>
                <w:color w:val="000000" w:themeColor="text1"/>
              </w:rPr>
              <w:t>1</w:t>
            </w:r>
          </w:p>
        </w:tc>
        <w:tc>
          <w:tcPr>
            <w:tcW w:w="1418" w:type="dxa"/>
            <w:vAlign w:val="center"/>
          </w:tcPr>
          <w:p>
            <w:pPr>
              <w:pStyle w:val="55"/>
              <w:rPr>
                <w:color w:val="000000" w:themeColor="text1"/>
              </w:rPr>
            </w:pPr>
            <w:r>
              <w:rPr>
                <w:rFonts w:hint="eastAsia"/>
                <w:color w:val="000000" w:themeColor="text1"/>
              </w:rPr>
              <w:t>生猪屠宰车间</w:t>
            </w:r>
          </w:p>
        </w:tc>
        <w:tc>
          <w:tcPr>
            <w:tcW w:w="1275" w:type="dxa"/>
            <w:vAlign w:val="center"/>
          </w:tcPr>
          <w:p>
            <w:pPr>
              <w:pStyle w:val="55"/>
              <w:rPr>
                <w:color w:val="000000" w:themeColor="text1"/>
              </w:rPr>
            </w:pPr>
            <w:r>
              <w:rPr>
                <w:rFonts w:hint="eastAsia"/>
                <w:color w:val="000000" w:themeColor="text1"/>
              </w:rPr>
              <w:t>机械噪声</w:t>
            </w:r>
          </w:p>
        </w:tc>
        <w:tc>
          <w:tcPr>
            <w:tcW w:w="1560" w:type="dxa"/>
            <w:vAlign w:val="center"/>
          </w:tcPr>
          <w:p>
            <w:pPr>
              <w:pStyle w:val="55"/>
              <w:rPr>
                <w:color w:val="000000" w:themeColor="text1"/>
              </w:rPr>
            </w:pPr>
            <w:r>
              <w:rPr>
                <w:rFonts w:hint="eastAsia"/>
                <w:color w:val="000000" w:themeColor="text1"/>
              </w:rPr>
              <w:t>连续性排放</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vAlign w:val="center"/>
          </w:tcPr>
          <w:p>
            <w:pPr>
              <w:pStyle w:val="55"/>
              <w:rPr>
                <w:color w:val="000000" w:themeColor="text1"/>
              </w:rPr>
            </w:pPr>
            <w:r>
              <w:rPr>
                <w:rFonts w:hint="eastAsia"/>
                <w:color w:val="000000" w:themeColor="text1"/>
              </w:rPr>
              <w:t>4</w:t>
            </w:r>
          </w:p>
        </w:tc>
        <w:tc>
          <w:tcPr>
            <w:tcW w:w="1417" w:type="dxa"/>
            <w:vAlign w:val="center"/>
          </w:tcPr>
          <w:p>
            <w:pPr>
              <w:pStyle w:val="55"/>
              <w:rPr>
                <w:color w:val="000000" w:themeColor="text1"/>
              </w:rPr>
            </w:pPr>
            <w:r>
              <w:rPr>
                <w:rFonts w:hint="eastAsia"/>
                <w:color w:val="000000" w:themeColor="text1"/>
              </w:rPr>
              <w:t>宰鸡设备</w:t>
            </w:r>
          </w:p>
        </w:tc>
        <w:tc>
          <w:tcPr>
            <w:tcW w:w="1276" w:type="dxa"/>
            <w:vAlign w:val="center"/>
          </w:tcPr>
          <w:p>
            <w:pPr>
              <w:pStyle w:val="55"/>
              <w:rPr>
                <w:color w:val="000000" w:themeColor="text1"/>
              </w:rPr>
            </w:pPr>
            <w:r>
              <w:rPr>
                <w:rFonts w:hint="eastAsia"/>
                <w:color w:val="000000" w:themeColor="text1"/>
              </w:rPr>
              <w:t>85</w:t>
            </w:r>
          </w:p>
        </w:tc>
        <w:tc>
          <w:tcPr>
            <w:tcW w:w="992" w:type="dxa"/>
            <w:vAlign w:val="center"/>
          </w:tcPr>
          <w:p>
            <w:pPr>
              <w:pStyle w:val="55"/>
              <w:rPr>
                <w:color w:val="000000" w:themeColor="text1"/>
              </w:rPr>
            </w:pPr>
            <w:r>
              <w:rPr>
                <w:rFonts w:hint="eastAsia"/>
                <w:color w:val="000000" w:themeColor="text1"/>
              </w:rPr>
              <w:t>1</w:t>
            </w:r>
          </w:p>
        </w:tc>
        <w:tc>
          <w:tcPr>
            <w:tcW w:w="1418" w:type="dxa"/>
            <w:vAlign w:val="center"/>
          </w:tcPr>
          <w:p>
            <w:pPr>
              <w:pStyle w:val="55"/>
              <w:rPr>
                <w:color w:val="000000" w:themeColor="text1"/>
              </w:rPr>
            </w:pPr>
            <w:r>
              <w:rPr>
                <w:rFonts w:hint="eastAsia"/>
                <w:color w:val="000000" w:themeColor="text1"/>
              </w:rPr>
              <w:t>宰鸡场</w:t>
            </w:r>
          </w:p>
        </w:tc>
        <w:tc>
          <w:tcPr>
            <w:tcW w:w="1275" w:type="dxa"/>
            <w:vAlign w:val="center"/>
          </w:tcPr>
          <w:p>
            <w:pPr>
              <w:pStyle w:val="55"/>
              <w:rPr>
                <w:color w:val="000000" w:themeColor="text1"/>
              </w:rPr>
            </w:pPr>
            <w:r>
              <w:rPr>
                <w:rFonts w:hint="eastAsia"/>
                <w:color w:val="000000" w:themeColor="text1"/>
              </w:rPr>
              <w:t>机械噪声</w:t>
            </w:r>
          </w:p>
        </w:tc>
        <w:tc>
          <w:tcPr>
            <w:tcW w:w="1560" w:type="dxa"/>
            <w:vAlign w:val="center"/>
          </w:tcPr>
          <w:p>
            <w:pPr>
              <w:pStyle w:val="55"/>
              <w:rPr>
                <w:color w:val="000000" w:themeColor="text1"/>
              </w:rPr>
            </w:pPr>
            <w:r>
              <w:rPr>
                <w:rFonts w:hint="eastAsia"/>
                <w:color w:val="000000" w:themeColor="text1"/>
              </w:rPr>
              <w:t>连续性排放</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vAlign w:val="center"/>
          </w:tcPr>
          <w:p>
            <w:pPr>
              <w:pStyle w:val="55"/>
              <w:rPr>
                <w:color w:val="000000" w:themeColor="text1"/>
              </w:rPr>
            </w:pPr>
            <w:r>
              <w:rPr>
                <w:rFonts w:hint="eastAsia"/>
                <w:color w:val="000000" w:themeColor="text1"/>
              </w:rPr>
              <w:t>5</w:t>
            </w:r>
          </w:p>
        </w:tc>
        <w:tc>
          <w:tcPr>
            <w:tcW w:w="1417" w:type="dxa"/>
            <w:vAlign w:val="center"/>
          </w:tcPr>
          <w:p>
            <w:pPr>
              <w:pStyle w:val="55"/>
              <w:rPr>
                <w:color w:val="000000" w:themeColor="text1"/>
              </w:rPr>
            </w:pPr>
            <w:r>
              <w:rPr>
                <w:rFonts w:hint="eastAsia"/>
                <w:color w:val="000000" w:themeColor="text1"/>
              </w:rPr>
              <w:t>制冷压缩机</w:t>
            </w:r>
          </w:p>
        </w:tc>
        <w:tc>
          <w:tcPr>
            <w:tcW w:w="1276" w:type="dxa"/>
            <w:vAlign w:val="center"/>
          </w:tcPr>
          <w:p>
            <w:pPr>
              <w:pStyle w:val="55"/>
              <w:rPr>
                <w:color w:val="000000" w:themeColor="text1"/>
              </w:rPr>
            </w:pPr>
            <w:r>
              <w:rPr>
                <w:rFonts w:hint="eastAsia"/>
                <w:color w:val="000000" w:themeColor="text1"/>
              </w:rPr>
              <w:t>75</w:t>
            </w:r>
          </w:p>
        </w:tc>
        <w:tc>
          <w:tcPr>
            <w:tcW w:w="992" w:type="dxa"/>
            <w:vAlign w:val="center"/>
          </w:tcPr>
          <w:p>
            <w:pPr>
              <w:pStyle w:val="55"/>
              <w:rPr>
                <w:color w:val="000000" w:themeColor="text1"/>
              </w:rPr>
            </w:pPr>
            <w:r>
              <w:rPr>
                <w:rFonts w:hint="eastAsia"/>
                <w:color w:val="000000" w:themeColor="text1"/>
              </w:rPr>
              <w:t>3</w:t>
            </w:r>
          </w:p>
        </w:tc>
        <w:tc>
          <w:tcPr>
            <w:tcW w:w="1418" w:type="dxa"/>
            <w:vAlign w:val="center"/>
          </w:tcPr>
          <w:p>
            <w:pPr>
              <w:pStyle w:val="55"/>
              <w:rPr>
                <w:color w:val="000000" w:themeColor="text1"/>
              </w:rPr>
            </w:pPr>
            <w:r>
              <w:rPr>
                <w:rFonts w:hint="eastAsia"/>
                <w:color w:val="000000" w:themeColor="text1"/>
              </w:rPr>
              <w:t>冷库</w:t>
            </w:r>
          </w:p>
        </w:tc>
        <w:tc>
          <w:tcPr>
            <w:tcW w:w="1275" w:type="dxa"/>
            <w:vAlign w:val="center"/>
          </w:tcPr>
          <w:p>
            <w:pPr>
              <w:pStyle w:val="55"/>
              <w:rPr>
                <w:color w:val="000000" w:themeColor="text1"/>
              </w:rPr>
            </w:pPr>
            <w:r>
              <w:rPr>
                <w:rFonts w:hint="eastAsia"/>
                <w:color w:val="000000" w:themeColor="text1"/>
              </w:rPr>
              <w:t>机械噪声</w:t>
            </w:r>
          </w:p>
        </w:tc>
        <w:tc>
          <w:tcPr>
            <w:tcW w:w="1560" w:type="dxa"/>
            <w:vAlign w:val="center"/>
          </w:tcPr>
          <w:p>
            <w:pPr>
              <w:pStyle w:val="55"/>
              <w:rPr>
                <w:color w:val="000000" w:themeColor="text1"/>
              </w:rPr>
            </w:pPr>
            <w:r>
              <w:rPr>
                <w:rFonts w:hint="eastAsia"/>
                <w:color w:val="000000" w:themeColor="text1"/>
              </w:rPr>
              <w:t>间歇性排放</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vAlign w:val="center"/>
          </w:tcPr>
          <w:p>
            <w:pPr>
              <w:pStyle w:val="55"/>
              <w:rPr>
                <w:color w:val="000000" w:themeColor="text1"/>
              </w:rPr>
            </w:pPr>
            <w:r>
              <w:rPr>
                <w:rFonts w:hint="eastAsia"/>
                <w:color w:val="000000" w:themeColor="text1"/>
              </w:rPr>
              <w:t>6</w:t>
            </w:r>
          </w:p>
        </w:tc>
        <w:tc>
          <w:tcPr>
            <w:tcW w:w="1417" w:type="dxa"/>
            <w:vAlign w:val="center"/>
          </w:tcPr>
          <w:p>
            <w:pPr>
              <w:pStyle w:val="55"/>
              <w:rPr>
                <w:color w:val="000000" w:themeColor="text1"/>
              </w:rPr>
            </w:pPr>
            <w:r>
              <w:rPr>
                <w:rFonts w:hint="eastAsia"/>
                <w:color w:val="000000" w:themeColor="text1"/>
              </w:rPr>
              <w:t>通风风机</w:t>
            </w:r>
          </w:p>
        </w:tc>
        <w:tc>
          <w:tcPr>
            <w:tcW w:w="1276" w:type="dxa"/>
            <w:vAlign w:val="center"/>
          </w:tcPr>
          <w:p>
            <w:pPr>
              <w:pStyle w:val="55"/>
              <w:rPr>
                <w:color w:val="000000" w:themeColor="text1"/>
              </w:rPr>
            </w:pPr>
            <w:r>
              <w:rPr>
                <w:rFonts w:hint="eastAsia"/>
                <w:color w:val="000000" w:themeColor="text1"/>
              </w:rPr>
              <w:t>75</w:t>
            </w:r>
          </w:p>
        </w:tc>
        <w:tc>
          <w:tcPr>
            <w:tcW w:w="992" w:type="dxa"/>
            <w:vAlign w:val="center"/>
          </w:tcPr>
          <w:p>
            <w:pPr>
              <w:pStyle w:val="55"/>
              <w:rPr>
                <w:color w:val="000000" w:themeColor="text1"/>
              </w:rPr>
            </w:pPr>
            <w:r>
              <w:rPr>
                <w:rFonts w:hint="eastAsia"/>
                <w:color w:val="000000" w:themeColor="text1"/>
              </w:rPr>
              <w:t>6</w:t>
            </w:r>
          </w:p>
        </w:tc>
        <w:tc>
          <w:tcPr>
            <w:tcW w:w="1418" w:type="dxa"/>
            <w:vAlign w:val="center"/>
          </w:tcPr>
          <w:p>
            <w:pPr>
              <w:pStyle w:val="55"/>
              <w:rPr>
                <w:color w:val="000000" w:themeColor="text1"/>
              </w:rPr>
            </w:pPr>
            <w:r>
              <w:rPr>
                <w:rFonts w:hint="eastAsia"/>
                <w:color w:val="000000" w:themeColor="text1"/>
              </w:rPr>
              <w:t>屠宰车间</w:t>
            </w:r>
          </w:p>
        </w:tc>
        <w:tc>
          <w:tcPr>
            <w:tcW w:w="1275" w:type="dxa"/>
            <w:vAlign w:val="center"/>
          </w:tcPr>
          <w:p>
            <w:pPr>
              <w:pStyle w:val="55"/>
              <w:rPr>
                <w:color w:val="000000" w:themeColor="text1"/>
              </w:rPr>
            </w:pPr>
            <w:r>
              <w:rPr>
                <w:rFonts w:hint="eastAsia"/>
                <w:color w:val="000000" w:themeColor="text1"/>
              </w:rPr>
              <w:t>机械噪声</w:t>
            </w:r>
          </w:p>
        </w:tc>
        <w:tc>
          <w:tcPr>
            <w:tcW w:w="1560" w:type="dxa"/>
            <w:vAlign w:val="center"/>
          </w:tcPr>
          <w:p>
            <w:pPr>
              <w:pStyle w:val="55"/>
              <w:rPr>
                <w:color w:val="000000" w:themeColor="text1"/>
              </w:rPr>
            </w:pPr>
            <w:r>
              <w:rPr>
                <w:rFonts w:hint="eastAsia"/>
                <w:color w:val="000000" w:themeColor="text1"/>
              </w:rPr>
              <w:t>连续性排放</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vAlign w:val="center"/>
          </w:tcPr>
          <w:p>
            <w:pPr>
              <w:pStyle w:val="55"/>
              <w:rPr>
                <w:color w:val="000000" w:themeColor="text1"/>
              </w:rPr>
            </w:pPr>
            <w:r>
              <w:rPr>
                <w:rFonts w:hint="eastAsia"/>
                <w:color w:val="000000" w:themeColor="text1"/>
              </w:rPr>
              <w:t>7</w:t>
            </w:r>
          </w:p>
        </w:tc>
        <w:tc>
          <w:tcPr>
            <w:tcW w:w="1417" w:type="dxa"/>
            <w:vAlign w:val="center"/>
          </w:tcPr>
          <w:p>
            <w:pPr>
              <w:pStyle w:val="55"/>
              <w:rPr>
                <w:color w:val="000000" w:themeColor="text1"/>
              </w:rPr>
            </w:pPr>
            <w:r>
              <w:rPr>
                <w:rFonts w:hint="eastAsia"/>
                <w:color w:val="000000" w:themeColor="text1"/>
              </w:rPr>
              <w:t>泵类</w:t>
            </w:r>
          </w:p>
        </w:tc>
        <w:tc>
          <w:tcPr>
            <w:tcW w:w="1276" w:type="dxa"/>
            <w:vAlign w:val="center"/>
          </w:tcPr>
          <w:p>
            <w:pPr>
              <w:pStyle w:val="55"/>
              <w:rPr>
                <w:color w:val="000000" w:themeColor="text1"/>
              </w:rPr>
            </w:pPr>
            <w:r>
              <w:rPr>
                <w:rFonts w:hint="eastAsia"/>
                <w:color w:val="000000" w:themeColor="text1"/>
              </w:rPr>
              <w:t>80</w:t>
            </w:r>
          </w:p>
        </w:tc>
        <w:tc>
          <w:tcPr>
            <w:tcW w:w="992" w:type="dxa"/>
            <w:vAlign w:val="center"/>
          </w:tcPr>
          <w:p>
            <w:pPr>
              <w:pStyle w:val="55"/>
              <w:rPr>
                <w:color w:val="000000" w:themeColor="text1"/>
              </w:rPr>
            </w:pPr>
            <w:r>
              <w:rPr>
                <w:rFonts w:hint="eastAsia"/>
                <w:color w:val="000000" w:themeColor="text1"/>
              </w:rPr>
              <w:t>4</w:t>
            </w:r>
          </w:p>
        </w:tc>
        <w:tc>
          <w:tcPr>
            <w:tcW w:w="1418" w:type="dxa"/>
            <w:vAlign w:val="center"/>
          </w:tcPr>
          <w:p>
            <w:pPr>
              <w:pStyle w:val="55"/>
              <w:rPr>
                <w:color w:val="000000" w:themeColor="text1"/>
              </w:rPr>
            </w:pPr>
            <w:r>
              <w:rPr>
                <w:rFonts w:hint="eastAsia"/>
                <w:color w:val="000000" w:themeColor="text1"/>
              </w:rPr>
              <w:t>污水处理站</w:t>
            </w:r>
          </w:p>
        </w:tc>
        <w:tc>
          <w:tcPr>
            <w:tcW w:w="1275" w:type="dxa"/>
            <w:vAlign w:val="center"/>
          </w:tcPr>
          <w:p>
            <w:pPr>
              <w:pStyle w:val="55"/>
              <w:rPr>
                <w:color w:val="000000" w:themeColor="text1"/>
              </w:rPr>
            </w:pPr>
            <w:r>
              <w:rPr>
                <w:rFonts w:hint="eastAsia"/>
                <w:color w:val="000000" w:themeColor="text1"/>
              </w:rPr>
              <w:t>机械噪声</w:t>
            </w:r>
          </w:p>
        </w:tc>
        <w:tc>
          <w:tcPr>
            <w:tcW w:w="1560" w:type="dxa"/>
            <w:vAlign w:val="center"/>
          </w:tcPr>
          <w:p>
            <w:pPr>
              <w:pStyle w:val="55"/>
              <w:rPr>
                <w:color w:val="000000" w:themeColor="text1"/>
              </w:rPr>
            </w:pPr>
            <w:r>
              <w:rPr>
                <w:rFonts w:hint="eastAsia"/>
                <w:color w:val="000000" w:themeColor="text1"/>
              </w:rPr>
              <w:t>连续性排放</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vAlign w:val="center"/>
          </w:tcPr>
          <w:p>
            <w:pPr>
              <w:pStyle w:val="55"/>
              <w:rPr>
                <w:color w:val="000000" w:themeColor="text1"/>
              </w:rPr>
            </w:pPr>
            <w:r>
              <w:rPr>
                <w:rFonts w:hint="eastAsia"/>
                <w:color w:val="000000" w:themeColor="text1"/>
              </w:rPr>
              <w:t>8</w:t>
            </w:r>
          </w:p>
        </w:tc>
        <w:tc>
          <w:tcPr>
            <w:tcW w:w="1417" w:type="dxa"/>
            <w:vAlign w:val="center"/>
          </w:tcPr>
          <w:p>
            <w:pPr>
              <w:pStyle w:val="55"/>
              <w:rPr>
                <w:color w:val="000000" w:themeColor="text1"/>
              </w:rPr>
            </w:pPr>
            <w:r>
              <w:rPr>
                <w:rFonts w:hint="eastAsia"/>
                <w:color w:val="000000" w:themeColor="text1"/>
              </w:rPr>
              <w:t>车辆噪声</w:t>
            </w:r>
          </w:p>
        </w:tc>
        <w:tc>
          <w:tcPr>
            <w:tcW w:w="1276" w:type="dxa"/>
            <w:vAlign w:val="center"/>
          </w:tcPr>
          <w:p>
            <w:pPr>
              <w:pStyle w:val="55"/>
              <w:rPr>
                <w:color w:val="000000" w:themeColor="text1"/>
              </w:rPr>
            </w:pPr>
            <w:r>
              <w:rPr>
                <w:rFonts w:hint="eastAsia"/>
                <w:color w:val="000000" w:themeColor="text1"/>
              </w:rPr>
              <w:t>75</w:t>
            </w:r>
          </w:p>
        </w:tc>
        <w:tc>
          <w:tcPr>
            <w:tcW w:w="992" w:type="dxa"/>
            <w:vAlign w:val="center"/>
          </w:tcPr>
          <w:p>
            <w:pPr>
              <w:pStyle w:val="55"/>
              <w:rPr>
                <w:color w:val="000000" w:themeColor="text1"/>
              </w:rPr>
            </w:pPr>
            <w:r>
              <w:rPr>
                <w:rFonts w:hint="eastAsia"/>
                <w:color w:val="000000" w:themeColor="text1"/>
              </w:rPr>
              <w:t>/</w:t>
            </w:r>
          </w:p>
        </w:tc>
        <w:tc>
          <w:tcPr>
            <w:tcW w:w="1418" w:type="dxa"/>
            <w:vAlign w:val="center"/>
          </w:tcPr>
          <w:p>
            <w:pPr>
              <w:pStyle w:val="55"/>
              <w:rPr>
                <w:color w:val="000000" w:themeColor="text1"/>
              </w:rPr>
            </w:pPr>
            <w:r>
              <w:rPr>
                <w:rFonts w:hint="eastAsia"/>
                <w:color w:val="000000" w:themeColor="text1"/>
              </w:rPr>
              <w:t>场内</w:t>
            </w:r>
          </w:p>
        </w:tc>
        <w:tc>
          <w:tcPr>
            <w:tcW w:w="1275" w:type="dxa"/>
            <w:vAlign w:val="center"/>
          </w:tcPr>
          <w:p>
            <w:pPr>
              <w:pStyle w:val="55"/>
              <w:rPr>
                <w:color w:val="000000" w:themeColor="text1"/>
              </w:rPr>
            </w:pPr>
            <w:r>
              <w:rPr>
                <w:rFonts w:hint="eastAsia"/>
                <w:color w:val="000000" w:themeColor="text1"/>
              </w:rPr>
              <w:t>交通噪声</w:t>
            </w:r>
          </w:p>
        </w:tc>
        <w:tc>
          <w:tcPr>
            <w:tcW w:w="1560" w:type="dxa"/>
            <w:vAlign w:val="center"/>
          </w:tcPr>
          <w:p>
            <w:pPr>
              <w:pStyle w:val="55"/>
              <w:rPr>
                <w:color w:val="000000" w:themeColor="text1"/>
              </w:rPr>
            </w:pPr>
            <w:r>
              <w:rPr>
                <w:rFonts w:hint="eastAsia"/>
                <w:color w:val="000000" w:themeColor="text1"/>
              </w:rPr>
              <w:t>间歇性排放</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vAlign w:val="center"/>
          </w:tcPr>
          <w:p>
            <w:pPr>
              <w:pStyle w:val="55"/>
              <w:rPr>
                <w:color w:val="000000" w:themeColor="text1"/>
              </w:rPr>
            </w:pPr>
            <w:r>
              <w:rPr>
                <w:rFonts w:hint="eastAsia"/>
                <w:color w:val="000000" w:themeColor="text1"/>
              </w:rPr>
              <w:t>9</w:t>
            </w:r>
          </w:p>
        </w:tc>
        <w:tc>
          <w:tcPr>
            <w:tcW w:w="1417" w:type="dxa"/>
            <w:vAlign w:val="center"/>
          </w:tcPr>
          <w:p>
            <w:pPr>
              <w:pStyle w:val="55"/>
              <w:rPr>
                <w:color w:val="000000" w:themeColor="text1"/>
              </w:rPr>
            </w:pPr>
            <w:r>
              <w:rPr>
                <w:rFonts w:hint="eastAsia"/>
                <w:color w:val="000000" w:themeColor="text1"/>
              </w:rPr>
              <w:t>人员活动噪声</w:t>
            </w:r>
          </w:p>
        </w:tc>
        <w:tc>
          <w:tcPr>
            <w:tcW w:w="1276" w:type="dxa"/>
            <w:vAlign w:val="center"/>
          </w:tcPr>
          <w:p>
            <w:pPr>
              <w:pStyle w:val="55"/>
              <w:rPr>
                <w:color w:val="000000" w:themeColor="text1"/>
              </w:rPr>
            </w:pPr>
            <w:r>
              <w:rPr>
                <w:rFonts w:hint="eastAsia"/>
                <w:color w:val="000000" w:themeColor="text1"/>
              </w:rPr>
              <w:t>60</w:t>
            </w:r>
          </w:p>
        </w:tc>
        <w:tc>
          <w:tcPr>
            <w:tcW w:w="992" w:type="dxa"/>
            <w:vAlign w:val="center"/>
          </w:tcPr>
          <w:p>
            <w:pPr>
              <w:pStyle w:val="55"/>
              <w:rPr>
                <w:color w:val="000000" w:themeColor="text1"/>
              </w:rPr>
            </w:pPr>
            <w:r>
              <w:rPr>
                <w:rFonts w:hint="eastAsia"/>
                <w:color w:val="000000" w:themeColor="text1"/>
              </w:rPr>
              <w:t>/</w:t>
            </w:r>
          </w:p>
        </w:tc>
        <w:tc>
          <w:tcPr>
            <w:tcW w:w="1418" w:type="dxa"/>
            <w:vAlign w:val="center"/>
          </w:tcPr>
          <w:p>
            <w:pPr>
              <w:pStyle w:val="55"/>
              <w:rPr>
                <w:color w:val="000000" w:themeColor="text1"/>
              </w:rPr>
            </w:pPr>
            <w:r>
              <w:rPr>
                <w:rFonts w:hint="eastAsia"/>
                <w:color w:val="000000" w:themeColor="text1"/>
              </w:rPr>
              <w:t>场内</w:t>
            </w:r>
          </w:p>
        </w:tc>
        <w:tc>
          <w:tcPr>
            <w:tcW w:w="1275" w:type="dxa"/>
            <w:vAlign w:val="center"/>
          </w:tcPr>
          <w:p>
            <w:pPr>
              <w:pStyle w:val="55"/>
              <w:rPr>
                <w:color w:val="000000" w:themeColor="text1"/>
              </w:rPr>
            </w:pPr>
            <w:r>
              <w:rPr>
                <w:rFonts w:hint="eastAsia"/>
                <w:color w:val="000000" w:themeColor="text1"/>
              </w:rPr>
              <w:t>人群噪声</w:t>
            </w:r>
          </w:p>
        </w:tc>
        <w:tc>
          <w:tcPr>
            <w:tcW w:w="1560" w:type="dxa"/>
            <w:vAlign w:val="center"/>
          </w:tcPr>
          <w:p>
            <w:pPr>
              <w:pStyle w:val="55"/>
              <w:rPr>
                <w:color w:val="000000" w:themeColor="text1"/>
              </w:rPr>
            </w:pPr>
            <w:r>
              <w:rPr>
                <w:rFonts w:hint="eastAsia"/>
                <w:color w:val="000000" w:themeColor="text1"/>
              </w:rPr>
              <w:t>间歇性排放</w:t>
            </w:r>
          </w:p>
        </w:tc>
      </w:tr>
    </w:tbl>
    <w:p>
      <w:pPr>
        <w:pStyle w:val="57"/>
        <w:ind w:firstLine="482"/>
        <w:rPr>
          <w:color w:val="000000" w:themeColor="text1"/>
        </w:rPr>
      </w:pPr>
      <w:r>
        <w:rPr>
          <w:rFonts w:hint="eastAsia"/>
          <w:color w:val="000000" w:themeColor="text1"/>
        </w:rPr>
        <w:t>2.7.3.2噪声污染治理措施</w:t>
      </w:r>
    </w:p>
    <w:p>
      <w:pPr>
        <w:ind w:firstLine="480"/>
        <w:rPr>
          <w:color w:val="000000" w:themeColor="text1"/>
        </w:rPr>
      </w:pPr>
      <w:r>
        <w:rPr>
          <w:rFonts w:hint="eastAsia"/>
          <w:color w:val="000000" w:themeColor="text1"/>
        </w:rPr>
        <w:t>（1）风机和风管的连接采用软接口连接，降低噪声传播，在安装高噪声设备时加设防振设施，降低设备噪声对声环境的影响。</w:t>
      </w:r>
    </w:p>
    <w:p>
      <w:pPr>
        <w:ind w:firstLine="480"/>
        <w:rPr>
          <w:color w:val="000000" w:themeColor="text1"/>
        </w:rPr>
      </w:pPr>
      <w:r>
        <w:rPr>
          <w:rFonts w:hint="eastAsia"/>
          <w:color w:val="000000" w:themeColor="text1"/>
        </w:rPr>
        <w:t>（2）平面设计中合理布局，充分利用厂内建筑物的隔声作用，以减轻各类声源对周围环境的影响。</w:t>
      </w:r>
    </w:p>
    <w:p>
      <w:pPr>
        <w:ind w:firstLine="480"/>
        <w:rPr>
          <w:color w:val="000000" w:themeColor="text1"/>
        </w:rPr>
      </w:pPr>
      <w:r>
        <w:rPr>
          <w:rFonts w:hint="eastAsia"/>
          <w:color w:val="000000" w:themeColor="text1"/>
        </w:rPr>
        <w:t>（3）运输车辆应配备低音喇叭，在厂区内做到不鸣或少鸣笛。</w:t>
      </w:r>
    </w:p>
    <w:p>
      <w:pPr>
        <w:ind w:firstLine="480"/>
        <w:rPr>
          <w:color w:val="000000" w:themeColor="text1"/>
        </w:rPr>
      </w:pPr>
      <w:r>
        <w:rPr>
          <w:rFonts w:hint="eastAsia"/>
          <w:color w:val="000000" w:themeColor="text1"/>
        </w:rPr>
        <w:t>（4）在引进设备时，在满足工艺要求的前提下尽量采用较低噪声的生产设备，设备安装中基础应做减振处理，生产设备应尽量布置于厂房中间，充分发挥厂房隔声的效果。</w:t>
      </w:r>
    </w:p>
    <w:p>
      <w:pPr>
        <w:ind w:firstLine="480"/>
        <w:rPr>
          <w:color w:val="000000" w:themeColor="text1"/>
        </w:rPr>
      </w:pPr>
      <w:r>
        <w:rPr>
          <w:rFonts w:hint="eastAsia"/>
          <w:color w:val="000000" w:themeColor="text1"/>
        </w:rPr>
        <w:t>（5）待宰圈周围应禁止人群或车辆大量聚集，可减少外界噪声对待宰圈的干扰，保持安定平和的氛围，以缓解动物的紧张情绪，减少猪叫声及鸡叫声的排放。</w:t>
      </w:r>
    </w:p>
    <w:p>
      <w:pPr>
        <w:ind w:firstLine="480"/>
        <w:rPr>
          <w:color w:val="000000" w:themeColor="text1"/>
        </w:rPr>
      </w:pPr>
      <w:r>
        <w:rPr>
          <w:rFonts w:hint="eastAsia"/>
          <w:color w:val="000000" w:themeColor="text1"/>
        </w:rPr>
        <w:t>（6）项目污水处理站设计为地埋式，水泵均位于地下，噪声产生量较小。</w:t>
      </w:r>
    </w:p>
    <w:p>
      <w:pPr>
        <w:ind w:firstLine="480"/>
        <w:rPr>
          <w:color w:val="000000" w:themeColor="text1"/>
        </w:rPr>
      </w:pPr>
      <w:r>
        <w:rPr>
          <w:rFonts w:hint="eastAsia"/>
          <w:color w:val="000000" w:themeColor="text1"/>
        </w:rPr>
        <w:t>采取上述措施后，机械设备噪声源将降低15dB(A)左右，其声压级在60~70dB(A)，再经室外距离衰减、绿化吸收及厂界围墙降噪后，可实现厂界噪声达标。</w:t>
      </w:r>
    </w:p>
    <w:p>
      <w:pPr>
        <w:pStyle w:val="38"/>
        <w:ind w:firstLine="281"/>
        <w:rPr>
          <w:color w:val="000000" w:themeColor="text1"/>
        </w:rPr>
      </w:pPr>
      <w:bookmarkStart w:id="57" w:name="_Toc47375815"/>
      <w:r>
        <w:rPr>
          <w:rFonts w:hint="eastAsia"/>
          <w:color w:val="000000" w:themeColor="text1"/>
        </w:rPr>
        <w:t>2.7.4固体废弃物</w:t>
      </w:r>
      <w:bookmarkEnd w:id="57"/>
    </w:p>
    <w:p>
      <w:pPr>
        <w:widowControl/>
        <w:adjustRightInd w:val="0"/>
        <w:snapToGrid w:val="0"/>
        <w:ind w:firstLine="597" w:firstLineChars="249"/>
        <w:rPr>
          <w:bCs/>
          <w:iCs/>
          <w:color w:val="000000" w:themeColor="text1"/>
          <w:szCs w:val="24"/>
        </w:rPr>
      </w:pPr>
      <w:r>
        <w:rPr>
          <w:rFonts w:hint="eastAsia"/>
          <w:bCs/>
          <w:iCs/>
          <w:color w:val="000000" w:themeColor="text1"/>
          <w:szCs w:val="24"/>
        </w:rPr>
        <w:t>1、生猪屠宰</w:t>
      </w:r>
    </w:p>
    <w:p>
      <w:pPr>
        <w:widowControl/>
        <w:adjustRightInd w:val="0"/>
        <w:snapToGrid w:val="0"/>
        <w:ind w:firstLine="597" w:firstLineChars="249"/>
        <w:rPr>
          <w:bCs/>
          <w:iCs/>
          <w:color w:val="000000" w:themeColor="text1"/>
          <w:szCs w:val="24"/>
        </w:rPr>
      </w:pPr>
      <w:r>
        <w:rPr>
          <w:rFonts w:hint="eastAsia"/>
          <w:bCs/>
          <w:iCs/>
          <w:color w:val="000000" w:themeColor="text1"/>
          <w:szCs w:val="24"/>
        </w:rPr>
        <w:t>（1）病死猪、不合格产品（内脏、胴体）、碎肉</w:t>
      </w:r>
    </w:p>
    <w:p>
      <w:pPr>
        <w:widowControl/>
        <w:adjustRightInd w:val="0"/>
        <w:snapToGrid w:val="0"/>
        <w:ind w:firstLine="597" w:firstLineChars="249"/>
        <w:rPr>
          <w:bCs/>
          <w:iCs/>
          <w:color w:val="000000" w:themeColor="text1"/>
          <w:szCs w:val="24"/>
        </w:rPr>
      </w:pPr>
      <w:r>
        <w:rPr>
          <w:rFonts w:hint="eastAsia"/>
          <w:bCs/>
          <w:iCs/>
          <w:color w:val="000000" w:themeColor="text1"/>
          <w:szCs w:val="24"/>
        </w:rPr>
        <w:t>项目生产期间，生猪进厂前先进行检疫工作，若检疫不合格的生猪直接不能入厂</w:t>
      </w:r>
      <w:r>
        <w:rPr>
          <w:rFonts w:hint="eastAsia"/>
          <w:color w:val="000000" w:themeColor="text1"/>
          <w:kern w:val="0"/>
          <w:szCs w:val="24"/>
        </w:rPr>
        <w:t>，在生猪暂养过程中可能会出现病死猪，根据业主经验，在待宰期间产生的病死猪一年最多约15头左右，每头按</w:t>
      </w:r>
      <w:r>
        <w:rPr>
          <w:color w:val="000000" w:themeColor="text1"/>
          <w:kern w:val="0"/>
          <w:szCs w:val="24"/>
        </w:rPr>
        <w:t>100kg</w:t>
      </w:r>
      <w:r>
        <w:rPr>
          <w:rFonts w:hint="eastAsia"/>
          <w:color w:val="000000" w:themeColor="text1"/>
          <w:kern w:val="0"/>
          <w:szCs w:val="24"/>
        </w:rPr>
        <w:t>计，病死猪产生量约为1.5t</w:t>
      </w:r>
      <w:r>
        <w:rPr>
          <w:color w:val="000000" w:themeColor="text1"/>
          <w:kern w:val="0"/>
          <w:szCs w:val="24"/>
        </w:rPr>
        <w:t>/a</w:t>
      </w:r>
      <w:r>
        <w:rPr>
          <w:rFonts w:hint="eastAsia"/>
          <w:color w:val="000000" w:themeColor="text1"/>
          <w:kern w:val="0"/>
          <w:szCs w:val="24"/>
        </w:rPr>
        <w:t>；经检验不合格的内脏、胴体产生量约占生猪量的0.6%，计算得90t</w:t>
      </w:r>
      <w:r>
        <w:rPr>
          <w:color w:val="000000" w:themeColor="text1"/>
          <w:kern w:val="0"/>
          <w:szCs w:val="24"/>
        </w:rPr>
        <w:t>/a</w:t>
      </w:r>
      <w:r>
        <w:rPr>
          <w:rFonts w:hint="eastAsia"/>
          <w:color w:val="000000" w:themeColor="text1"/>
          <w:kern w:val="0"/>
          <w:szCs w:val="24"/>
        </w:rPr>
        <w:t>；切割产生的碎肉、碎骨等约占生猪量的0.012%，计算得约为1.8t/a，共计93.3t</w:t>
      </w:r>
      <w:r>
        <w:rPr>
          <w:color w:val="000000" w:themeColor="text1"/>
          <w:kern w:val="0"/>
          <w:szCs w:val="24"/>
        </w:rPr>
        <w:t>/a</w:t>
      </w:r>
      <w:r>
        <w:rPr>
          <w:rFonts w:hint="eastAsia"/>
          <w:bCs/>
          <w:iCs/>
          <w:color w:val="000000" w:themeColor="text1"/>
          <w:szCs w:val="24"/>
        </w:rPr>
        <w:t>。病死猪、不合格产品属于《危险废物名录》（</w:t>
      </w:r>
      <w:r>
        <w:rPr>
          <w:bCs/>
          <w:iCs/>
          <w:color w:val="000000" w:themeColor="text1"/>
          <w:szCs w:val="24"/>
        </w:rPr>
        <w:t>2016</w:t>
      </w:r>
      <w:r>
        <w:rPr>
          <w:rFonts w:hint="eastAsia"/>
          <w:bCs/>
          <w:iCs/>
          <w:color w:val="000000" w:themeColor="text1"/>
          <w:szCs w:val="24"/>
        </w:rPr>
        <w:t>）中规定的“为防治动物传染病而需要收集和处置的废物”，危废类别为</w:t>
      </w:r>
      <w:r>
        <w:rPr>
          <w:bCs/>
          <w:iCs/>
          <w:color w:val="000000" w:themeColor="text1"/>
          <w:szCs w:val="24"/>
        </w:rPr>
        <w:t>HW</w:t>
      </w:r>
      <w:r>
        <w:rPr>
          <w:rFonts w:hint="eastAsia"/>
          <w:bCs/>
          <w:iCs/>
          <w:color w:val="000000" w:themeColor="text1"/>
          <w:szCs w:val="24"/>
        </w:rPr>
        <w:t>01医疗废物，代码为</w:t>
      </w:r>
      <w:r>
        <w:rPr>
          <w:bCs/>
          <w:iCs/>
          <w:color w:val="000000" w:themeColor="text1"/>
          <w:szCs w:val="24"/>
        </w:rPr>
        <w:t>900-0</w:t>
      </w:r>
      <w:r>
        <w:rPr>
          <w:rFonts w:hint="eastAsia"/>
          <w:bCs/>
          <w:iCs/>
          <w:color w:val="000000" w:themeColor="text1"/>
          <w:szCs w:val="24"/>
        </w:rPr>
        <w:t>01</w:t>
      </w:r>
      <w:r>
        <w:rPr>
          <w:bCs/>
          <w:iCs/>
          <w:color w:val="000000" w:themeColor="text1"/>
          <w:szCs w:val="24"/>
        </w:rPr>
        <w:t>-</w:t>
      </w:r>
      <w:r>
        <w:rPr>
          <w:rFonts w:hint="eastAsia"/>
          <w:bCs/>
          <w:iCs/>
          <w:color w:val="000000" w:themeColor="text1"/>
          <w:szCs w:val="24"/>
        </w:rPr>
        <w:t>01，</w:t>
      </w:r>
      <w:r>
        <w:rPr>
          <w:rFonts w:hint="eastAsia"/>
          <w:color w:val="000000" w:themeColor="text1"/>
          <w:kern w:val="0"/>
          <w:szCs w:val="24"/>
        </w:rPr>
        <w:t>本项目经检验不合格的产品、病死猪、碎肉等</w:t>
      </w:r>
      <w:r>
        <w:rPr>
          <w:rFonts w:hint="eastAsia"/>
          <w:bCs/>
          <w:iCs/>
          <w:color w:val="000000" w:themeColor="text1"/>
          <w:szCs w:val="24"/>
        </w:rPr>
        <w:t>及时送往本项目设置的焚烧炉进行无害化处置。</w:t>
      </w:r>
    </w:p>
    <w:p>
      <w:pPr>
        <w:ind w:firstLine="480"/>
        <w:rPr>
          <w:color w:val="000000" w:themeColor="text1"/>
        </w:rPr>
      </w:pPr>
      <w:r>
        <w:rPr>
          <w:rFonts w:hint="eastAsia"/>
          <w:color w:val="000000" w:themeColor="text1"/>
        </w:rPr>
        <w:t>（</w:t>
      </w:r>
      <w:r>
        <w:rPr>
          <w:color w:val="000000" w:themeColor="text1"/>
        </w:rPr>
        <w:t>2</w:t>
      </w:r>
      <w:r>
        <w:rPr>
          <w:rFonts w:hint="eastAsia"/>
          <w:color w:val="000000" w:themeColor="text1"/>
        </w:rPr>
        <w:t>）猪粪</w:t>
      </w:r>
    </w:p>
    <w:p>
      <w:pPr>
        <w:widowControl/>
        <w:adjustRightInd w:val="0"/>
        <w:snapToGrid w:val="0"/>
        <w:ind w:firstLine="597" w:firstLineChars="249"/>
        <w:rPr>
          <w:bCs/>
          <w:iCs/>
          <w:color w:val="000000" w:themeColor="text1"/>
          <w:szCs w:val="24"/>
        </w:rPr>
      </w:pPr>
      <w:r>
        <w:rPr>
          <w:rFonts w:hint="eastAsia"/>
          <w:bCs/>
          <w:iCs/>
          <w:color w:val="000000" w:themeColor="text1"/>
          <w:szCs w:val="24"/>
        </w:rPr>
        <w:t>项目生猪待宰猪圈内静养过程中会产生少量的猪粪，按每头产生</w:t>
      </w:r>
      <w:r>
        <w:rPr>
          <w:bCs/>
          <w:iCs/>
          <w:color w:val="000000" w:themeColor="text1"/>
          <w:szCs w:val="24"/>
        </w:rPr>
        <w:t>0.</w:t>
      </w:r>
      <w:r>
        <w:rPr>
          <w:rFonts w:hint="eastAsia"/>
          <w:bCs/>
          <w:iCs/>
          <w:color w:val="000000" w:themeColor="text1"/>
          <w:szCs w:val="24"/>
        </w:rPr>
        <w:t>5</w:t>
      </w:r>
      <w:r>
        <w:rPr>
          <w:bCs/>
          <w:iCs/>
          <w:color w:val="000000" w:themeColor="text1"/>
          <w:szCs w:val="24"/>
        </w:rPr>
        <w:t>kg</w:t>
      </w:r>
      <w:r>
        <w:rPr>
          <w:rFonts w:hint="eastAsia"/>
          <w:bCs/>
          <w:iCs/>
          <w:color w:val="000000" w:themeColor="text1"/>
          <w:szCs w:val="24"/>
        </w:rPr>
        <w:t>计，猪粪产生量约为75</w:t>
      </w:r>
      <w:r>
        <w:rPr>
          <w:bCs/>
          <w:iCs/>
          <w:color w:val="000000" w:themeColor="text1"/>
          <w:szCs w:val="24"/>
        </w:rPr>
        <w:t>t/a</w:t>
      </w:r>
      <w:r>
        <w:rPr>
          <w:rFonts w:hint="eastAsia"/>
          <w:bCs/>
          <w:iCs/>
          <w:color w:val="000000" w:themeColor="text1"/>
          <w:szCs w:val="24"/>
        </w:rPr>
        <w:t>。项目拟在生猪待宰间内设置粪便暂存间，建设单位拟将猪粪及时清理后</w:t>
      </w:r>
      <w:r>
        <w:rPr>
          <w:rFonts w:hint="eastAsia"/>
          <w:color w:val="000000" w:themeColor="text1"/>
        </w:rPr>
        <w:t>暂存于粪便暂存间，再</w:t>
      </w:r>
      <w:r>
        <w:rPr>
          <w:rFonts w:hint="eastAsia"/>
          <w:bCs/>
          <w:iCs/>
          <w:color w:val="000000" w:themeColor="text1"/>
          <w:szCs w:val="24"/>
        </w:rPr>
        <w:t>由当地农户运走堆肥腐熟后作为农用肥料使用。粪便暂存间</w:t>
      </w:r>
      <w:r>
        <w:rPr>
          <w:rFonts w:hint="eastAsia"/>
          <w:color w:val="000000" w:themeColor="text1"/>
        </w:rPr>
        <w:t>参照《畜禽养殖业污染防治技术规范》（</w:t>
      </w:r>
      <w:r>
        <w:rPr>
          <w:color w:val="000000" w:themeColor="text1"/>
        </w:rPr>
        <w:t>HJ/T81-2001</w:t>
      </w:r>
      <w:r>
        <w:rPr>
          <w:rFonts w:hint="eastAsia"/>
          <w:color w:val="000000" w:themeColor="text1"/>
        </w:rPr>
        <w:t>）畜禽粪便的贮存要求进行设置，做到防雨、防泄漏、防渗、防溢流、防晒等措施。环评要求粪便日产日清，禁止在厂区内长时间暂存。</w:t>
      </w:r>
    </w:p>
    <w:p>
      <w:pPr>
        <w:ind w:firstLine="480"/>
        <w:rPr>
          <w:color w:val="000000" w:themeColor="text1"/>
        </w:rPr>
      </w:pPr>
      <w:r>
        <w:rPr>
          <w:rFonts w:hint="eastAsia"/>
          <w:color w:val="000000" w:themeColor="text1"/>
        </w:rPr>
        <w:t>（</w:t>
      </w:r>
      <w:r>
        <w:rPr>
          <w:color w:val="000000" w:themeColor="text1"/>
        </w:rPr>
        <w:t>3</w:t>
      </w:r>
      <w:r>
        <w:rPr>
          <w:rFonts w:hint="eastAsia"/>
          <w:color w:val="000000" w:themeColor="text1"/>
        </w:rPr>
        <w:t>）其他生产固废</w:t>
      </w:r>
    </w:p>
    <w:p>
      <w:pPr>
        <w:widowControl/>
        <w:adjustRightInd w:val="0"/>
        <w:snapToGrid w:val="0"/>
        <w:ind w:firstLine="597" w:firstLineChars="249"/>
        <w:rPr>
          <w:bCs/>
          <w:iCs/>
          <w:color w:val="000000" w:themeColor="text1"/>
          <w:szCs w:val="24"/>
        </w:rPr>
      </w:pPr>
      <w:r>
        <w:rPr>
          <w:rFonts w:hint="eastAsia"/>
          <w:bCs/>
          <w:iCs/>
          <w:color w:val="000000" w:themeColor="text1"/>
          <w:szCs w:val="24"/>
        </w:rPr>
        <w:t>生产过程中产生的固体废物主要来源于烫毛、刮黑冲洗、内脏清理等工序，其中猪血回收出售，猪毛经收集晾干后出售。其余主要是屠宰车间内脏处理工序产生的胃肠内容物等，总产生量约为18.2</w:t>
      </w:r>
      <w:r>
        <w:rPr>
          <w:bCs/>
          <w:iCs/>
          <w:color w:val="000000" w:themeColor="text1"/>
          <w:szCs w:val="24"/>
        </w:rPr>
        <w:t>t</w:t>
      </w:r>
      <w:r>
        <w:rPr>
          <w:rFonts w:hint="eastAsia"/>
          <w:bCs/>
          <w:iCs/>
          <w:color w:val="000000" w:themeColor="text1"/>
          <w:szCs w:val="24"/>
        </w:rPr>
        <w:t>/a。胃肠内容物主要成份为未排出体外的粪便，同猪粪一起由当地农户自行运走堆肥腐熟后作为农用肥料使用。</w:t>
      </w:r>
    </w:p>
    <w:p>
      <w:pPr>
        <w:widowControl/>
        <w:adjustRightInd w:val="0"/>
        <w:snapToGrid w:val="0"/>
        <w:ind w:firstLine="597" w:firstLineChars="249"/>
        <w:rPr>
          <w:bCs/>
          <w:iCs/>
          <w:color w:val="000000" w:themeColor="text1"/>
          <w:szCs w:val="24"/>
        </w:rPr>
      </w:pPr>
      <w:r>
        <w:rPr>
          <w:rFonts w:hint="eastAsia"/>
          <w:bCs/>
          <w:iCs/>
          <w:color w:val="000000" w:themeColor="text1"/>
          <w:szCs w:val="24"/>
        </w:rPr>
        <w:t>2、生鸡屠宰</w:t>
      </w:r>
    </w:p>
    <w:p>
      <w:pPr>
        <w:widowControl/>
        <w:adjustRightInd w:val="0"/>
        <w:snapToGrid w:val="0"/>
        <w:ind w:firstLine="597" w:firstLineChars="249"/>
        <w:rPr>
          <w:bCs/>
          <w:iCs/>
          <w:color w:val="000000" w:themeColor="text1"/>
          <w:szCs w:val="24"/>
        </w:rPr>
      </w:pPr>
      <w:r>
        <w:rPr>
          <w:rFonts w:hint="eastAsia"/>
          <w:bCs/>
          <w:iCs/>
          <w:color w:val="000000" w:themeColor="text1"/>
          <w:szCs w:val="24"/>
        </w:rPr>
        <w:t>（1）病死鸡、不合格产品（内脏、胴体）</w:t>
      </w:r>
    </w:p>
    <w:p>
      <w:pPr>
        <w:widowControl/>
        <w:adjustRightInd w:val="0"/>
        <w:snapToGrid w:val="0"/>
        <w:ind w:firstLine="597" w:firstLineChars="249"/>
        <w:rPr>
          <w:bCs/>
          <w:iCs/>
          <w:color w:val="000000" w:themeColor="text1"/>
          <w:szCs w:val="24"/>
        </w:rPr>
      </w:pPr>
      <w:r>
        <w:rPr>
          <w:rFonts w:hint="eastAsia"/>
          <w:bCs/>
          <w:iCs/>
          <w:color w:val="000000" w:themeColor="text1"/>
          <w:szCs w:val="24"/>
        </w:rPr>
        <w:t>项目生产期间，活鸡进厂前先进行检疫工作，若检疫不合格的活鸡直接不能入厂，</w:t>
      </w:r>
      <w:r>
        <w:rPr>
          <w:rFonts w:hint="eastAsia"/>
          <w:color w:val="000000" w:themeColor="text1"/>
          <w:kern w:val="0"/>
          <w:szCs w:val="24"/>
        </w:rPr>
        <w:t>在生鸡暂养过程中可能会出现病死鸡，根据业主经验，在待宰期间产生的病死鸡量较小，一年约为60只左右，每只按3</w:t>
      </w:r>
      <w:r>
        <w:rPr>
          <w:color w:val="000000" w:themeColor="text1"/>
          <w:kern w:val="0"/>
          <w:szCs w:val="24"/>
        </w:rPr>
        <w:t>kg</w:t>
      </w:r>
      <w:r>
        <w:rPr>
          <w:rFonts w:hint="eastAsia"/>
          <w:color w:val="000000" w:themeColor="text1"/>
          <w:kern w:val="0"/>
          <w:szCs w:val="24"/>
        </w:rPr>
        <w:t>计，病死鸡产生量约为0.15t</w:t>
      </w:r>
      <w:r>
        <w:rPr>
          <w:color w:val="000000" w:themeColor="text1"/>
          <w:kern w:val="0"/>
          <w:szCs w:val="24"/>
        </w:rPr>
        <w:t>/a</w:t>
      </w:r>
      <w:r>
        <w:rPr>
          <w:rFonts w:hint="eastAsia"/>
          <w:color w:val="000000" w:themeColor="text1"/>
          <w:kern w:val="0"/>
          <w:szCs w:val="24"/>
        </w:rPr>
        <w:t>；经检验不合格的内脏、胴体产生量约占生鸡量的2%，计算得48t</w:t>
      </w:r>
      <w:r>
        <w:rPr>
          <w:color w:val="000000" w:themeColor="text1"/>
          <w:kern w:val="0"/>
          <w:szCs w:val="24"/>
        </w:rPr>
        <w:t>/a</w:t>
      </w:r>
      <w:r>
        <w:rPr>
          <w:rFonts w:hint="eastAsia"/>
          <w:color w:val="000000" w:themeColor="text1"/>
          <w:kern w:val="0"/>
          <w:szCs w:val="24"/>
        </w:rPr>
        <w:t>；共计48.15t</w:t>
      </w:r>
      <w:r>
        <w:rPr>
          <w:color w:val="000000" w:themeColor="text1"/>
          <w:kern w:val="0"/>
          <w:szCs w:val="24"/>
        </w:rPr>
        <w:t>/a</w:t>
      </w:r>
      <w:r>
        <w:rPr>
          <w:rFonts w:hint="eastAsia"/>
          <w:color w:val="000000" w:themeColor="text1"/>
          <w:kern w:val="0"/>
          <w:szCs w:val="24"/>
        </w:rPr>
        <w:t>。</w:t>
      </w:r>
      <w:r>
        <w:rPr>
          <w:rFonts w:hint="eastAsia"/>
          <w:bCs/>
          <w:iCs/>
          <w:color w:val="000000" w:themeColor="text1"/>
          <w:szCs w:val="24"/>
        </w:rPr>
        <w:t>病死鸡、不合格产品属于《危险废物名录》（</w:t>
      </w:r>
      <w:r>
        <w:rPr>
          <w:bCs/>
          <w:iCs/>
          <w:color w:val="000000" w:themeColor="text1"/>
          <w:szCs w:val="24"/>
        </w:rPr>
        <w:t>2016</w:t>
      </w:r>
      <w:r>
        <w:rPr>
          <w:rFonts w:hint="eastAsia"/>
          <w:bCs/>
          <w:iCs/>
          <w:color w:val="000000" w:themeColor="text1"/>
          <w:szCs w:val="24"/>
        </w:rPr>
        <w:t>）中规定的“为防治动物传染病而需要收集和处置的废物”，危废类别为</w:t>
      </w:r>
      <w:r>
        <w:rPr>
          <w:bCs/>
          <w:iCs/>
          <w:color w:val="000000" w:themeColor="text1"/>
          <w:szCs w:val="24"/>
        </w:rPr>
        <w:t>HW</w:t>
      </w:r>
      <w:r>
        <w:rPr>
          <w:rFonts w:hint="eastAsia"/>
          <w:bCs/>
          <w:iCs/>
          <w:color w:val="000000" w:themeColor="text1"/>
          <w:szCs w:val="24"/>
        </w:rPr>
        <w:t>01医疗废物，代码为</w:t>
      </w:r>
      <w:r>
        <w:rPr>
          <w:bCs/>
          <w:iCs/>
          <w:color w:val="000000" w:themeColor="text1"/>
          <w:szCs w:val="24"/>
        </w:rPr>
        <w:t>900-0</w:t>
      </w:r>
      <w:r>
        <w:rPr>
          <w:rFonts w:hint="eastAsia"/>
          <w:bCs/>
          <w:iCs/>
          <w:color w:val="000000" w:themeColor="text1"/>
          <w:szCs w:val="24"/>
        </w:rPr>
        <w:t>01</w:t>
      </w:r>
      <w:r>
        <w:rPr>
          <w:bCs/>
          <w:iCs/>
          <w:color w:val="000000" w:themeColor="text1"/>
          <w:szCs w:val="24"/>
        </w:rPr>
        <w:t>-</w:t>
      </w:r>
      <w:r>
        <w:rPr>
          <w:rFonts w:hint="eastAsia"/>
          <w:bCs/>
          <w:iCs/>
          <w:color w:val="000000" w:themeColor="text1"/>
          <w:szCs w:val="24"/>
        </w:rPr>
        <w:t>01，</w:t>
      </w:r>
      <w:r>
        <w:rPr>
          <w:rFonts w:hint="eastAsia"/>
          <w:color w:val="000000" w:themeColor="text1"/>
          <w:kern w:val="0"/>
          <w:szCs w:val="24"/>
        </w:rPr>
        <w:t>本项目经检验不合格的产品、病死鸡等</w:t>
      </w:r>
      <w:r>
        <w:rPr>
          <w:rFonts w:hint="eastAsia"/>
          <w:bCs/>
          <w:iCs/>
          <w:color w:val="000000" w:themeColor="text1"/>
          <w:szCs w:val="24"/>
        </w:rPr>
        <w:t>及时送往本项目设置的焚烧炉进行无害化处置。</w:t>
      </w:r>
    </w:p>
    <w:p>
      <w:pPr>
        <w:ind w:firstLine="480"/>
        <w:rPr>
          <w:color w:val="000000" w:themeColor="text1"/>
        </w:rPr>
      </w:pPr>
      <w:r>
        <w:rPr>
          <w:rFonts w:hint="eastAsia"/>
          <w:color w:val="000000" w:themeColor="text1"/>
        </w:rPr>
        <w:t>（</w:t>
      </w:r>
      <w:r>
        <w:rPr>
          <w:color w:val="000000" w:themeColor="text1"/>
        </w:rPr>
        <w:t>2</w:t>
      </w:r>
      <w:r>
        <w:rPr>
          <w:rFonts w:hint="eastAsia"/>
          <w:color w:val="000000" w:themeColor="text1"/>
        </w:rPr>
        <w:t>）鸡粪</w:t>
      </w:r>
    </w:p>
    <w:p>
      <w:pPr>
        <w:widowControl/>
        <w:adjustRightInd w:val="0"/>
        <w:snapToGrid w:val="0"/>
        <w:ind w:firstLine="597" w:firstLineChars="249"/>
        <w:rPr>
          <w:bCs/>
          <w:iCs/>
          <w:color w:val="000000" w:themeColor="text1"/>
          <w:szCs w:val="24"/>
        </w:rPr>
      </w:pPr>
      <w:r>
        <w:rPr>
          <w:rFonts w:hint="eastAsia"/>
          <w:bCs/>
          <w:iCs/>
          <w:color w:val="000000" w:themeColor="text1"/>
          <w:szCs w:val="24"/>
        </w:rPr>
        <w:t>项目待宰鸡圈内静养过程中会产生少量的鸡粪，按每只产生</w:t>
      </w:r>
      <w:r>
        <w:rPr>
          <w:bCs/>
          <w:iCs/>
          <w:color w:val="000000" w:themeColor="text1"/>
          <w:szCs w:val="24"/>
        </w:rPr>
        <w:t>0.</w:t>
      </w:r>
      <w:r>
        <w:rPr>
          <w:rFonts w:hint="eastAsia"/>
          <w:bCs/>
          <w:iCs/>
          <w:color w:val="000000" w:themeColor="text1"/>
          <w:szCs w:val="24"/>
        </w:rPr>
        <w:t>08</w:t>
      </w:r>
      <w:r>
        <w:rPr>
          <w:bCs/>
          <w:iCs/>
          <w:color w:val="000000" w:themeColor="text1"/>
          <w:szCs w:val="24"/>
        </w:rPr>
        <w:t>kg</w:t>
      </w:r>
      <w:r>
        <w:rPr>
          <w:rFonts w:hint="eastAsia"/>
          <w:bCs/>
          <w:iCs/>
          <w:color w:val="000000" w:themeColor="text1"/>
          <w:szCs w:val="24"/>
        </w:rPr>
        <w:t>计，鸡粪产生量约为64</w:t>
      </w:r>
      <w:r>
        <w:rPr>
          <w:bCs/>
          <w:iCs/>
          <w:color w:val="000000" w:themeColor="text1"/>
          <w:szCs w:val="24"/>
        </w:rPr>
        <w:t>t/a</w:t>
      </w:r>
      <w:r>
        <w:rPr>
          <w:rFonts w:hint="eastAsia"/>
          <w:bCs/>
          <w:iCs/>
          <w:color w:val="000000" w:themeColor="text1"/>
          <w:szCs w:val="24"/>
        </w:rPr>
        <w:t>，项目拟在待宰鸡圈内设置粪便暂存间，建设单位每天将鸡粪及时清理，</w:t>
      </w:r>
      <w:r>
        <w:rPr>
          <w:rFonts w:hint="eastAsia"/>
          <w:color w:val="000000" w:themeColor="text1"/>
        </w:rPr>
        <w:t>并暂存于粪便暂存间，再</w:t>
      </w:r>
      <w:r>
        <w:rPr>
          <w:rFonts w:hint="eastAsia"/>
          <w:bCs/>
          <w:iCs/>
          <w:color w:val="000000" w:themeColor="text1"/>
          <w:szCs w:val="24"/>
        </w:rPr>
        <w:t>由当地农户运走堆肥腐熟后作为农用肥料使用。粪便暂存间</w:t>
      </w:r>
      <w:r>
        <w:rPr>
          <w:rFonts w:hint="eastAsia"/>
          <w:color w:val="000000" w:themeColor="text1"/>
        </w:rPr>
        <w:t>参照《畜禽养殖业污染防治技术规范》（</w:t>
      </w:r>
      <w:r>
        <w:rPr>
          <w:color w:val="000000" w:themeColor="text1"/>
        </w:rPr>
        <w:t>HJ/T81-2001</w:t>
      </w:r>
      <w:r>
        <w:rPr>
          <w:rFonts w:hint="eastAsia"/>
          <w:color w:val="000000" w:themeColor="text1"/>
        </w:rPr>
        <w:t>）畜禽粪便的贮存要求进行设置，做到防雨、防泄漏、防渗、防溢流、防晒等措施。环评要求粪便日产日清，禁止在厂区内长时间暂存。</w:t>
      </w:r>
    </w:p>
    <w:p>
      <w:pPr>
        <w:ind w:firstLine="480"/>
        <w:rPr>
          <w:color w:val="000000" w:themeColor="text1"/>
        </w:rPr>
      </w:pPr>
      <w:r>
        <w:rPr>
          <w:rFonts w:hint="eastAsia"/>
          <w:color w:val="000000" w:themeColor="text1"/>
        </w:rPr>
        <w:t>（</w:t>
      </w:r>
      <w:r>
        <w:rPr>
          <w:color w:val="000000" w:themeColor="text1"/>
        </w:rPr>
        <w:t>3</w:t>
      </w:r>
      <w:r>
        <w:rPr>
          <w:rFonts w:hint="eastAsia"/>
          <w:color w:val="000000" w:themeColor="text1"/>
        </w:rPr>
        <w:t>）其他生产固废</w:t>
      </w:r>
    </w:p>
    <w:p>
      <w:pPr>
        <w:widowControl/>
        <w:adjustRightInd w:val="0"/>
        <w:snapToGrid w:val="0"/>
        <w:ind w:firstLine="597" w:firstLineChars="249"/>
        <w:rPr>
          <w:bCs/>
          <w:iCs/>
          <w:color w:val="000000" w:themeColor="text1"/>
          <w:szCs w:val="24"/>
        </w:rPr>
      </w:pPr>
      <w:r>
        <w:rPr>
          <w:rFonts w:hint="eastAsia"/>
          <w:bCs/>
          <w:iCs/>
          <w:color w:val="000000" w:themeColor="text1"/>
          <w:szCs w:val="24"/>
        </w:rPr>
        <w:t>生产过程中产生的固体废物主要来源于浸烫脱毛、内脏清理等工序，其中鸡血回收出售，鸡毛经收集晾干后出售，其余主要是内脏处理工序产生的胃肠内容物等，总产生量约为6</w:t>
      </w:r>
      <w:r>
        <w:rPr>
          <w:bCs/>
          <w:iCs/>
          <w:color w:val="000000" w:themeColor="text1"/>
          <w:szCs w:val="24"/>
        </w:rPr>
        <w:t>t</w:t>
      </w:r>
      <w:r>
        <w:rPr>
          <w:rFonts w:hint="eastAsia"/>
          <w:bCs/>
          <w:iCs/>
          <w:color w:val="000000" w:themeColor="text1"/>
          <w:szCs w:val="24"/>
        </w:rPr>
        <w:t>/a。胃肠内容物主要成份为未排出体外的粪便，同鸡粪一起由当地农户自行运走堆肥腐熟后作为农用肥料使用。</w:t>
      </w:r>
    </w:p>
    <w:p>
      <w:pPr>
        <w:widowControl/>
        <w:adjustRightInd w:val="0"/>
        <w:snapToGrid w:val="0"/>
        <w:ind w:firstLine="597" w:firstLineChars="249"/>
        <w:rPr>
          <w:bCs/>
          <w:iCs/>
          <w:color w:val="000000" w:themeColor="text1"/>
          <w:szCs w:val="24"/>
        </w:rPr>
      </w:pPr>
      <w:r>
        <w:rPr>
          <w:rFonts w:hint="eastAsia"/>
          <w:bCs/>
          <w:iCs/>
          <w:color w:val="000000" w:themeColor="text1"/>
          <w:szCs w:val="24"/>
        </w:rPr>
        <w:t>4、栅渣</w:t>
      </w:r>
    </w:p>
    <w:p>
      <w:pPr>
        <w:widowControl/>
        <w:adjustRightInd w:val="0"/>
        <w:snapToGrid w:val="0"/>
        <w:ind w:firstLine="597" w:firstLineChars="249"/>
        <w:rPr>
          <w:bCs/>
          <w:iCs/>
          <w:color w:val="000000" w:themeColor="text1"/>
          <w:szCs w:val="24"/>
        </w:rPr>
      </w:pPr>
      <w:r>
        <w:rPr>
          <w:rFonts w:hint="eastAsia"/>
          <w:bCs/>
          <w:iCs/>
          <w:color w:val="000000" w:themeColor="text1"/>
          <w:szCs w:val="24"/>
        </w:rPr>
        <w:t>屠宰废水需经格栅处理后才能进入隔油池进入污水处理系统，格栅过程中会产生生猪毛、鸡毛等杂物，类比同类项目，产生量约</w:t>
      </w:r>
      <w:r>
        <w:rPr>
          <w:bCs/>
          <w:iCs/>
          <w:color w:val="000000" w:themeColor="text1"/>
          <w:szCs w:val="24"/>
        </w:rPr>
        <w:t>0.2t/a</w:t>
      </w:r>
      <w:r>
        <w:rPr>
          <w:rFonts w:hint="eastAsia"/>
          <w:bCs/>
          <w:iCs/>
          <w:color w:val="000000" w:themeColor="text1"/>
          <w:szCs w:val="24"/>
        </w:rPr>
        <w:t>。</w:t>
      </w:r>
    </w:p>
    <w:p>
      <w:pPr>
        <w:widowControl/>
        <w:adjustRightInd w:val="0"/>
        <w:snapToGrid w:val="0"/>
        <w:ind w:firstLine="597" w:firstLineChars="249"/>
        <w:rPr>
          <w:bCs/>
          <w:iCs/>
          <w:color w:val="000000" w:themeColor="text1"/>
          <w:szCs w:val="24"/>
        </w:rPr>
      </w:pPr>
      <w:r>
        <w:rPr>
          <w:rFonts w:hint="eastAsia"/>
          <w:bCs/>
          <w:iCs/>
          <w:color w:val="000000" w:themeColor="text1"/>
          <w:szCs w:val="24"/>
        </w:rPr>
        <w:t>5、污泥</w:t>
      </w:r>
    </w:p>
    <w:p>
      <w:pPr>
        <w:widowControl/>
        <w:adjustRightInd w:val="0"/>
        <w:snapToGrid w:val="0"/>
        <w:ind w:firstLine="597" w:firstLineChars="249"/>
        <w:rPr>
          <w:bCs/>
          <w:iCs/>
          <w:color w:val="000000" w:themeColor="text1"/>
          <w:szCs w:val="24"/>
        </w:rPr>
      </w:pPr>
      <w:r>
        <w:rPr>
          <w:rFonts w:hint="eastAsia"/>
          <w:bCs/>
          <w:iCs/>
          <w:color w:val="000000" w:themeColor="text1"/>
          <w:szCs w:val="24"/>
        </w:rPr>
        <w:t>污水处理站会产生污泥，根据《屠宰与肉类加工废水治理工程技术规范》</w:t>
      </w:r>
      <w:r>
        <w:rPr>
          <w:bCs/>
          <w:iCs/>
          <w:color w:val="000000" w:themeColor="text1"/>
          <w:szCs w:val="24"/>
        </w:rPr>
        <w:t>“6.6</w:t>
      </w:r>
      <w:r>
        <w:rPr>
          <w:rFonts w:hint="eastAsia"/>
          <w:bCs/>
          <w:iCs/>
          <w:color w:val="000000" w:themeColor="text1"/>
          <w:szCs w:val="24"/>
        </w:rPr>
        <w:t>污泥处理单元</w:t>
      </w:r>
      <w:r>
        <w:rPr>
          <w:bCs/>
          <w:iCs/>
          <w:color w:val="000000" w:themeColor="text1"/>
          <w:szCs w:val="24"/>
        </w:rPr>
        <w:t>”</w:t>
      </w:r>
      <w:r>
        <w:rPr>
          <w:rFonts w:hint="eastAsia"/>
          <w:bCs/>
          <w:iCs/>
          <w:color w:val="000000" w:themeColor="text1"/>
          <w:szCs w:val="24"/>
        </w:rPr>
        <w:t>中，不同处理工艺产生的剩余污泥量（</w:t>
      </w:r>
      <w:r>
        <w:rPr>
          <w:bCs/>
          <w:iCs/>
          <w:color w:val="000000" w:themeColor="text1"/>
          <w:szCs w:val="24"/>
        </w:rPr>
        <w:t>DS/BOD</w:t>
      </w:r>
      <w:r>
        <w:rPr>
          <w:bCs/>
          <w:iCs/>
          <w:color w:val="000000" w:themeColor="text1"/>
          <w:szCs w:val="24"/>
          <w:vertAlign w:val="subscript"/>
        </w:rPr>
        <w:t>5</w:t>
      </w:r>
      <w:r>
        <w:rPr>
          <w:rFonts w:hint="eastAsia"/>
          <w:bCs/>
          <w:iCs/>
          <w:color w:val="000000" w:themeColor="text1"/>
          <w:szCs w:val="24"/>
        </w:rPr>
        <w:t>）不同，一般可按</w:t>
      </w:r>
      <w:r>
        <w:rPr>
          <w:bCs/>
          <w:iCs/>
          <w:color w:val="000000" w:themeColor="text1"/>
          <w:szCs w:val="24"/>
        </w:rPr>
        <w:t>0.3~0.5kgDS/kgBOD</w:t>
      </w:r>
      <w:r>
        <w:rPr>
          <w:bCs/>
          <w:iCs/>
          <w:color w:val="000000" w:themeColor="text1"/>
          <w:szCs w:val="24"/>
          <w:vertAlign w:val="subscript"/>
        </w:rPr>
        <w:t>5</w:t>
      </w:r>
      <w:r>
        <w:rPr>
          <w:rFonts w:hint="eastAsia"/>
          <w:bCs/>
          <w:iCs/>
          <w:color w:val="000000" w:themeColor="text1"/>
          <w:szCs w:val="24"/>
        </w:rPr>
        <w:t>设计，本环评污泥产泥系数取</w:t>
      </w:r>
      <w:r>
        <w:rPr>
          <w:bCs/>
          <w:iCs/>
          <w:color w:val="000000" w:themeColor="text1"/>
          <w:szCs w:val="24"/>
        </w:rPr>
        <w:t>0.4kgDS/kgBOD</w:t>
      </w:r>
      <w:r>
        <w:rPr>
          <w:bCs/>
          <w:iCs/>
          <w:color w:val="000000" w:themeColor="text1"/>
          <w:szCs w:val="24"/>
          <w:vertAlign w:val="subscript"/>
        </w:rPr>
        <w:t>5</w:t>
      </w:r>
      <w:r>
        <w:rPr>
          <w:rFonts w:hint="eastAsia"/>
          <w:bCs/>
          <w:iCs/>
          <w:color w:val="000000" w:themeColor="text1"/>
          <w:szCs w:val="24"/>
        </w:rPr>
        <w:t>，本项目</w:t>
      </w:r>
      <w:r>
        <w:rPr>
          <w:bCs/>
          <w:iCs/>
          <w:color w:val="000000" w:themeColor="text1"/>
          <w:szCs w:val="24"/>
        </w:rPr>
        <w:t>BOD</w:t>
      </w:r>
      <w:r>
        <w:rPr>
          <w:bCs/>
          <w:iCs/>
          <w:color w:val="000000" w:themeColor="text1"/>
          <w:szCs w:val="24"/>
          <w:vertAlign w:val="subscript"/>
        </w:rPr>
        <w:t>5</w:t>
      </w:r>
      <w:r>
        <w:rPr>
          <w:rFonts w:hint="eastAsia"/>
          <w:bCs/>
          <w:iCs/>
          <w:color w:val="000000" w:themeColor="text1"/>
          <w:szCs w:val="24"/>
        </w:rPr>
        <w:t>处理量为61.471</w:t>
      </w:r>
      <w:r>
        <w:rPr>
          <w:bCs/>
          <w:iCs/>
          <w:color w:val="000000" w:themeColor="text1"/>
          <w:szCs w:val="24"/>
        </w:rPr>
        <w:t xml:space="preserve"> t/a</w:t>
      </w:r>
      <w:r>
        <w:rPr>
          <w:rFonts w:hint="eastAsia"/>
          <w:bCs/>
          <w:iCs/>
          <w:color w:val="000000" w:themeColor="text1"/>
          <w:szCs w:val="24"/>
        </w:rPr>
        <w:t>，则污水处理站污泥产生量约为24.59</w:t>
      </w:r>
      <w:r>
        <w:rPr>
          <w:bCs/>
          <w:iCs/>
          <w:color w:val="000000" w:themeColor="text1"/>
          <w:szCs w:val="24"/>
        </w:rPr>
        <w:t>t/a</w:t>
      </w:r>
      <w:r>
        <w:rPr>
          <w:rFonts w:hint="eastAsia"/>
          <w:bCs/>
          <w:iCs/>
          <w:color w:val="000000" w:themeColor="text1"/>
          <w:szCs w:val="24"/>
        </w:rPr>
        <w:t>。</w:t>
      </w:r>
      <w:r>
        <w:rPr>
          <w:bCs/>
          <w:iCs/>
          <w:color w:val="000000" w:themeColor="text1"/>
          <w:szCs w:val="24"/>
        </w:rPr>
        <w:t>此外</w:t>
      </w:r>
      <w:r>
        <w:rPr>
          <w:rFonts w:hint="eastAsia"/>
          <w:bCs/>
          <w:iCs/>
          <w:color w:val="000000" w:themeColor="text1"/>
          <w:szCs w:val="24"/>
        </w:rPr>
        <w:t>，</w:t>
      </w:r>
      <w:r>
        <w:rPr>
          <w:bCs/>
          <w:iCs/>
          <w:color w:val="000000" w:themeColor="text1"/>
          <w:szCs w:val="24"/>
        </w:rPr>
        <w:t>化粪池处理生活污水时也会产生少量的污泥</w:t>
      </w:r>
      <w:r>
        <w:rPr>
          <w:rFonts w:hint="eastAsia"/>
          <w:bCs/>
          <w:iCs/>
          <w:color w:val="000000" w:themeColor="text1"/>
          <w:szCs w:val="24"/>
        </w:rPr>
        <w:t>，</w:t>
      </w:r>
      <w:r>
        <w:rPr>
          <w:bCs/>
          <w:iCs/>
          <w:color w:val="000000" w:themeColor="text1"/>
          <w:szCs w:val="24"/>
        </w:rPr>
        <w:t>本项目化粪池只处理生活污水</w:t>
      </w:r>
      <w:r>
        <w:rPr>
          <w:rFonts w:hint="eastAsia"/>
          <w:bCs/>
          <w:iCs/>
          <w:color w:val="000000" w:themeColor="text1"/>
          <w:szCs w:val="24"/>
        </w:rPr>
        <w:t>，</w:t>
      </w:r>
      <w:r>
        <w:rPr>
          <w:bCs/>
          <w:iCs/>
          <w:color w:val="000000" w:themeColor="text1"/>
          <w:szCs w:val="24"/>
        </w:rPr>
        <w:t>生活污水量较小</w:t>
      </w:r>
      <w:r>
        <w:rPr>
          <w:rFonts w:hint="eastAsia"/>
          <w:bCs/>
          <w:iCs/>
          <w:color w:val="000000" w:themeColor="text1"/>
          <w:szCs w:val="24"/>
        </w:rPr>
        <w:t>，</w:t>
      </w:r>
      <w:r>
        <w:rPr>
          <w:bCs/>
          <w:iCs/>
          <w:color w:val="000000" w:themeColor="text1"/>
          <w:szCs w:val="24"/>
        </w:rPr>
        <w:t>化粪池污泥产量极小</w:t>
      </w:r>
      <w:r>
        <w:rPr>
          <w:rFonts w:hint="eastAsia"/>
          <w:bCs/>
          <w:iCs/>
          <w:color w:val="000000" w:themeColor="text1"/>
          <w:szCs w:val="24"/>
        </w:rPr>
        <w:t>，</w:t>
      </w:r>
      <w:r>
        <w:rPr>
          <w:bCs/>
          <w:iCs/>
          <w:color w:val="000000" w:themeColor="text1"/>
          <w:szCs w:val="24"/>
        </w:rPr>
        <w:t>定期进行清掏后与污水处理站污泥一起处置</w:t>
      </w:r>
      <w:r>
        <w:rPr>
          <w:rFonts w:hint="eastAsia"/>
          <w:bCs/>
          <w:iCs/>
          <w:color w:val="000000" w:themeColor="text1"/>
          <w:szCs w:val="24"/>
        </w:rPr>
        <w:t>。污泥经过消毒脱水以后定期由环卫部门清运处置。</w:t>
      </w:r>
    </w:p>
    <w:p>
      <w:pPr>
        <w:ind w:firstLine="480"/>
        <w:rPr>
          <w:color w:val="000000" w:themeColor="text1"/>
        </w:rPr>
      </w:pPr>
      <w:r>
        <w:rPr>
          <w:rFonts w:hint="eastAsia"/>
          <w:color w:val="000000" w:themeColor="text1"/>
        </w:rPr>
        <w:t>6、检疫试纸</w:t>
      </w:r>
    </w:p>
    <w:p>
      <w:pPr>
        <w:widowControl/>
        <w:adjustRightInd w:val="0"/>
        <w:snapToGrid w:val="0"/>
        <w:ind w:firstLine="597" w:firstLineChars="249"/>
        <w:rPr>
          <w:bCs/>
          <w:iCs/>
          <w:color w:val="000000" w:themeColor="text1"/>
          <w:szCs w:val="24"/>
        </w:rPr>
      </w:pPr>
      <w:r>
        <w:rPr>
          <w:rFonts w:hint="eastAsia"/>
          <w:bCs/>
          <w:iCs/>
          <w:color w:val="000000" w:themeColor="text1"/>
          <w:szCs w:val="24"/>
        </w:rPr>
        <w:t>本项目病毒检测过程中需要用到实验盒，实验盒由动物卫生监督所的检疫人员带来和使用，废实验盒产生量约为1</w:t>
      </w:r>
      <w:r>
        <w:rPr>
          <w:bCs/>
          <w:iCs/>
          <w:color w:val="000000" w:themeColor="text1"/>
          <w:szCs w:val="24"/>
        </w:rPr>
        <w:t>t/a</w:t>
      </w:r>
      <w:r>
        <w:rPr>
          <w:rFonts w:hint="eastAsia"/>
          <w:bCs/>
          <w:iCs/>
          <w:color w:val="000000" w:themeColor="text1"/>
          <w:szCs w:val="24"/>
        </w:rPr>
        <w:t>，属于《危险废物名录》（</w:t>
      </w:r>
      <w:r>
        <w:rPr>
          <w:bCs/>
          <w:iCs/>
          <w:color w:val="000000" w:themeColor="text1"/>
          <w:szCs w:val="24"/>
        </w:rPr>
        <w:t>2016</w:t>
      </w:r>
      <w:r>
        <w:rPr>
          <w:rFonts w:hint="eastAsia"/>
          <w:bCs/>
          <w:iCs/>
          <w:color w:val="000000" w:themeColor="text1"/>
          <w:szCs w:val="24"/>
        </w:rPr>
        <w:t>）中规定的危险废物，危废类别为</w:t>
      </w:r>
      <w:r>
        <w:rPr>
          <w:bCs/>
          <w:iCs/>
          <w:color w:val="000000" w:themeColor="text1"/>
          <w:szCs w:val="24"/>
        </w:rPr>
        <w:t>HW49</w:t>
      </w:r>
      <w:r>
        <w:rPr>
          <w:rFonts w:hint="eastAsia"/>
          <w:bCs/>
          <w:iCs/>
          <w:color w:val="000000" w:themeColor="text1"/>
          <w:szCs w:val="24"/>
        </w:rPr>
        <w:t>其他废物，代码为</w:t>
      </w:r>
      <w:r>
        <w:rPr>
          <w:bCs/>
          <w:iCs/>
          <w:color w:val="000000" w:themeColor="text1"/>
          <w:szCs w:val="24"/>
        </w:rPr>
        <w:t>900-047-49</w:t>
      </w:r>
      <w:r>
        <w:rPr>
          <w:rFonts w:hint="eastAsia"/>
          <w:bCs/>
          <w:iCs/>
          <w:color w:val="000000" w:themeColor="text1"/>
          <w:szCs w:val="24"/>
        </w:rPr>
        <w:t>，由动物卫生监督所的检疫人员带走进行处置。</w:t>
      </w:r>
    </w:p>
    <w:p>
      <w:pPr>
        <w:ind w:firstLine="480"/>
        <w:rPr>
          <w:color w:val="000000" w:themeColor="text1"/>
        </w:rPr>
      </w:pPr>
      <w:r>
        <w:rPr>
          <w:rFonts w:hint="eastAsia"/>
          <w:color w:val="000000" w:themeColor="text1"/>
        </w:rPr>
        <w:t>7、焚烧炉残渣</w:t>
      </w:r>
    </w:p>
    <w:p>
      <w:pPr>
        <w:widowControl/>
        <w:adjustRightInd w:val="0"/>
        <w:snapToGrid w:val="0"/>
        <w:ind w:firstLine="597" w:firstLineChars="249"/>
        <w:rPr>
          <w:bCs/>
          <w:iCs/>
          <w:color w:val="000000" w:themeColor="text1"/>
          <w:szCs w:val="24"/>
        </w:rPr>
      </w:pPr>
      <w:r>
        <w:rPr>
          <w:rFonts w:hint="eastAsia"/>
          <w:color w:val="000000" w:themeColor="text1"/>
        </w:rPr>
        <w:t>项目运输及待宰过程的死猪（鸡）、不合格产品、碎骨肉等经无害化焚烧炉处理后会产生残渣。根据类比同类环保型焚烧炉设备参数，无害化焚烧炉减容比大于</w:t>
      </w:r>
      <w:r>
        <w:rPr>
          <w:color w:val="000000" w:themeColor="text1"/>
        </w:rPr>
        <w:t>97%</w:t>
      </w:r>
      <w:r>
        <w:rPr>
          <w:rFonts w:hint="eastAsia"/>
          <w:color w:val="000000" w:themeColor="text1"/>
        </w:rPr>
        <w:t>，项目生产过程中生产废物产生量约为141.45</w:t>
      </w:r>
      <w:r>
        <w:rPr>
          <w:color w:val="000000" w:themeColor="text1"/>
        </w:rPr>
        <w:t>t/a</w:t>
      </w:r>
      <w:r>
        <w:rPr>
          <w:rFonts w:hint="eastAsia"/>
          <w:color w:val="000000" w:themeColor="text1"/>
        </w:rPr>
        <w:t>，则焚烧炉残渣产生量为4.24</w:t>
      </w:r>
      <w:r>
        <w:rPr>
          <w:color w:val="000000" w:themeColor="text1"/>
        </w:rPr>
        <w:t>t/a</w:t>
      </w:r>
      <w:r>
        <w:rPr>
          <w:rFonts w:hint="eastAsia"/>
          <w:color w:val="000000" w:themeColor="text1"/>
        </w:rPr>
        <w:t>。根据</w:t>
      </w:r>
      <w:r>
        <w:rPr>
          <w:rFonts w:hint="eastAsia"/>
          <w:bCs/>
          <w:iCs/>
          <w:color w:val="000000" w:themeColor="text1"/>
          <w:szCs w:val="24"/>
        </w:rPr>
        <w:t>《危险废物名录》（</w:t>
      </w:r>
      <w:r>
        <w:rPr>
          <w:bCs/>
          <w:iCs/>
          <w:color w:val="000000" w:themeColor="text1"/>
          <w:szCs w:val="24"/>
        </w:rPr>
        <w:t>2016</w:t>
      </w:r>
      <w:r>
        <w:rPr>
          <w:rFonts w:hint="eastAsia"/>
          <w:bCs/>
          <w:iCs/>
          <w:color w:val="000000" w:themeColor="text1"/>
          <w:szCs w:val="24"/>
        </w:rPr>
        <w:t>）中规定，</w:t>
      </w:r>
      <w:r>
        <w:rPr>
          <w:rFonts w:hint="eastAsia"/>
          <w:color w:val="000000" w:themeColor="text1"/>
        </w:rPr>
        <w:t>死猪（鸡）、不合格产品</w:t>
      </w:r>
      <w:r>
        <w:rPr>
          <w:rFonts w:hint="eastAsia"/>
          <w:bCs/>
          <w:iCs/>
          <w:color w:val="000000" w:themeColor="text1"/>
          <w:szCs w:val="24"/>
        </w:rPr>
        <w:t>等经过焚烧后的残渣</w:t>
      </w:r>
      <w:r>
        <w:rPr>
          <w:rFonts w:hint="eastAsia"/>
          <w:color w:val="000000" w:themeColor="text1"/>
        </w:rPr>
        <w:t>属于一般固体废物，</w:t>
      </w:r>
      <w:r>
        <w:rPr>
          <w:rFonts w:hint="eastAsia"/>
          <w:bCs/>
          <w:iCs/>
          <w:color w:val="000000" w:themeColor="text1"/>
          <w:szCs w:val="24"/>
        </w:rPr>
        <w:t>定期收集后送至砚山县垃圾填埋场填埋处置。</w:t>
      </w:r>
    </w:p>
    <w:p>
      <w:pPr>
        <w:ind w:firstLine="480"/>
        <w:rPr>
          <w:color w:val="000000" w:themeColor="text1"/>
        </w:rPr>
      </w:pPr>
      <w:r>
        <w:rPr>
          <w:rFonts w:hint="eastAsia"/>
          <w:color w:val="000000" w:themeColor="text1"/>
        </w:rPr>
        <w:t>8、生活垃圾</w:t>
      </w:r>
    </w:p>
    <w:p>
      <w:pPr>
        <w:widowControl/>
        <w:adjustRightInd w:val="0"/>
        <w:snapToGrid w:val="0"/>
        <w:ind w:firstLine="597" w:firstLineChars="249"/>
        <w:rPr>
          <w:bCs/>
          <w:iCs/>
          <w:color w:val="000000" w:themeColor="text1"/>
          <w:szCs w:val="24"/>
        </w:rPr>
      </w:pPr>
      <w:r>
        <w:rPr>
          <w:rFonts w:hint="eastAsia"/>
          <w:bCs/>
          <w:iCs/>
          <w:color w:val="000000" w:themeColor="text1"/>
          <w:szCs w:val="24"/>
        </w:rPr>
        <w:t>员工生活垃圾：本项目定员20人，生活垃圾产生量平均按</w:t>
      </w:r>
      <w:r>
        <w:rPr>
          <w:bCs/>
          <w:iCs/>
          <w:color w:val="000000" w:themeColor="text1"/>
          <w:szCs w:val="24"/>
        </w:rPr>
        <w:t>1.0kg/</w:t>
      </w:r>
      <w:r>
        <w:rPr>
          <w:rFonts w:hint="eastAsia"/>
          <w:bCs/>
          <w:iCs/>
          <w:color w:val="000000" w:themeColor="text1"/>
          <w:szCs w:val="24"/>
        </w:rPr>
        <w:t>人</w:t>
      </w:r>
      <w:r>
        <w:rPr>
          <w:bCs/>
          <w:iCs/>
          <w:color w:val="000000" w:themeColor="text1"/>
          <w:szCs w:val="24"/>
          <w:vertAlign w:val="superscript"/>
        </w:rPr>
        <w:t>.</w:t>
      </w:r>
      <w:r>
        <w:rPr>
          <w:bCs/>
          <w:iCs/>
          <w:color w:val="000000" w:themeColor="text1"/>
          <w:szCs w:val="24"/>
        </w:rPr>
        <w:t>d</w:t>
      </w:r>
      <w:r>
        <w:rPr>
          <w:rFonts w:hint="eastAsia"/>
          <w:bCs/>
          <w:iCs/>
          <w:color w:val="000000" w:themeColor="text1"/>
          <w:szCs w:val="24"/>
        </w:rPr>
        <w:t>计，则产生量为20</w:t>
      </w:r>
      <w:r>
        <w:rPr>
          <w:bCs/>
          <w:iCs/>
          <w:color w:val="000000" w:themeColor="text1"/>
          <w:szCs w:val="24"/>
        </w:rPr>
        <w:t>kg/d</w:t>
      </w:r>
      <w:r>
        <w:rPr>
          <w:rFonts w:hint="eastAsia"/>
          <w:bCs/>
          <w:iCs/>
          <w:color w:val="000000" w:themeColor="text1"/>
          <w:szCs w:val="24"/>
        </w:rPr>
        <w:t>（7.28</w:t>
      </w:r>
      <w:r>
        <w:rPr>
          <w:bCs/>
          <w:iCs/>
          <w:color w:val="000000" w:themeColor="text1"/>
          <w:szCs w:val="24"/>
        </w:rPr>
        <w:t>t/a</w:t>
      </w:r>
      <w:r>
        <w:rPr>
          <w:rFonts w:hint="eastAsia"/>
          <w:bCs/>
          <w:iCs/>
          <w:color w:val="000000" w:themeColor="text1"/>
          <w:szCs w:val="24"/>
        </w:rPr>
        <w:t>），生活垃圾统一收集后按照环卫部门要求统一清运处置。</w:t>
      </w:r>
    </w:p>
    <w:p>
      <w:pPr>
        <w:pStyle w:val="38"/>
        <w:ind w:firstLine="281"/>
        <w:rPr>
          <w:color w:val="000000" w:themeColor="text1"/>
        </w:rPr>
      </w:pPr>
      <w:bookmarkStart w:id="58" w:name="_Toc47375816"/>
      <w:r>
        <w:rPr>
          <w:rFonts w:hint="eastAsia"/>
          <w:color w:val="000000" w:themeColor="text1"/>
        </w:rPr>
        <w:t>2.7.5运营期污染物产排量汇总</w:t>
      </w:r>
      <w:bookmarkEnd w:id="58"/>
    </w:p>
    <w:p>
      <w:pPr>
        <w:ind w:firstLine="480"/>
        <w:rPr>
          <w:color w:val="000000" w:themeColor="text1"/>
        </w:rPr>
      </w:pPr>
      <w:r>
        <w:rPr>
          <w:rFonts w:hint="eastAsia"/>
          <w:color w:val="000000" w:themeColor="text1"/>
        </w:rPr>
        <w:t>项目运营期污染物产排量核算见表2.7.5-1。</w:t>
      </w:r>
    </w:p>
    <w:p>
      <w:pPr>
        <w:pStyle w:val="54"/>
        <w:rPr>
          <w:color w:val="000000" w:themeColor="text1"/>
        </w:rPr>
      </w:pPr>
      <w:r>
        <w:rPr>
          <w:rFonts w:hint="eastAsia"/>
          <w:color w:val="000000" w:themeColor="text1"/>
        </w:rPr>
        <w:t>表2.7.5-1</w:t>
      </w:r>
      <w:r>
        <w:rPr>
          <w:color w:val="000000" w:themeColor="text1"/>
        </w:rPr>
        <w:t xml:space="preserve">   </w:t>
      </w:r>
      <w:r>
        <w:rPr>
          <w:rFonts w:hint="eastAsia"/>
          <w:color w:val="000000" w:themeColor="text1"/>
        </w:rPr>
        <w:t>本项目运营期污染物核算一览表</w:t>
      </w:r>
    </w:p>
    <w:tbl>
      <w:tblPr>
        <w:tblStyle w:val="42"/>
        <w:tblW w:w="91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8"/>
        <w:gridCol w:w="1017"/>
        <w:gridCol w:w="675"/>
        <w:gridCol w:w="1210"/>
        <w:gridCol w:w="1493"/>
        <w:gridCol w:w="1203"/>
        <w:gridCol w:w="1404"/>
        <w:gridCol w:w="1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Merge w:val="restart"/>
            <w:tcBorders>
              <w:top w:val="single" w:color="auto" w:sz="4" w:space="0"/>
              <w:left w:val="single" w:color="auto" w:sz="4" w:space="0"/>
              <w:bottom w:val="single" w:color="auto" w:sz="4" w:space="0"/>
              <w:right w:val="single" w:color="auto" w:sz="4" w:space="0"/>
              <w:tl2br w:val="single" w:color="auto" w:sz="4" w:space="0"/>
            </w:tcBorders>
            <w:vAlign w:val="center"/>
          </w:tcPr>
          <w:p>
            <w:pPr>
              <w:pStyle w:val="55"/>
              <w:jc w:val="right"/>
              <w:rPr>
                <w:rFonts w:cs="Times New Roman"/>
                <w:color w:val="000000" w:themeColor="text1"/>
              </w:rPr>
            </w:pPr>
            <w:r>
              <w:rPr>
                <w:color w:val="000000" w:themeColor="text1"/>
              </w:rPr>
              <w:t xml:space="preserve">  </w:t>
            </w:r>
            <w:r>
              <w:rPr>
                <w:rFonts w:hint="eastAsia"/>
                <w:color w:val="000000" w:themeColor="text1"/>
              </w:rPr>
              <w:t>内容</w:t>
            </w:r>
          </w:p>
          <w:p>
            <w:pPr>
              <w:pStyle w:val="55"/>
              <w:jc w:val="left"/>
              <w:rPr>
                <w:color w:val="000000" w:themeColor="text1"/>
              </w:rPr>
            </w:pPr>
            <w:r>
              <w:rPr>
                <w:rFonts w:hint="eastAsia"/>
                <w:color w:val="000000" w:themeColor="text1"/>
              </w:rPr>
              <w:t>类型</w:t>
            </w:r>
          </w:p>
        </w:tc>
        <w:tc>
          <w:tcPr>
            <w:tcW w:w="1017"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排放源</w:t>
            </w:r>
          </w:p>
        </w:tc>
        <w:tc>
          <w:tcPr>
            <w:tcW w:w="1885" w:type="dxa"/>
            <w:gridSpan w:val="2"/>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污染物名称</w:t>
            </w:r>
          </w:p>
        </w:tc>
        <w:tc>
          <w:tcPr>
            <w:tcW w:w="2696"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产生浓度及产生量</w:t>
            </w:r>
          </w:p>
        </w:tc>
        <w:tc>
          <w:tcPr>
            <w:tcW w:w="262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排放浓度及排放量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938" w:type="dxa"/>
            <w:vMerge w:val="continue"/>
            <w:tcBorders>
              <w:top w:val="single" w:color="auto" w:sz="4" w:space="0"/>
              <w:left w:val="single" w:color="auto" w:sz="4" w:space="0"/>
              <w:bottom w:val="single" w:color="auto" w:sz="4" w:space="0"/>
              <w:right w:val="single" w:color="auto" w:sz="4" w:space="0"/>
              <w:tl2br w:val="single" w:color="auto" w:sz="4" w:space="0"/>
            </w:tcBorders>
            <w:vAlign w:val="center"/>
          </w:tcPr>
          <w:p>
            <w:pPr>
              <w:pStyle w:val="55"/>
              <w:rPr>
                <w:color w:val="000000" w:themeColor="text1"/>
              </w:rPr>
            </w:pPr>
          </w:p>
        </w:tc>
        <w:tc>
          <w:tcPr>
            <w:tcW w:w="101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885"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4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产生浓度</w:t>
            </w:r>
          </w:p>
        </w:tc>
        <w:tc>
          <w:tcPr>
            <w:tcW w:w="120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产生量</w:t>
            </w:r>
          </w:p>
        </w:tc>
        <w:tc>
          <w:tcPr>
            <w:tcW w:w="140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排放浓度</w:t>
            </w:r>
          </w:p>
        </w:tc>
        <w:tc>
          <w:tcPr>
            <w:tcW w:w="122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Merge w:val="restart"/>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hint="eastAsia"/>
                <w:color w:val="000000" w:themeColor="text1"/>
              </w:rPr>
              <w:t>大</w:t>
            </w:r>
          </w:p>
          <w:p>
            <w:pPr>
              <w:pStyle w:val="55"/>
              <w:rPr>
                <w:color w:val="000000" w:themeColor="text1"/>
              </w:rPr>
            </w:pPr>
            <w:r>
              <w:rPr>
                <w:rFonts w:hint="eastAsia"/>
                <w:color w:val="000000" w:themeColor="text1"/>
              </w:rPr>
              <w:t>气</w:t>
            </w:r>
          </w:p>
          <w:p>
            <w:pPr>
              <w:pStyle w:val="55"/>
              <w:rPr>
                <w:color w:val="000000" w:themeColor="text1"/>
              </w:rPr>
            </w:pPr>
            <w:r>
              <w:rPr>
                <w:rFonts w:hint="eastAsia"/>
                <w:color w:val="000000" w:themeColor="text1"/>
              </w:rPr>
              <w:t>污</w:t>
            </w:r>
          </w:p>
          <w:p>
            <w:pPr>
              <w:pStyle w:val="55"/>
              <w:rPr>
                <w:color w:val="000000" w:themeColor="text1"/>
              </w:rPr>
            </w:pPr>
            <w:r>
              <w:rPr>
                <w:rFonts w:hint="eastAsia"/>
                <w:color w:val="000000" w:themeColor="text1"/>
              </w:rPr>
              <w:t>染</w:t>
            </w:r>
          </w:p>
          <w:p>
            <w:pPr>
              <w:pStyle w:val="55"/>
              <w:rPr>
                <w:color w:val="000000" w:themeColor="text1"/>
              </w:rPr>
            </w:pPr>
            <w:r>
              <w:rPr>
                <w:rFonts w:hint="eastAsia"/>
                <w:color w:val="000000" w:themeColor="text1"/>
              </w:rPr>
              <w:t>物</w:t>
            </w:r>
          </w:p>
        </w:tc>
        <w:tc>
          <w:tcPr>
            <w:tcW w:w="1017"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生猪待宰间、屠宰间</w:t>
            </w:r>
          </w:p>
        </w:tc>
        <w:tc>
          <w:tcPr>
            <w:tcW w:w="675"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无组织</w:t>
            </w:r>
          </w:p>
        </w:tc>
        <w:tc>
          <w:tcPr>
            <w:tcW w:w="121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氨</w:t>
            </w:r>
          </w:p>
        </w:tc>
        <w:tc>
          <w:tcPr>
            <w:tcW w:w="14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w:t>
            </w:r>
          </w:p>
        </w:tc>
        <w:tc>
          <w:tcPr>
            <w:tcW w:w="120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0.0693</w:t>
            </w:r>
            <w:r>
              <w:rPr>
                <w:color w:val="000000" w:themeColor="text1"/>
              </w:rPr>
              <w:t>t/a</w:t>
            </w:r>
          </w:p>
        </w:tc>
        <w:tc>
          <w:tcPr>
            <w:tcW w:w="140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w:t>
            </w:r>
          </w:p>
        </w:tc>
        <w:tc>
          <w:tcPr>
            <w:tcW w:w="122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0.0693</w:t>
            </w:r>
            <w:r>
              <w:rPr>
                <w:color w:val="000000" w:themeColor="text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01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675"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21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硫化氢</w:t>
            </w:r>
          </w:p>
        </w:tc>
        <w:tc>
          <w:tcPr>
            <w:tcW w:w="14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w:t>
            </w:r>
          </w:p>
        </w:tc>
        <w:tc>
          <w:tcPr>
            <w:tcW w:w="120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0.00368</w:t>
            </w:r>
            <w:r>
              <w:rPr>
                <w:color w:val="000000" w:themeColor="text1"/>
              </w:rPr>
              <w:t>t/a</w:t>
            </w:r>
          </w:p>
        </w:tc>
        <w:tc>
          <w:tcPr>
            <w:tcW w:w="140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w:t>
            </w:r>
          </w:p>
        </w:tc>
        <w:tc>
          <w:tcPr>
            <w:tcW w:w="122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0.00368</w:t>
            </w:r>
            <w:r>
              <w:rPr>
                <w:color w:val="000000" w:themeColor="text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017"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生鸡待宰圈、屠宰间</w:t>
            </w:r>
          </w:p>
        </w:tc>
        <w:tc>
          <w:tcPr>
            <w:tcW w:w="675"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无组织</w:t>
            </w:r>
          </w:p>
        </w:tc>
        <w:tc>
          <w:tcPr>
            <w:tcW w:w="121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氨</w:t>
            </w:r>
          </w:p>
        </w:tc>
        <w:tc>
          <w:tcPr>
            <w:tcW w:w="14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w:t>
            </w:r>
          </w:p>
        </w:tc>
        <w:tc>
          <w:tcPr>
            <w:tcW w:w="120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0.08</w:t>
            </w:r>
            <w:r>
              <w:rPr>
                <w:color w:val="000000" w:themeColor="text1"/>
              </w:rPr>
              <w:t>t/a</w:t>
            </w:r>
          </w:p>
        </w:tc>
        <w:tc>
          <w:tcPr>
            <w:tcW w:w="140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w:t>
            </w:r>
          </w:p>
        </w:tc>
        <w:tc>
          <w:tcPr>
            <w:tcW w:w="122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0.08</w:t>
            </w:r>
            <w:r>
              <w:rPr>
                <w:color w:val="000000" w:themeColor="text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01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675"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21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硫化氢</w:t>
            </w:r>
          </w:p>
        </w:tc>
        <w:tc>
          <w:tcPr>
            <w:tcW w:w="14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w:t>
            </w:r>
          </w:p>
        </w:tc>
        <w:tc>
          <w:tcPr>
            <w:tcW w:w="120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0.00</w:t>
            </w:r>
            <w:r>
              <w:rPr>
                <w:rFonts w:hint="eastAsia"/>
                <w:color w:val="000000" w:themeColor="text1"/>
              </w:rPr>
              <w:t>214</w:t>
            </w:r>
            <w:r>
              <w:rPr>
                <w:color w:val="000000" w:themeColor="text1"/>
              </w:rPr>
              <w:t>t/a</w:t>
            </w:r>
          </w:p>
        </w:tc>
        <w:tc>
          <w:tcPr>
            <w:tcW w:w="140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w:t>
            </w:r>
          </w:p>
        </w:tc>
        <w:tc>
          <w:tcPr>
            <w:tcW w:w="122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0.00</w:t>
            </w:r>
            <w:r>
              <w:rPr>
                <w:rFonts w:hint="eastAsia"/>
                <w:color w:val="000000" w:themeColor="text1"/>
              </w:rPr>
              <w:t>214</w:t>
            </w:r>
            <w:r>
              <w:rPr>
                <w:color w:val="000000" w:themeColor="text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017"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污水处理系统</w:t>
            </w:r>
          </w:p>
        </w:tc>
        <w:tc>
          <w:tcPr>
            <w:tcW w:w="675"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无组织</w:t>
            </w:r>
          </w:p>
        </w:tc>
        <w:tc>
          <w:tcPr>
            <w:tcW w:w="121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氨</w:t>
            </w:r>
          </w:p>
        </w:tc>
        <w:tc>
          <w:tcPr>
            <w:tcW w:w="14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w:t>
            </w:r>
          </w:p>
        </w:tc>
        <w:tc>
          <w:tcPr>
            <w:tcW w:w="120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w:t>
            </w:r>
            <w:r>
              <w:rPr>
                <w:rFonts w:hint="eastAsia"/>
                <w:color w:val="000000" w:themeColor="text1"/>
              </w:rPr>
              <w:t>19</w:t>
            </w:r>
            <w:r>
              <w:rPr>
                <w:color w:val="000000" w:themeColor="text1"/>
              </w:rPr>
              <w:t>t/a</w:t>
            </w:r>
          </w:p>
        </w:tc>
        <w:tc>
          <w:tcPr>
            <w:tcW w:w="140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w:t>
            </w:r>
          </w:p>
        </w:tc>
        <w:tc>
          <w:tcPr>
            <w:tcW w:w="122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w:t>
            </w:r>
            <w:r>
              <w:rPr>
                <w:rFonts w:hint="eastAsia"/>
                <w:color w:val="000000" w:themeColor="text1"/>
              </w:rPr>
              <w:t>19</w:t>
            </w:r>
            <w:r>
              <w:rPr>
                <w:color w:val="000000" w:themeColor="text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01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675"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21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硫化氢</w:t>
            </w:r>
          </w:p>
        </w:tc>
        <w:tc>
          <w:tcPr>
            <w:tcW w:w="14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w:t>
            </w:r>
          </w:p>
        </w:tc>
        <w:tc>
          <w:tcPr>
            <w:tcW w:w="120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0.00</w:t>
            </w:r>
            <w:r>
              <w:rPr>
                <w:rFonts w:hint="eastAsia"/>
                <w:color w:val="000000" w:themeColor="text1"/>
              </w:rPr>
              <w:t>74</w:t>
            </w:r>
            <w:r>
              <w:rPr>
                <w:color w:val="000000" w:themeColor="text1"/>
              </w:rPr>
              <w:t>t/a</w:t>
            </w:r>
          </w:p>
        </w:tc>
        <w:tc>
          <w:tcPr>
            <w:tcW w:w="140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w:t>
            </w:r>
          </w:p>
        </w:tc>
        <w:tc>
          <w:tcPr>
            <w:tcW w:w="122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0.00</w:t>
            </w:r>
            <w:r>
              <w:rPr>
                <w:rFonts w:hint="eastAsia"/>
                <w:color w:val="000000" w:themeColor="text1"/>
              </w:rPr>
              <w:t>74</w:t>
            </w:r>
            <w:r>
              <w:rPr>
                <w:color w:val="000000" w:themeColor="text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017"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生物质锅炉</w:t>
            </w:r>
          </w:p>
        </w:tc>
        <w:tc>
          <w:tcPr>
            <w:tcW w:w="675"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有组织</w:t>
            </w:r>
          </w:p>
        </w:tc>
        <w:tc>
          <w:tcPr>
            <w:tcW w:w="121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烟气量</w:t>
            </w:r>
          </w:p>
        </w:tc>
        <w:tc>
          <w:tcPr>
            <w:tcW w:w="2696" w:type="dxa"/>
            <w:gridSpan w:val="2"/>
            <w:tcBorders>
              <w:top w:val="single" w:color="auto" w:sz="4" w:space="0"/>
              <w:left w:val="single" w:color="auto" w:sz="4" w:space="0"/>
              <w:bottom w:val="single" w:color="auto" w:sz="4" w:space="0"/>
              <w:right w:val="single" w:color="auto" w:sz="4" w:space="0"/>
            </w:tcBorders>
            <w:vAlign w:val="center"/>
          </w:tcPr>
          <w:p>
            <w:pPr>
              <w:pStyle w:val="55"/>
              <w:rPr>
                <w:bCs/>
                <w:snapToGrid w:val="0"/>
                <w:color w:val="000000" w:themeColor="text1"/>
              </w:rPr>
            </w:pPr>
            <w:r>
              <w:rPr>
                <w:rFonts w:hint="eastAsia"/>
                <w:color w:val="000000" w:themeColor="text1"/>
              </w:rPr>
              <w:t>13.479万</w:t>
            </w:r>
            <w:r>
              <w:rPr>
                <w:bCs/>
                <w:snapToGrid w:val="0"/>
                <w:color w:val="000000" w:themeColor="text1"/>
              </w:rPr>
              <w:t>m</w:t>
            </w:r>
            <w:r>
              <w:rPr>
                <w:bCs/>
                <w:snapToGrid w:val="0"/>
                <w:color w:val="000000" w:themeColor="text1"/>
                <w:vertAlign w:val="superscript"/>
              </w:rPr>
              <w:t>3</w:t>
            </w:r>
            <w:r>
              <w:rPr>
                <w:bCs/>
                <w:snapToGrid w:val="0"/>
                <w:color w:val="000000" w:themeColor="text1"/>
              </w:rPr>
              <w:t>/a</w:t>
            </w:r>
          </w:p>
        </w:tc>
        <w:tc>
          <w:tcPr>
            <w:tcW w:w="2624" w:type="dxa"/>
            <w:gridSpan w:val="2"/>
            <w:tcBorders>
              <w:top w:val="single" w:color="auto" w:sz="4" w:space="0"/>
              <w:left w:val="single" w:color="auto" w:sz="4" w:space="0"/>
              <w:bottom w:val="single" w:color="auto" w:sz="4" w:space="0"/>
              <w:right w:val="single" w:color="auto" w:sz="4" w:space="0"/>
            </w:tcBorders>
            <w:vAlign w:val="center"/>
          </w:tcPr>
          <w:p>
            <w:pPr>
              <w:pStyle w:val="55"/>
              <w:rPr>
                <w:bCs/>
                <w:snapToGrid w:val="0"/>
                <w:color w:val="000000" w:themeColor="text1"/>
              </w:rPr>
            </w:pPr>
            <w:r>
              <w:rPr>
                <w:rFonts w:hint="eastAsia"/>
                <w:color w:val="000000" w:themeColor="text1"/>
              </w:rPr>
              <w:t>13.479万</w:t>
            </w:r>
            <w:r>
              <w:rPr>
                <w:bCs/>
                <w:snapToGrid w:val="0"/>
                <w:color w:val="000000" w:themeColor="text1"/>
              </w:rPr>
              <w:t>m</w:t>
            </w:r>
            <w:r>
              <w:rPr>
                <w:bCs/>
                <w:snapToGrid w:val="0"/>
                <w:color w:val="000000" w:themeColor="text1"/>
                <w:vertAlign w:val="superscript"/>
              </w:rPr>
              <w:t>3</w:t>
            </w:r>
            <w:r>
              <w:rPr>
                <w:bCs/>
                <w:snapToGrid w:val="0"/>
                <w:color w:val="000000" w:themeColor="text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01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675"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21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颗粒物</w:t>
            </w:r>
          </w:p>
        </w:tc>
        <w:tc>
          <w:tcPr>
            <w:tcW w:w="1493" w:type="dxa"/>
            <w:tcBorders>
              <w:top w:val="single" w:color="auto" w:sz="4" w:space="0"/>
              <w:left w:val="single" w:color="auto" w:sz="4" w:space="0"/>
              <w:bottom w:val="single" w:color="auto" w:sz="4" w:space="0"/>
              <w:right w:val="single" w:color="auto" w:sz="4" w:space="0"/>
            </w:tcBorders>
            <w:vAlign w:val="center"/>
          </w:tcPr>
          <w:p>
            <w:pPr>
              <w:pStyle w:val="55"/>
              <w:rPr>
                <w:bCs/>
                <w:snapToGrid w:val="0"/>
                <w:color w:val="000000" w:themeColor="text1"/>
              </w:rPr>
            </w:pPr>
            <w:r>
              <w:rPr>
                <w:rFonts w:hint="eastAsia"/>
                <w:bCs/>
                <w:snapToGrid w:val="0"/>
                <w:color w:val="000000" w:themeColor="text1"/>
              </w:rPr>
              <w:t>84.72</w:t>
            </w:r>
            <w:r>
              <w:rPr>
                <w:color w:val="000000" w:themeColor="text1"/>
              </w:rPr>
              <w:t>mg/m</w:t>
            </w:r>
            <w:r>
              <w:rPr>
                <w:color w:val="000000" w:themeColor="text1"/>
                <w:vertAlign w:val="superscript"/>
              </w:rPr>
              <w:t>3</w:t>
            </w:r>
          </w:p>
        </w:tc>
        <w:tc>
          <w:tcPr>
            <w:tcW w:w="1203" w:type="dxa"/>
            <w:tcBorders>
              <w:top w:val="single" w:color="auto" w:sz="4" w:space="0"/>
              <w:left w:val="single" w:color="auto" w:sz="4" w:space="0"/>
              <w:bottom w:val="single" w:color="auto" w:sz="4" w:space="0"/>
              <w:right w:val="single" w:color="auto" w:sz="4" w:space="0"/>
            </w:tcBorders>
            <w:vAlign w:val="center"/>
          </w:tcPr>
          <w:p>
            <w:pPr>
              <w:pStyle w:val="55"/>
              <w:rPr>
                <w:bCs/>
                <w:snapToGrid w:val="0"/>
                <w:color w:val="000000" w:themeColor="text1"/>
              </w:rPr>
            </w:pPr>
            <w:r>
              <w:rPr>
                <w:bCs/>
                <w:snapToGrid w:val="0"/>
                <w:color w:val="000000" w:themeColor="text1"/>
              </w:rPr>
              <w:t>0.</w:t>
            </w:r>
            <w:r>
              <w:rPr>
                <w:rFonts w:hint="eastAsia"/>
                <w:bCs/>
                <w:snapToGrid w:val="0"/>
                <w:color w:val="000000" w:themeColor="text1"/>
              </w:rPr>
              <w:t>244</w:t>
            </w:r>
            <w:r>
              <w:rPr>
                <w:color w:val="000000" w:themeColor="text1"/>
              </w:rPr>
              <w:t>t/a</w:t>
            </w:r>
          </w:p>
        </w:tc>
        <w:tc>
          <w:tcPr>
            <w:tcW w:w="1404" w:type="dxa"/>
            <w:tcBorders>
              <w:top w:val="single" w:color="auto" w:sz="4" w:space="0"/>
              <w:left w:val="single" w:color="auto" w:sz="4" w:space="0"/>
              <w:bottom w:val="single" w:color="auto" w:sz="4" w:space="0"/>
              <w:right w:val="single" w:color="auto" w:sz="4" w:space="0"/>
            </w:tcBorders>
            <w:vAlign w:val="center"/>
          </w:tcPr>
          <w:p>
            <w:pPr>
              <w:pStyle w:val="55"/>
              <w:rPr>
                <w:bCs/>
                <w:snapToGrid w:val="0"/>
                <w:color w:val="000000" w:themeColor="text1"/>
              </w:rPr>
            </w:pPr>
            <w:r>
              <w:rPr>
                <w:rFonts w:hint="eastAsia"/>
                <w:bCs/>
                <w:snapToGrid w:val="0"/>
                <w:color w:val="000000" w:themeColor="text1"/>
              </w:rPr>
              <w:t>11.01</w:t>
            </w:r>
            <w:r>
              <w:rPr>
                <w:color w:val="000000" w:themeColor="text1"/>
              </w:rPr>
              <w:t>mg/m</w:t>
            </w:r>
            <w:r>
              <w:rPr>
                <w:color w:val="000000" w:themeColor="text1"/>
                <w:vertAlign w:val="superscript"/>
              </w:rPr>
              <w:t>3</w:t>
            </w:r>
          </w:p>
        </w:tc>
        <w:tc>
          <w:tcPr>
            <w:tcW w:w="1220" w:type="dxa"/>
            <w:tcBorders>
              <w:top w:val="single" w:color="auto" w:sz="4" w:space="0"/>
              <w:left w:val="single" w:color="auto" w:sz="4" w:space="0"/>
              <w:bottom w:val="single" w:color="auto" w:sz="4" w:space="0"/>
              <w:right w:val="single" w:color="auto" w:sz="4" w:space="0"/>
            </w:tcBorders>
            <w:vAlign w:val="center"/>
          </w:tcPr>
          <w:p>
            <w:pPr>
              <w:pStyle w:val="55"/>
              <w:rPr>
                <w:bCs/>
                <w:snapToGrid w:val="0"/>
                <w:color w:val="000000" w:themeColor="text1"/>
              </w:rPr>
            </w:pPr>
            <w:r>
              <w:rPr>
                <w:bCs/>
                <w:snapToGrid w:val="0"/>
                <w:color w:val="000000" w:themeColor="text1"/>
              </w:rPr>
              <w:t>0.0</w:t>
            </w:r>
            <w:r>
              <w:rPr>
                <w:rFonts w:hint="eastAsia"/>
                <w:bCs/>
                <w:snapToGrid w:val="0"/>
                <w:color w:val="000000" w:themeColor="text1"/>
              </w:rPr>
              <w:t>317</w:t>
            </w:r>
            <w:r>
              <w:rPr>
                <w:color w:val="000000" w:themeColor="text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01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675"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21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vertAlign w:val="subscript"/>
              </w:rPr>
            </w:pPr>
            <w:r>
              <w:rPr>
                <w:color w:val="000000" w:themeColor="text1"/>
              </w:rPr>
              <w:t>SO</w:t>
            </w:r>
            <w:r>
              <w:rPr>
                <w:color w:val="000000" w:themeColor="text1"/>
                <w:vertAlign w:val="subscript"/>
              </w:rPr>
              <w:t>2</w:t>
            </w:r>
          </w:p>
        </w:tc>
        <w:tc>
          <w:tcPr>
            <w:tcW w:w="1493" w:type="dxa"/>
            <w:tcBorders>
              <w:top w:val="single" w:color="auto" w:sz="4" w:space="0"/>
              <w:left w:val="single" w:color="auto" w:sz="4" w:space="0"/>
              <w:bottom w:val="single" w:color="auto" w:sz="4" w:space="0"/>
              <w:right w:val="single" w:color="auto" w:sz="4" w:space="0"/>
            </w:tcBorders>
            <w:vAlign w:val="center"/>
          </w:tcPr>
          <w:p>
            <w:pPr>
              <w:pStyle w:val="55"/>
              <w:rPr>
                <w:bCs/>
                <w:snapToGrid w:val="0"/>
                <w:color w:val="000000" w:themeColor="text1"/>
              </w:rPr>
            </w:pPr>
            <w:r>
              <w:rPr>
                <w:rFonts w:hint="eastAsia"/>
                <w:bCs/>
                <w:snapToGrid w:val="0"/>
                <w:color w:val="000000" w:themeColor="text1"/>
              </w:rPr>
              <w:t>12.85</w:t>
            </w:r>
            <w:r>
              <w:rPr>
                <w:color w:val="000000" w:themeColor="text1"/>
              </w:rPr>
              <w:t>mg/m</w:t>
            </w:r>
            <w:r>
              <w:rPr>
                <w:color w:val="000000" w:themeColor="text1"/>
                <w:vertAlign w:val="superscript"/>
              </w:rPr>
              <w:t>3</w:t>
            </w:r>
          </w:p>
        </w:tc>
        <w:tc>
          <w:tcPr>
            <w:tcW w:w="1203" w:type="dxa"/>
            <w:tcBorders>
              <w:top w:val="single" w:color="auto" w:sz="4" w:space="0"/>
              <w:left w:val="single" w:color="auto" w:sz="4" w:space="0"/>
              <w:bottom w:val="single" w:color="auto" w:sz="4" w:space="0"/>
              <w:right w:val="single" w:color="auto" w:sz="4" w:space="0"/>
            </w:tcBorders>
            <w:vAlign w:val="center"/>
          </w:tcPr>
          <w:p>
            <w:pPr>
              <w:pStyle w:val="55"/>
              <w:rPr>
                <w:bCs/>
                <w:snapToGrid w:val="0"/>
                <w:color w:val="000000" w:themeColor="text1"/>
              </w:rPr>
            </w:pPr>
            <w:r>
              <w:rPr>
                <w:rFonts w:hint="eastAsia"/>
                <w:bCs/>
                <w:snapToGrid w:val="0"/>
                <w:color w:val="000000" w:themeColor="text1"/>
              </w:rPr>
              <w:t>0.037</w:t>
            </w:r>
            <w:r>
              <w:rPr>
                <w:color w:val="000000" w:themeColor="text1"/>
              </w:rPr>
              <w:t>t/a</w:t>
            </w:r>
          </w:p>
        </w:tc>
        <w:tc>
          <w:tcPr>
            <w:tcW w:w="1404" w:type="dxa"/>
            <w:tcBorders>
              <w:top w:val="single" w:color="auto" w:sz="4" w:space="0"/>
              <w:left w:val="single" w:color="auto" w:sz="4" w:space="0"/>
              <w:bottom w:val="single" w:color="auto" w:sz="4" w:space="0"/>
              <w:right w:val="single" w:color="auto" w:sz="4" w:space="0"/>
            </w:tcBorders>
            <w:vAlign w:val="center"/>
          </w:tcPr>
          <w:p>
            <w:pPr>
              <w:pStyle w:val="55"/>
              <w:rPr>
                <w:bCs/>
                <w:snapToGrid w:val="0"/>
                <w:color w:val="000000" w:themeColor="text1"/>
              </w:rPr>
            </w:pPr>
            <w:r>
              <w:rPr>
                <w:rFonts w:hint="eastAsia"/>
                <w:bCs/>
                <w:snapToGrid w:val="0"/>
                <w:color w:val="000000" w:themeColor="text1"/>
              </w:rPr>
              <w:t>10.94</w:t>
            </w:r>
            <w:r>
              <w:rPr>
                <w:color w:val="000000" w:themeColor="text1"/>
              </w:rPr>
              <w:t>mg/m</w:t>
            </w:r>
            <w:r>
              <w:rPr>
                <w:color w:val="000000" w:themeColor="text1"/>
                <w:vertAlign w:val="superscript"/>
              </w:rPr>
              <w:t>3</w:t>
            </w:r>
          </w:p>
        </w:tc>
        <w:tc>
          <w:tcPr>
            <w:tcW w:w="1220" w:type="dxa"/>
            <w:tcBorders>
              <w:top w:val="single" w:color="auto" w:sz="4" w:space="0"/>
              <w:left w:val="single" w:color="auto" w:sz="4" w:space="0"/>
              <w:bottom w:val="single" w:color="auto" w:sz="4" w:space="0"/>
              <w:right w:val="single" w:color="auto" w:sz="4" w:space="0"/>
            </w:tcBorders>
            <w:vAlign w:val="center"/>
          </w:tcPr>
          <w:p>
            <w:pPr>
              <w:pStyle w:val="55"/>
              <w:rPr>
                <w:bCs/>
                <w:snapToGrid w:val="0"/>
                <w:color w:val="000000" w:themeColor="text1"/>
              </w:rPr>
            </w:pPr>
            <w:r>
              <w:rPr>
                <w:bCs/>
                <w:snapToGrid w:val="0"/>
                <w:color w:val="000000" w:themeColor="text1"/>
              </w:rPr>
              <w:t>0.0</w:t>
            </w:r>
            <w:r>
              <w:rPr>
                <w:rFonts w:hint="eastAsia"/>
                <w:bCs/>
                <w:snapToGrid w:val="0"/>
                <w:color w:val="000000" w:themeColor="text1"/>
              </w:rPr>
              <w:t>315</w:t>
            </w:r>
            <w:r>
              <w:rPr>
                <w:color w:val="000000" w:themeColor="text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3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01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675"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210" w:type="dxa"/>
            <w:tcBorders>
              <w:top w:val="single" w:color="auto" w:sz="4" w:space="0"/>
              <w:left w:val="single" w:color="auto" w:sz="4" w:space="0"/>
              <w:bottom w:val="single" w:color="auto" w:sz="4" w:space="0"/>
              <w:right w:val="single" w:color="auto" w:sz="4" w:space="0"/>
            </w:tcBorders>
            <w:vAlign w:val="center"/>
          </w:tcPr>
          <w:p>
            <w:pPr>
              <w:pStyle w:val="55"/>
              <w:rPr>
                <w:bCs/>
                <w:snapToGrid w:val="0"/>
                <w:color w:val="000000" w:themeColor="text1"/>
              </w:rPr>
            </w:pPr>
            <w:r>
              <w:rPr>
                <w:rFonts w:hint="eastAsia"/>
                <w:bCs/>
                <w:snapToGrid w:val="0"/>
                <w:color w:val="000000" w:themeColor="text1"/>
              </w:rPr>
              <w:t>氮氧化物</w:t>
            </w:r>
          </w:p>
        </w:tc>
        <w:tc>
          <w:tcPr>
            <w:tcW w:w="1493" w:type="dxa"/>
            <w:tcBorders>
              <w:top w:val="single" w:color="auto" w:sz="4" w:space="0"/>
              <w:left w:val="single" w:color="auto" w:sz="4" w:space="0"/>
              <w:bottom w:val="single" w:color="auto" w:sz="4" w:space="0"/>
              <w:right w:val="single" w:color="auto" w:sz="4" w:space="0"/>
            </w:tcBorders>
            <w:vAlign w:val="center"/>
          </w:tcPr>
          <w:p>
            <w:pPr>
              <w:pStyle w:val="55"/>
              <w:rPr>
                <w:bCs/>
                <w:snapToGrid w:val="0"/>
                <w:color w:val="000000" w:themeColor="text1"/>
              </w:rPr>
            </w:pPr>
            <w:r>
              <w:rPr>
                <w:rFonts w:hint="eastAsia"/>
                <w:bCs/>
                <w:snapToGrid w:val="0"/>
                <w:color w:val="000000" w:themeColor="text1"/>
              </w:rPr>
              <w:t>7.64</w:t>
            </w:r>
            <w:r>
              <w:rPr>
                <w:color w:val="000000" w:themeColor="text1"/>
              </w:rPr>
              <w:t>mg/m</w:t>
            </w:r>
            <w:r>
              <w:rPr>
                <w:color w:val="000000" w:themeColor="text1"/>
                <w:vertAlign w:val="superscript"/>
              </w:rPr>
              <w:t>3</w:t>
            </w:r>
          </w:p>
        </w:tc>
        <w:tc>
          <w:tcPr>
            <w:tcW w:w="1203" w:type="dxa"/>
            <w:tcBorders>
              <w:top w:val="single" w:color="auto" w:sz="4" w:space="0"/>
              <w:left w:val="single" w:color="auto" w:sz="4" w:space="0"/>
              <w:bottom w:val="single" w:color="auto" w:sz="4" w:space="0"/>
              <w:right w:val="single" w:color="auto" w:sz="4" w:space="0"/>
            </w:tcBorders>
            <w:vAlign w:val="center"/>
          </w:tcPr>
          <w:p>
            <w:pPr>
              <w:pStyle w:val="55"/>
              <w:rPr>
                <w:bCs/>
                <w:snapToGrid w:val="0"/>
                <w:color w:val="000000" w:themeColor="text1"/>
              </w:rPr>
            </w:pPr>
            <w:r>
              <w:rPr>
                <w:bCs/>
                <w:snapToGrid w:val="0"/>
                <w:color w:val="000000" w:themeColor="text1"/>
              </w:rPr>
              <w:t>0.</w:t>
            </w:r>
            <w:r>
              <w:rPr>
                <w:rFonts w:hint="eastAsia"/>
                <w:bCs/>
                <w:snapToGrid w:val="0"/>
                <w:color w:val="000000" w:themeColor="text1"/>
              </w:rPr>
              <w:t>022</w:t>
            </w:r>
            <w:r>
              <w:rPr>
                <w:color w:val="000000" w:themeColor="text1"/>
              </w:rPr>
              <w:t>t/a</w:t>
            </w:r>
          </w:p>
        </w:tc>
        <w:tc>
          <w:tcPr>
            <w:tcW w:w="1404" w:type="dxa"/>
            <w:tcBorders>
              <w:top w:val="single" w:color="auto" w:sz="4" w:space="0"/>
              <w:left w:val="single" w:color="auto" w:sz="4" w:space="0"/>
              <w:bottom w:val="single" w:color="auto" w:sz="4" w:space="0"/>
              <w:right w:val="single" w:color="auto" w:sz="4" w:space="0"/>
            </w:tcBorders>
            <w:vAlign w:val="center"/>
          </w:tcPr>
          <w:p>
            <w:pPr>
              <w:pStyle w:val="55"/>
              <w:rPr>
                <w:bCs/>
                <w:snapToGrid w:val="0"/>
                <w:color w:val="000000" w:themeColor="text1"/>
              </w:rPr>
            </w:pPr>
            <w:r>
              <w:rPr>
                <w:rFonts w:hint="eastAsia"/>
                <w:bCs/>
                <w:snapToGrid w:val="0"/>
                <w:color w:val="000000" w:themeColor="text1"/>
              </w:rPr>
              <w:t>7.64</w:t>
            </w:r>
            <w:r>
              <w:rPr>
                <w:color w:val="000000" w:themeColor="text1"/>
              </w:rPr>
              <w:t>mg/m</w:t>
            </w:r>
            <w:r>
              <w:rPr>
                <w:color w:val="000000" w:themeColor="text1"/>
                <w:vertAlign w:val="superscript"/>
              </w:rPr>
              <w:t>3</w:t>
            </w:r>
          </w:p>
        </w:tc>
        <w:tc>
          <w:tcPr>
            <w:tcW w:w="1220" w:type="dxa"/>
            <w:tcBorders>
              <w:top w:val="single" w:color="auto" w:sz="4" w:space="0"/>
              <w:left w:val="single" w:color="auto" w:sz="4" w:space="0"/>
              <w:bottom w:val="single" w:color="auto" w:sz="4" w:space="0"/>
              <w:right w:val="single" w:color="auto" w:sz="4" w:space="0"/>
            </w:tcBorders>
            <w:vAlign w:val="center"/>
          </w:tcPr>
          <w:p>
            <w:pPr>
              <w:pStyle w:val="55"/>
              <w:rPr>
                <w:bCs/>
                <w:snapToGrid w:val="0"/>
                <w:color w:val="000000" w:themeColor="text1"/>
              </w:rPr>
            </w:pPr>
            <w:r>
              <w:rPr>
                <w:bCs/>
                <w:snapToGrid w:val="0"/>
                <w:color w:val="000000" w:themeColor="text1"/>
              </w:rPr>
              <w:t>0.</w:t>
            </w:r>
            <w:r>
              <w:rPr>
                <w:rFonts w:hint="eastAsia"/>
                <w:bCs/>
                <w:snapToGrid w:val="0"/>
                <w:color w:val="000000" w:themeColor="text1"/>
              </w:rPr>
              <w:t>022</w:t>
            </w:r>
            <w:r>
              <w:rPr>
                <w:color w:val="000000" w:themeColor="text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3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017"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焚烧炉</w:t>
            </w:r>
          </w:p>
        </w:tc>
        <w:tc>
          <w:tcPr>
            <w:tcW w:w="675"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有组织</w:t>
            </w:r>
          </w:p>
        </w:tc>
        <w:tc>
          <w:tcPr>
            <w:tcW w:w="121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烟气量</w:t>
            </w:r>
          </w:p>
        </w:tc>
        <w:tc>
          <w:tcPr>
            <w:tcW w:w="2696" w:type="dxa"/>
            <w:gridSpan w:val="2"/>
            <w:tcBorders>
              <w:top w:val="single" w:color="auto" w:sz="4" w:space="0"/>
              <w:left w:val="single" w:color="auto" w:sz="4" w:space="0"/>
              <w:bottom w:val="single" w:color="auto" w:sz="4" w:space="0"/>
              <w:right w:val="single" w:color="auto" w:sz="4" w:space="0"/>
            </w:tcBorders>
            <w:vAlign w:val="center"/>
          </w:tcPr>
          <w:p>
            <w:pPr>
              <w:pStyle w:val="55"/>
              <w:rPr>
                <w:bCs/>
                <w:snapToGrid w:val="0"/>
                <w:color w:val="000000" w:themeColor="text1"/>
              </w:rPr>
            </w:pPr>
            <w:r>
              <w:rPr>
                <w:rFonts w:hint="eastAsia"/>
                <w:color w:val="000000" w:themeColor="text1"/>
              </w:rPr>
              <w:t>180万</w:t>
            </w:r>
            <w:r>
              <w:rPr>
                <w:bCs/>
                <w:snapToGrid w:val="0"/>
                <w:color w:val="000000" w:themeColor="text1"/>
              </w:rPr>
              <w:t>m</w:t>
            </w:r>
            <w:r>
              <w:rPr>
                <w:bCs/>
                <w:snapToGrid w:val="0"/>
                <w:color w:val="000000" w:themeColor="text1"/>
                <w:vertAlign w:val="superscript"/>
              </w:rPr>
              <w:t>3</w:t>
            </w:r>
            <w:r>
              <w:rPr>
                <w:bCs/>
                <w:snapToGrid w:val="0"/>
                <w:color w:val="000000" w:themeColor="text1"/>
              </w:rPr>
              <w:t>/a</w:t>
            </w:r>
          </w:p>
        </w:tc>
        <w:tc>
          <w:tcPr>
            <w:tcW w:w="2624" w:type="dxa"/>
            <w:gridSpan w:val="2"/>
            <w:tcBorders>
              <w:top w:val="single" w:color="auto" w:sz="4" w:space="0"/>
              <w:left w:val="single" w:color="auto" w:sz="4" w:space="0"/>
              <w:bottom w:val="single" w:color="auto" w:sz="4" w:space="0"/>
              <w:right w:val="single" w:color="auto" w:sz="4" w:space="0"/>
            </w:tcBorders>
            <w:vAlign w:val="center"/>
          </w:tcPr>
          <w:p>
            <w:pPr>
              <w:pStyle w:val="55"/>
              <w:rPr>
                <w:bCs/>
                <w:snapToGrid w:val="0"/>
                <w:color w:val="000000" w:themeColor="text1"/>
              </w:rPr>
            </w:pPr>
            <w:r>
              <w:rPr>
                <w:rFonts w:hint="eastAsia"/>
                <w:color w:val="000000" w:themeColor="text1"/>
              </w:rPr>
              <w:t>180万</w:t>
            </w:r>
            <w:r>
              <w:rPr>
                <w:bCs/>
                <w:snapToGrid w:val="0"/>
                <w:color w:val="000000" w:themeColor="text1"/>
              </w:rPr>
              <w:t>m</w:t>
            </w:r>
            <w:r>
              <w:rPr>
                <w:bCs/>
                <w:snapToGrid w:val="0"/>
                <w:color w:val="000000" w:themeColor="text1"/>
                <w:vertAlign w:val="superscript"/>
              </w:rPr>
              <w:t>3</w:t>
            </w:r>
            <w:r>
              <w:rPr>
                <w:bCs/>
                <w:snapToGrid w:val="0"/>
                <w:color w:val="000000" w:themeColor="text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3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017" w:type="dxa"/>
            <w:vMerge w:val="continue"/>
            <w:tcBorders>
              <w:left w:val="single" w:color="auto" w:sz="4" w:space="0"/>
              <w:right w:val="single" w:color="auto" w:sz="4" w:space="0"/>
            </w:tcBorders>
            <w:vAlign w:val="center"/>
          </w:tcPr>
          <w:p>
            <w:pPr>
              <w:pStyle w:val="55"/>
              <w:rPr>
                <w:color w:val="000000" w:themeColor="text1"/>
              </w:rPr>
            </w:pPr>
          </w:p>
        </w:tc>
        <w:tc>
          <w:tcPr>
            <w:tcW w:w="675" w:type="dxa"/>
            <w:vMerge w:val="continue"/>
            <w:tcBorders>
              <w:left w:val="single" w:color="auto" w:sz="4" w:space="0"/>
              <w:right w:val="single" w:color="auto" w:sz="4" w:space="0"/>
            </w:tcBorders>
            <w:vAlign w:val="center"/>
          </w:tcPr>
          <w:p>
            <w:pPr>
              <w:pStyle w:val="55"/>
              <w:rPr>
                <w:color w:val="000000" w:themeColor="text1"/>
              </w:rPr>
            </w:pPr>
          </w:p>
        </w:tc>
        <w:tc>
          <w:tcPr>
            <w:tcW w:w="1210" w:type="dxa"/>
            <w:tcBorders>
              <w:top w:val="single" w:color="auto" w:sz="4" w:space="0"/>
              <w:left w:val="single" w:color="auto" w:sz="4" w:space="0"/>
              <w:bottom w:val="single" w:color="auto" w:sz="4" w:space="0"/>
              <w:right w:val="single" w:color="auto" w:sz="4" w:space="0"/>
            </w:tcBorders>
            <w:vAlign w:val="center"/>
          </w:tcPr>
          <w:p>
            <w:pPr>
              <w:pStyle w:val="55"/>
              <w:rPr>
                <w:bCs/>
                <w:snapToGrid w:val="0"/>
                <w:color w:val="000000" w:themeColor="text1"/>
              </w:rPr>
            </w:pPr>
            <w:r>
              <w:rPr>
                <w:rFonts w:hint="eastAsia"/>
                <w:color w:val="000000" w:themeColor="text1"/>
              </w:rPr>
              <w:t>烟尘</w:t>
            </w:r>
          </w:p>
        </w:tc>
        <w:tc>
          <w:tcPr>
            <w:tcW w:w="1493" w:type="dxa"/>
            <w:tcBorders>
              <w:top w:val="single" w:color="auto" w:sz="4" w:space="0"/>
              <w:left w:val="single" w:color="auto" w:sz="4" w:space="0"/>
              <w:bottom w:val="single" w:color="auto" w:sz="4" w:space="0"/>
              <w:right w:val="single" w:color="auto" w:sz="4" w:space="0"/>
            </w:tcBorders>
            <w:vAlign w:val="center"/>
          </w:tcPr>
          <w:p>
            <w:pPr>
              <w:pStyle w:val="55"/>
              <w:rPr>
                <w:bCs/>
                <w:snapToGrid w:val="0"/>
                <w:color w:val="000000" w:themeColor="text1"/>
              </w:rPr>
            </w:pPr>
            <w:r>
              <w:rPr>
                <w:rFonts w:hint="eastAsia"/>
                <w:bCs/>
                <w:snapToGrid w:val="0"/>
                <w:color w:val="000000" w:themeColor="text1"/>
              </w:rPr>
              <w:t>153</w:t>
            </w:r>
            <w:r>
              <w:rPr>
                <w:color w:val="000000" w:themeColor="text1"/>
              </w:rPr>
              <w:t>mg/m</w:t>
            </w:r>
            <w:r>
              <w:rPr>
                <w:color w:val="000000" w:themeColor="text1"/>
                <w:vertAlign w:val="superscript"/>
              </w:rPr>
              <w:t>3</w:t>
            </w:r>
          </w:p>
        </w:tc>
        <w:tc>
          <w:tcPr>
            <w:tcW w:w="1203" w:type="dxa"/>
            <w:tcBorders>
              <w:top w:val="single" w:color="auto" w:sz="4" w:space="0"/>
              <w:left w:val="single" w:color="auto" w:sz="4" w:space="0"/>
              <w:bottom w:val="single" w:color="auto" w:sz="4" w:space="0"/>
              <w:right w:val="single" w:color="auto" w:sz="4" w:space="0"/>
            </w:tcBorders>
            <w:vAlign w:val="center"/>
          </w:tcPr>
          <w:p>
            <w:pPr>
              <w:pStyle w:val="55"/>
              <w:rPr>
                <w:bCs/>
                <w:snapToGrid w:val="0"/>
                <w:color w:val="000000" w:themeColor="text1"/>
              </w:rPr>
            </w:pPr>
            <w:r>
              <w:rPr>
                <w:rFonts w:hint="eastAsia"/>
                <w:bCs/>
                <w:snapToGrid w:val="0"/>
                <w:color w:val="000000" w:themeColor="text1"/>
              </w:rPr>
              <w:t>0.276</w:t>
            </w:r>
            <w:r>
              <w:rPr>
                <w:color w:val="000000" w:themeColor="text1"/>
              </w:rPr>
              <w:t>t/a</w:t>
            </w:r>
          </w:p>
        </w:tc>
        <w:tc>
          <w:tcPr>
            <w:tcW w:w="1404" w:type="dxa"/>
            <w:tcBorders>
              <w:top w:val="single" w:color="auto" w:sz="4" w:space="0"/>
              <w:left w:val="single" w:color="auto" w:sz="4" w:space="0"/>
              <w:bottom w:val="single" w:color="auto" w:sz="4" w:space="0"/>
              <w:right w:val="single" w:color="auto" w:sz="4" w:space="0"/>
            </w:tcBorders>
            <w:vAlign w:val="center"/>
          </w:tcPr>
          <w:p>
            <w:pPr>
              <w:pStyle w:val="55"/>
              <w:rPr>
                <w:bCs/>
                <w:snapToGrid w:val="0"/>
                <w:color w:val="000000" w:themeColor="text1"/>
              </w:rPr>
            </w:pPr>
            <w:r>
              <w:rPr>
                <w:rFonts w:hint="eastAsia"/>
                <w:bCs/>
                <w:snapToGrid w:val="0"/>
                <w:color w:val="000000" w:themeColor="text1"/>
              </w:rPr>
              <w:t>7.65</w:t>
            </w:r>
            <w:r>
              <w:rPr>
                <w:color w:val="000000" w:themeColor="text1"/>
              </w:rPr>
              <w:t>mg/m</w:t>
            </w:r>
            <w:r>
              <w:rPr>
                <w:color w:val="000000" w:themeColor="text1"/>
                <w:vertAlign w:val="superscript"/>
              </w:rPr>
              <w:t>3</w:t>
            </w:r>
          </w:p>
        </w:tc>
        <w:tc>
          <w:tcPr>
            <w:tcW w:w="1220" w:type="dxa"/>
            <w:tcBorders>
              <w:top w:val="single" w:color="auto" w:sz="4" w:space="0"/>
              <w:left w:val="single" w:color="auto" w:sz="4" w:space="0"/>
              <w:bottom w:val="single" w:color="auto" w:sz="4" w:space="0"/>
              <w:right w:val="single" w:color="auto" w:sz="4" w:space="0"/>
            </w:tcBorders>
            <w:vAlign w:val="center"/>
          </w:tcPr>
          <w:p>
            <w:pPr>
              <w:pStyle w:val="55"/>
              <w:rPr>
                <w:bCs/>
                <w:snapToGrid w:val="0"/>
                <w:color w:val="000000" w:themeColor="text1"/>
              </w:rPr>
            </w:pPr>
            <w:r>
              <w:rPr>
                <w:bCs/>
                <w:snapToGrid w:val="0"/>
                <w:color w:val="000000" w:themeColor="text1"/>
              </w:rPr>
              <w:t>0.0</w:t>
            </w:r>
            <w:r>
              <w:rPr>
                <w:rFonts w:hint="eastAsia"/>
                <w:bCs/>
                <w:snapToGrid w:val="0"/>
                <w:color w:val="000000" w:themeColor="text1"/>
              </w:rPr>
              <w:t>134</w:t>
            </w:r>
            <w:r>
              <w:rPr>
                <w:color w:val="000000" w:themeColor="text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3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017" w:type="dxa"/>
            <w:vMerge w:val="continue"/>
            <w:tcBorders>
              <w:left w:val="single" w:color="auto" w:sz="4" w:space="0"/>
              <w:right w:val="single" w:color="auto" w:sz="4" w:space="0"/>
            </w:tcBorders>
            <w:vAlign w:val="center"/>
          </w:tcPr>
          <w:p>
            <w:pPr>
              <w:pStyle w:val="55"/>
              <w:rPr>
                <w:color w:val="000000" w:themeColor="text1"/>
              </w:rPr>
            </w:pPr>
          </w:p>
        </w:tc>
        <w:tc>
          <w:tcPr>
            <w:tcW w:w="675" w:type="dxa"/>
            <w:vMerge w:val="continue"/>
            <w:tcBorders>
              <w:left w:val="single" w:color="auto" w:sz="4" w:space="0"/>
              <w:right w:val="single" w:color="auto" w:sz="4" w:space="0"/>
            </w:tcBorders>
            <w:vAlign w:val="center"/>
          </w:tcPr>
          <w:p>
            <w:pPr>
              <w:pStyle w:val="55"/>
              <w:rPr>
                <w:color w:val="000000" w:themeColor="text1"/>
              </w:rPr>
            </w:pPr>
          </w:p>
        </w:tc>
        <w:tc>
          <w:tcPr>
            <w:tcW w:w="1210" w:type="dxa"/>
            <w:tcBorders>
              <w:top w:val="single" w:color="auto" w:sz="4" w:space="0"/>
              <w:left w:val="single" w:color="auto" w:sz="4" w:space="0"/>
              <w:bottom w:val="single" w:color="auto" w:sz="4" w:space="0"/>
              <w:right w:val="single" w:color="auto" w:sz="4" w:space="0"/>
            </w:tcBorders>
            <w:vAlign w:val="center"/>
          </w:tcPr>
          <w:p>
            <w:pPr>
              <w:pStyle w:val="55"/>
              <w:rPr>
                <w:bCs/>
                <w:snapToGrid w:val="0"/>
                <w:color w:val="000000" w:themeColor="text1"/>
              </w:rPr>
            </w:pPr>
            <w:r>
              <w:rPr>
                <w:color w:val="000000" w:themeColor="text1"/>
              </w:rPr>
              <w:t>SO</w:t>
            </w:r>
            <w:r>
              <w:rPr>
                <w:color w:val="000000" w:themeColor="text1"/>
                <w:vertAlign w:val="subscript"/>
              </w:rPr>
              <w:t>2</w:t>
            </w:r>
          </w:p>
        </w:tc>
        <w:tc>
          <w:tcPr>
            <w:tcW w:w="1493" w:type="dxa"/>
            <w:tcBorders>
              <w:top w:val="single" w:color="auto" w:sz="4" w:space="0"/>
              <w:left w:val="single" w:color="auto" w:sz="4" w:space="0"/>
              <w:bottom w:val="single" w:color="auto" w:sz="4" w:space="0"/>
              <w:right w:val="single" w:color="auto" w:sz="4" w:space="0"/>
            </w:tcBorders>
            <w:vAlign w:val="center"/>
          </w:tcPr>
          <w:p>
            <w:pPr>
              <w:pStyle w:val="55"/>
              <w:rPr>
                <w:bCs/>
                <w:snapToGrid w:val="0"/>
                <w:color w:val="000000" w:themeColor="text1"/>
              </w:rPr>
            </w:pPr>
            <w:r>
              <w:rPr>
                <w:rFonts w:hint="eastAsia"/>
                <w:bCs/>
                <w:snapToGrid w:val="0"/>
                <w:color w:val="000000" w:themeColor="text1"/>
              </w:rPr>
              <w:t>7.78</w:t>
            </w:r>
            <w:r>
              <w:rPr>
                <w:color w:val="000000" w:themeColor="text1"/>
              </w:rPr>
              <w:t>mg/m</w:t>
            </w:r>
            <w:r>
              <w:rPr>
                <w:color w:val="000000" w:themeColor="text1"/>
                <w:vertAlign w:val="superscript"/>
              </w:rPr>
              <w:t>3</w:t>
            </w:r>
          </w:p>
        </w:tc>
        <w:tc>
          <w:tcPr>
            <w:tcW w:w="1203" w:type="dxa"/>
            <w:tcBorders>
              <w:top w:val="single" w:color="auto" w:sz="4" w:space="0"/>
              <w:left w:val="single" w:color="auto" w:sz="4" w:space="0"/>
              <w:bottom w:val="single" w:color="auto" w:sz="4" w:space="0"/>
              <w:right w:val="single" w:color="auto" w:sz="4" w:space="0"/>
            </w:tcBorders>
            <w:vAlign w:val="center"/>
          </w:tcPr>
          <w:p>
            <w:pPr>
              <w:pStyle w:val="55"/>
              <w:rPr>
                <w:bCs/>
                <w:snapToGrid w:val="0"/>
                <w:color w:val="000000" w:themeColor="text1"/>
              </w:rPr>
            </w:pPr>
            <w:r>
              <w:rPr>
                <w:bCs/>
                <w:snapToGrid w:val="0"/>
                <w:color w:val="000000" w:themeColor="text1"/>
              </w:rPr>
              <w:t>0.0</w:t>
            </w:r>
            <w:r>
              <w:rPr>
                <w:rFonts w:hint="eastAsia"/>
                <w:bCs/>
                <w:snapToGrid w:val="0"/>
                <w:color w:val="000000" w:themeColor="text1"/>
              </w:rPr>
              <w:t>14</w:t>
            </w:r>
            <w:r>
              <w:rPr>
                <w:color w:val="000000" w:themeColor="text1"/>
              </w:rPr>
              <w:t>t/a</w:t>
            </w:r>
          </w:p>
        </w:tc>
        <w:tc>
          <w:tcPr>
            <w:tcW w:w="1404" w:type="dxa"/>
            <w:tcBorders>
              <w:top w:val="single" w:color="auto" w:sz="4" w:space="0"/>
              <w:left w:val="single" w:color="auto" w:sz="4" w:space="0"/>
              <w:bottom w:val="single" w:color="auto" w:sz="4" w:space="0"/>
              <w:right w:val="single" w:color="auto" w:sz="4" w:space="0"/>
            </w:tcBorders>
            <w:vAlign w:val="center"/>
          </w:tcPr>
          <w:p>
            <w:pPr>
              <w:pStyle w:val="55"/>
              <w:rPr>
                <w:bCs/>
                <w:snapToGrid w:val="0"/>
                <w:color w:val="000000" w:themeColor="text1"/>
              </w:rPr>
            </w:pPr>
            <w:r>
              <w:rPr>
                <w:rFonts w:hint="eastAsia"/>
                <w:bCs/>
                <w:snapToGrid w:val="0"/>
                <w:color w:val="000000" w:themeColor="text1"/>
              </w:rPr>
              <w:t>7.78</w:t>
            </w:r>
            <w:r>
              <w:rPr>
                <w:color w:val="000000" w:themeColor="text1"/>
              </w:rPr>
              <w:t>mg/m</w:t>
            </w:r>
            <w:r>
              <w:rPr>
                <w:color w:val="000000" w:themeColor="text1"/>
                <w:vertAlign w:val="superscript"/>
              </w:rPr>
              <w:t>3</w:t>
            </w:r>
          </w:p>
        </w:tc>
        <w:tc>
          <w:tcPr>
            <w:tcW w:w="1220" w:type="dxa"/>
            <w:tcBorders>
              <w:top w:val="single" w:color="auto" w:sz="4" w:space="0"/>
              <w:left w:val="single" w:color="auto" w:sz="4" w:space="0"/>
              <w:bottom w:val="single" w:color="auto" w:sz="4" w:space="0"/>
              <w:right w:val="single" w:color="auto" w:sz="4" w:space="0"/>
            </w:tcBorders>
            <w:vAlign w:val="center"/>
          </w:tcPr>
          <w:p>
            <w:pPr>
              <w:pStyle w:val="55"/>
              <w:rPr>
                <w:bCs/>
                <w:snapToGrid w:val="0"/>
                <w:color w:val="000000" w:themeColor="text1"/>
              </w:rPr>
            </w:pPr>
            <w:r>
              <w:rPr>
                <w:bCs/>
                <w:snapToGrid w:val="0"/>
                <w:color w:val="000000" w:themeColor="text1"/>
              </w:rPr>
              <w:t>0.0</w:t>
            </w:r>
            <w:r>
              <w:rPr>
                <w:rFonts w:hint="eastAsia"/>
                <w:bCs/>
                <w:snapToGrid w:val="0"/>
                <w:color w:val="000000" w:themeColor="text1"/>
              </w:rPr>
              <w:t>14</w:t>
            </w:r>
            <w:r>
              <w:rPr>
                <w:color w:val="000000" w:themeColor="text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3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017"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675"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1210" w:type="dxa"/>
            <w:tcBorders>
              <w:top w:val="single" w:color="auto" w:sz="4" w:space="0"/>
              <w:left w:val="single" w:color="auto" w:sz="4" w:space="0"/>
              <w:bottom w:val="single" w:color="auto" w:sz="4" w:space="0"/>
              <w:right w:val="single" w:color="auto" w:sz="4" w:space="0"/>
            </w:tcBorders>
            <w:vAlign w:val="center"/>
          </w:tcPr>
          <w:p>
            <w:pPr>
              <w:pStyle w:val="55"/>
              <w:rPr>
                <w:bCs/>
                <w:snapToGrid w:val="0"/>
                <w:color w:val="000000" w:themeColor="text1"/>
              </w:rPr>
            </w:pPr>
            <w:r>
              <w:rPr>
                <w:rFonts w:hint="eastAsia"/>
                <w:bCs/>
                <w:snapToGrid w:val="0"/>
                <w:color w:val="000000" w:themeColor="text1"/>
              </w:rPr>
              <w:t>氮氧化物</w:t>
            </w:r>
          </w:p>
        </w:tc>
        <w:tc>
          <w:tcPr>
            <w:tcW w:w="1493" w:type="dxa"/>
            <w:tcBorders>
              <w:top w:val="single" w:color="auto" w:sz="4" w:space="0"/>
              <w:left w:val="single" w:color="auto" w:sz="4" w:space="0"/>
              <w:bottom w:val="single" w:color="auto" w:sz="4" w:space="0"/>
              <w:right w:val="single" w:color="auto" w:sz="4" w:space="0"/>
            </w:tcBorders>
            <w:vAlign w:val="center"/>
          </w:tcPr>
          <w:p>
            <w:pPr>
              <w:pStyle w:val="55"/>
              <w:rPr>
                <w:bCs/>
                <w:snapToGrid w:val="0"/>
                <w:color w:val="000000" w:themeColor="text1"/>
              </w:rPr>
            </w:pPr>
            <w:r>
              <w:rPr>
                <w:rFonts w:hint="eastAsia"/>
                <w:bCs/>
                <w:snapToGrid w:val="0"/>
                <w:color w:val="000000" w:themeColor="text1"/>
              </w:rPr>
              <w:t>251.67</w:t>
            </w:r>
            <w:r>
              <w:rPr>
                <w:color w:val="000000" w:themeColor="text1"/>
              </w:rPr>
              <w:t>mg/m</w:t>
            </w:r>
            <w:r>
              <w:rPr>
                <w:color w:val="000000" w:themeColor="text1"/>
                <w:vertAlign w:val="superscript"/>
              </w:rPr>
              <w:t>3</w:t>
            </w:r>
          </w:p>
        </w:tc>
        <w:tc>
          <w:tcPr>
            <w:tcW w:w="1203" w:type="dxa"/>
            <w:tcBorders>
              <w:top w:val="single" w:color="auto" w:sz="4" w:space="0"/>
              <w:left w:val="single" w:color="auto" w:sz="4" w:space="0"/>
              <w:bottom w:val="single" w:color="auto" w:sz="4" w:space="0"/>
              <w:right w:val="single" w:color="auto" w:sz="4" w:space="0"/>
            </w:tcBorders>
            <w:vAlign w:val="center"/>
          </w:tcPr>
          <w:p>
            <w:pPr>
              <w:pStyle w:val="55"/>
              <w:rPr>
                <w:bCs/>
                <w:snapToGrid w:val="0"/>
                <w:color w:val="000000" w:themeColor="text1"/>
              </w:rPr>
            </w:pPr>
            <w:r>
              <w:rPr>
                <w:bCs/>
                <w:snapToGrid w:val="0"/>
                <w:color w:val="000000" w:themeColor="text1"/>
              </w:rPr>
              <w:t>0.</w:t>
            </w:r>
            <w:r>
              <w:rPr>
                <w:rFonts w:hint="eastAsia"/>
                <w:bCs/>
                <w:snapToGrid w:val="0"/>
                <w:color w:val="000000" w:themeColor="text1"/>
              </w:rPr>
              <w:t>453</w:t>
            </w:r>
            <w:r>
              <w:rPr>
                <w:color w:val="000000" w:themeColor="text1"/>
              </w:rPr>
              <w:t>t /a</w:t>
            </w:r>
          </w:p>
        </w:tc>
        <w:tc>
          <w:tcPr>
            <w:tcW w:w="1404" w:type="dxa"/>
            <w:tcBorders>
              <w:top w:val="single" w:color="auto" w:sz="4" w:space="0"/>
              <w:left w:val="single" w:color="auto" w:sz="4" w:space="0"/>
              <w:bottom w:val="single" w:color="auto" w:sz="4" w:space="0"/>
              <w:right w:val="single" w:color="auto" w:sz="4" w:space="0"/>
            </w:tcBorders>
            <w:vAlign w:val="center"/>
          </w:tcPr>
          <w:p>
            <w:pPr>
              <w:pStyle w:val="55"/>
              <w:rPr>
                <w:bCs/>
                <w:snapToGrid w:val="0"/>
                <w:color w:val="000000" w:themeColor="text1"/>
              </w:rPr>
            </w:pPr>
            <w:r>
              <w:rPr>
                <w:rFonts w:hint="eastAsia"/>
                <w:bCs/>
                <w:snapToGrid w:val="0"/>
                <w:color w:val="000000" w:themeColor="text1"/>
              </w:rPr>
              <w:t>251.67</w:t>
            </w:r>
            <w:r>
              <w:rPr>
                <w:color w:val="000000" w:themeColor="text1"/>
              </w:rPr>
              <w:t>mg/m</w:t>
            </w:r>
            <w:r>
              <w:rPr>
                <w:color w:val="000000" w:themeColor="text1"/>
                <w:vertAlign w:val="superscript"/>
              </w:rPr>
              <w:t>3</w:t>
            </w:r>
          </w:p>
        </w:tc>
        <w:tc>
          <w:tcPr>
            <w:tcW w:w="1220" w:type="dxa"/>
            <w:tcBorders>
              <w:top w:val="single" w:color="auto" w:sz="4" w:space="0"/>
              <w:left w:val="single" w:color="auto" w:sz="4" w:space="0"/>
              <w:bottom w:val="single" w:color="auto" w:sz="4" w:space="0"/>
              <w:right w:val="single" w:color="auto" w:sz="4" w:space="0"/>
            </w:tcBorders>
            <w:vAlign w:val="center"/>
          </w:tcPr>
          <w:p>
            <w:pPr>
              <w:pStyle w:val="55"/>
              <w:rPr>
                <w:bCs/>
                <w:snapToGrid w:val="0"/>
                <w:color w:val="000000" w:themeColor="text1"/>
              </w:rPr>
            </w:pPr>
            <w:r>
              <w:rPr>
                <w:bCs/>
                <w:snapToGrid w:val="0"/>
                <w:color w:val="000000" w:themeColor="text1"/>
              </w:rPr>
              <w:t>0.</w:t>
            </w:r>
            <w:r>
              <w:rPr>
                <w:rFonts w:hint="eastAsia"/>
                <w:bCs/>
                <w:snapToGrid w:val="0"/>
                <w:color w:val="000000" w:themeColor="text1"/>
              </w:rPr>
              <w:t>453</w:t>
            </w:r>
            <w:r>
              <w:rPr>
                <w:color w:val="000000" w:themeColor="text1"/>
              </w:rPr>
              <w:t>t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0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汽车尾气</w:t>
            </w:r>
          </w:p>
        </w:tc>
        <w:tc>
          <w:tcPr>
            <w:tcW w:w="1885"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CO</w:t>
            </w:r>
            <w:r>
              <w:rPr>
                <w:rFonts w:hint="eastAsia"/>
                <w:color w:val="000000" w:themeColor="text1"/>
              </w:rPr>
              <w:t>、</w:t>
            </w:r>
            <w:r>
              <w:rPr>
                <w:color w:val="000000" w:themeColor="text1"/>
              </w:rPr>
              <w:t>CH</w:t>
            </w:r>
            <w:r>
              <w:rPr>
                <w:rFonts w:hint="eastAsia"/>
                <w:color w:val="000000" w:themeColor="text1"/>
              </w:rPr>
              <w:t>等</w:t>
            </w:r>
          </w:p>
        </w:tc>
        <w:tc>
          <w:tcPr>
            <w:tcW w:w="2696"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少量</w:t>
            </w:r>
          </w:p>
        </w:tc>
        <w:tc>
          <w:tcPr>
            <w:tcW w:w="262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8" w:type="dxa"/>
            <w:vMerge w:val="restart"/>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hint="eastAsia"/>
                <w:color w:val="000000" w:themeColor="text1"/>
              </w:rPr>
              <w:t>水</w:t>
            </w:r>
          </w:p>
          <w:p>
            <w:pPr>
              <w:pStyle w:val="55"/>
              <w:rPr>
                <w:color w:val="000000" w:themeColor="text1"/>
              </w:rPr>
            </w:pPr>
            <w:r>
              <w:rPr>
                <w:rFonts w:hint="eastAsia"/>
                <w:color w:val="000000" w:themeColor="text1"/>
              </w:rPr>
              <w:t>污</w:t>
            </w:r>
          </w:p>
          <w:p>
            <w:pPr>
              <w:pStyle w:val="55"/>
              <w:rPr>
                <w:color w:val="000000" w:themeColor="text1"/>
              </w:rPr>
            </w:pPr>
            <w:r>
              <w:rPr>
                <w:rFonts w:hint="eastAsia"/>
                <w:color w:val="000000" w:themeColor="text1"/>
              </w:rPr>
              <w:t>染</w:t>
            </w:r>
          </w:p>
          <w:p>
            <w:pPr>
              <w:pStyle w:val="55"/>
              <w:rPr>
                <w:color w:val="000000" w:themeColor="text1"/>
              </w:rPr>
            </w:pPr>
            <w:r>
              <w:rPr>
                <w:rFonts w:hint="eastAsia"/>
                <w:color w:val="000000" w:themeColor="text1"/>
              </w:rPr>
              <w:t>物</w:t>
            </w:r>
          </w:p>
        </w:tc>
        <w:tc>
          <w:tcPr>
            <w:tcW w:w="1017"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bCs/>
                <w:color w:val="000000" w:themeColor="text1"/>
              </w:rPr>
              <w:t>生产废水、生活污水</w:t>
            </w:r>
          </w:p>
        </w:tc>
        <w:tc>
          <w:tcPr>
            <w:tcW w:w="1885"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污水量</w:t>
            </w:r>
          </w:p>
        </w:tc>
        <w:tc>
          <w:tcPr>
            <w:tcW w:w="2696"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85182.08</w:t>
            </w:r>
            <w:r>
              <w:rPr>
                <w:color w:val="000000" w:themeColor="text1"/>
              </w:rPr>
              <w:t>t/a</w:t>
            </w:r>
          </w:p>
        </w:tc>
        <w:tc>
          <w:tcPr>
            <w:tcW w:w="262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85182.08</w:t>
            </w:r>
            <w:r>
              <w:rPr>
                <w:color w:val="000000" w:themeColor="text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01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885"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COD</w:t>
            </w:r>
          </w:p>
        </w:tc>
        <w:tc>
          <w:tcPr>
            <w:tcW w:w="14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14</w:t>
            </w:r>
            <w:r>
              <w:rPr>
                <w:rFonts w:hint="eastAsia"/>
                <w:color w:val="000000" w:themeColor="text1"/>
              </w:rPr>
              <w:t>96</w:t>
            </w:r>
            <w:r>
              <w:rPr>
                <w:color w:val="000000" w:themeColor="text1"/>
              </w:rPr>
              <w:t>mg/L</w:t>
            </w:r>
          </w:p>
        </w:tc>
        <w:tc>
          <w:tcPr>
            <w:tcW w:w="120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w:t>
            </w:r>
            <w:r>
              <w:rPr>
                <w:rFonts w:hint="eastAsia"/>
                <w:color w:val="000000" w:themeColor="text1"/>
              </w:rPr>
              <w:t>27.46</w:t>
            </w:r>
            <w:r>
              <w:rPr>
                <w:color w:val="000000" w:themeColor="text1"/>
              </w:rPr>
              <w:t>t/a</w:t>
            </w:r>
          </w:p>
        </w:tc>
        <w:tc>
          <w:tcPr>
            <w:tcW w:w="140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59.84</w:t>
            </w:r>
            <w:r>
              <w:rPr>
                <w:color w:val="000000" w:themeColor="text1"/>
              </w:rPr>
              <w:t>mg/L</w:t>
            </w:r>
          </w:p>
        </w:tc>
        <w:tc>
          <w:tcPr>
            <w:tcW w:w="122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5.</w:t>
            </w:r>
            <w:r>
              <w:rPr>
                <w:rFonts w:hint="eastAsia"/>
                <w:color w:val="000000" w:themeColor="text1"/>
              </w:rPr>
              <w:t>098</w:t>
            </w:r>
            <w:r>
              <w:rPr>
                <w:color w:val="000000" w:themeColor="text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01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885"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vertAlign w:val="subscript"/>
              </w:rPr>
            </w:pPr>
            <w:r>
              <w:rPr>
                <w:color w:val="000000" w:themeColor="text1"/>
              </w:rPr>
              <w:t>BOD</w:t>
            </w:r>
            <w:r>
              <w:rPr>
                <w:color w:val="000000" w:themeColor="text1"/>
                <w:vertAlign w:val="subscript"/>
              </w:rPr>
              <w:t>5</w:t>
            </w:r>
          </w:p>
        </w:tc>
        <w:tc>
          <w:tcPr>
            <w:tcW w:w="14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748</w:t>
            </w:r>
            <w:r>
              <w:rPr>
                <w:color w:val="000000" w:themeColor="text1"/>
              </w:rPr>
              <w:t>mg/L</w:t>
            </w:r>
          </w:p>
        </w:tc>
        <w:tc>
          <w:tcPr>
            <w:tcW w:w="120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63.72</w:t>
            </w:r>
            <w:r>
              <w:rPr>
                <w:color w:val="000000" w:themeColor="text1"/>
              </w:rPr>
              <w:t>t/a</w:t>
            </w:r>
          </w:p>
        </w:tc>
        <w:tc>
          <w:tcPr>
            <w:tcW w:w="140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26.4</w:t>
            </w:r>
            <w:r>
              <w:rPr>
                <w:color w:val="000000" w:themeColor="text1"/>
              </w:rPr>
              <w:t>mg/L</w:t>
            </w:r>
          </w:p>
        </w:tc>
        <w:tc>
          <w:tcPr>
            <w:tcW w:w="122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2.249</w:t>
            </w:r>
            <w:r>
              <w:rPr>
                <w:color w:val="000000" w:themeColor="text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01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885"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SS</w:t>
            </w:r>
          </w:p>
        </w:tc>
        <w:tc>
          <w:tcPr>
            <w:tcW w:w="14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7</w:t>
            </w:r>
            <w:r>
              <w:rPr>
                <w:rFonts w:hint="eastAsia"/>
                <w:color w:val="000000" w:themeColor="text1"/>
              </w:rPr>
              <w:t>98</w:t>
            </w:r>
            <w:r>
              <w:rPr>
                <w:color w:val="000000" w:themeColor="text1"/>
              </w:rPr>
              <w:t>mg/L</w:t>
            </w:r>
          </w:p>
        </w:tc>
        <w:tc>
          <w:tcPr>
            <w:tcW w:w="120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67.98</w:t>
            </w:r>
            <w:r>
              <w:rPr>
                <w:color w:val="000000" w:themeColor="text1"/>
              </w:rPr>
              <w:t>t/a</w:t>
            </w:r>
          </w:p>
        </w:tc>
        <w:tc>
          <w:tcPr>
            <w:tcW w:w="140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79.8</w:t>
            </w:r>
            <w:r>
              <w:rPr>
                <w:color w:val="000000" w:themeColor="text1"/>
              </w:rPr>
              <w:t>mg/L</w:t>
            </w:r>
          </w:p>
        </w:tc>
        <w:tc>
          <w:tcPr>
            <w:tcW w:w="122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6.798</w:t>
            </w:r>
            <w:r>
              <w:rPr>
                <w:color w:val="000000" w:themeColor="text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93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01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885"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氨氮</w:t>
            </w:r>
          </w:p>
        </w:tc>
        <w:tc>
          <w:tcPr>
            <w:tcW w:w="14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50</w:t>
            </w:r>
            <w:r>
              <w:rPr>
                <w:color w:val="000000" w:themeColor="text1"/>
              </w:rPr>
              <w:t>mg/L</w:t>
            </w:r>
          </w:p>
        </w:tc>
        <w:tc>
          <w:tcPr>
            <w:tcW w:w="120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4.</w:t>
            </w:r>
            <w:r>
              <w:rPr>
                <w:rFonts w:hint="eastAsia"/>
                <w:color w:val="000000" w:themeColor="text1"/>
              </w:rPr>
              <w:t>258</w:t>
            </w:r>
            <w:r>
              <w:rPr>
                <w:color w:val="000000" w:themeColor="text1"/>
              </w:rPr>
              <w:t>t/a</w:t>
            </w:r>
          </w:p>
        </w:tc>
        <w:tc>
          <w:tcPr>
            <w:tcW w:w="140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9.38</w:t>
            </w:r>
            <w:r>
              <w:rPr>
                <w:color w:val="000000" w:themeColor="text1"/>
              </w:rPr>
              <w:t>mg/L</w:t>
            </w:r>
          </w:p>
        </w:tc>
        <w:tc>
          <w:tcPr>
            <w:tcW w:w="122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w:t>
            </w:r>
            <w:r>
              <w:rPr>
                <w:rFonts w:hint="eastAsia"/>
                <w:color w:val="000000" w:themeColor="text1"/>
              </w:rPr>
              <w:t>.798</w:t>
            </w:r>
            <w:r>
              <w:rPr>
                <w:color w:val="000000" w:themeColor="text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93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01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885"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动植物油</w:t>
            </w:r>
          </w:p>
        </w:tc>
        <w:tc>
          <w:tcPr>
            <w:tcW w:w="14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49mg/L</w:t>
            </w:r>
          </w:p>
        </w:tc>
        <w:tc>
          <w:tcPr>
            <w:tcW w:w="120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4.</w:t>
            </w:r>
            <w:r>
              <w:rPr>
                <w:rFonts w:hint="eastAsia"/>
                <w:color w:val="000000" w:themeColor="text1"/>
              </w:rPr>
              <w:t>215</w:t>
            </w:r>
            <w:r>
              <w:rPr>
                <w:color w:val="000000" w:themeColor="text1"/>
              </w:rPr>
              <w:t>t/a</w:t>
            </w:r>
          </w:p>
        </w:tc>
        <w:tc>
          <w:tcPr>
            <w:tcW w:w="140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9.19</w:t>
            </w:r>
            <w:r>
              <w:rPr>
                <w:color w:val="000000" w:themeColor="text1"/>
              </w:rPr>
              <w:t>mg/L</w:t>
            </w:r>
          </w:p>
        </w:tc>
        <w:tc>
          <w:tcPr>
            <w:tcW w:w="122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0.79t/a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93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01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885"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大肠菌群</w:t>
            </w:r>
          </w:p>
        </w:tc>
        <w:tc>
          <w:tcPr>
            <w:tcW w:w="14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4.6</w:t>
            </w:r>
            <w:r>
              <w:rPr>
                <w:color w:val="000000" w:themeColor="text1"/>
              </w:rPr>
              <w:t>×10</w:t>
            </w:r>
            <w:r>
              <w:rPr>
                <w:color w:val="000000" w:themeColor="text1"/>
                <w:vertAlign w:val="superscript"/>
              </w:rPr>
              <w:t>5</w:t>
            </w:r>
            <w:r>
              <w:rPr>
                <w:rFonts w:hint="eastAsia"/>
                <w:color w:val="000000" w:themeColor="text1"/>
              </w:rPr>
              <w:t>个</w:t>
            </w:r>
            <w:r>
              <w:rPr>
                <w:color w:val="000000" w:themeColor="text1"/>
              </w:rPr>
              <w:t>/L</w:t>
            </w:r>
          </w:p>
        </w:tc>
        <w:tc>
          <w:tcPr>
            <w:tcW w:w="120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w:t>
            </w:r>
          </w:p>
        </w:tc>
        <w:tc>
          <w:tcPr>
            <w:tcW w:w="140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4</w:t>
            </w:r>
            <w:r>
              <w:rPr>
                <w:rFonts w:hint="eastAsia"/>
                <w:color w:val="000000" w:themeColor="text1"/>
              </w:rPr>
              <w:t>6</w:t>
            </w:r>
            <w:r>
              <w:rPr>
                <w:color w:val="000000" w:themeColor="text1"/>
              </w:rPr>
              <w:t>00</w:t>
            </w:r>
            <w:r>
              <w:rPr>
                <w:rFonts w:hint="eastAsia"/>
                <w:color w:val="000000" w:themeColor="text1"/>
              </w:rPr>
              <w:t>个</w:t>
            </w:r>
            <w:r>
              <w:rPr>
                <w:color w:val="000000" w:themeColor="text1"/>
              </w:rPr>
              <w:t>/L</w:t>
            </w:r>
          </w:p>
        </w:tc>
        <w:tc>
          <w:tcPr>
            <w:tcW w:w="122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噪声</w:t>
            </w:r>
          </w:p>
        </w:tc>
        <w:tc>
          <w:tcPr>
            <w:tcW w:w="10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机械噪声</w:t>
            </w:r>
          </w:p>
        </w:tc>
        <w:tc>
          <w:tcPr>
            <w:tcW w:w="1885"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屠宰设备、风机、泵类等</w:t>
            </w:r>
          </w:p>
        </w:tc>
        <w:tc>
          <w:tcPr>
            <w:tcW w:w="2696"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7</w:t>
            </w:r>
            <w:r>
              <w:rPr>
                <w:rFonts w:hint="eastAsia"/>
                <w:color w:val="000000" w:themeColor="text1"/>
              </w:rPr>
              <w:t>5</w:t>
            </w:r>
            <w:r>
              <w:rPr>
                <w:color w:val="000000" w:themeColor="text1"/>
              </w:rPr>
              <w:t>~</w:t>
            </w:r>
            <w:r>
              <w:rPr>
                <w:rFonts w:hint="eastAsia"/>
                <w:color w:val="000000" w:themeColor="text1"/>
              </w:rPr>
              <w:t>85</w:t>
            </w:r>
            <w:r>
              <w:rPr>
                <w:color w:val="000000" w:themeColor="text1"/>
              </w:rPr>
              <w:t>dB(A)</w:t>
            </w:r>
          </w:p>
        </w:tc>
        <w:tc>
          <w:tcPr>
            <w:tcW w:w="2624" w:type="dxa"/>
            <w:gridSpan w:val="2"/>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达到《工业企业厂界环境噪声排放标准》2类标准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0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猪叫、鸡鸣声</w:t>
            </w:r>
          </w:p>
        </w:tc>
        <w:tc>
          <w:tcPr>
            <w:tcW w:w="1885"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w:t>
            </w:r>
          </w:p>
        </w:tc>
        <w:tc>
          <w:tcPr>
            <w:tcW w:w="2696"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90</w:t>
            </w:r>
            <w:r>
              <w:rPr>
                <w:color w:val="000000" w:themeColor="text1"/>
              </w:rPr>
              <w:t>dB(A)</w:t>
            </w:r>
          </w:p>
        </w:tc>
        <w:tc>
          <w:tcPr>
            <w:tcW w:w="2624"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93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0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交通噪声</w:t>
            </w:r>
          </w:p>
        </w:tc>
        <w:tc>
          <w:tcPr>
            <w:tcW w:w="1885"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进出场车辆</w:t>
            </w:r>
          </w:p>
        </w:tc>
        <w:tc>
          <w:tcPr>
            <w:tcW w:w="2696"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7</w:t>
            </w:r>
            <w:r>
              <w:rPr>
                <w:rFonts w:hint="eastAsia"/>
                <w:color w:val="000000" w:themeColor="text1"/>
              </w:rPr>
              <w:t>5</w:t>
            </w:r>
            <w:r>
              <w:rPr>
                <w:color w:val="000000" w:themeColor="text1"/>
              </w:rPr>
              <w:t>dB(A)</w:t>
            </w:r>
          </w:p>
        </w:tc>
        <w:tc>
          <w:tcPr>
            <w:tcW w:w="2624"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93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0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人员活动噪声</w:t>
            </w:r>
          </w:p>
        </w:tc>
        <w:tc>
          <w:tcPr>
            <w:tcW w:w="1885"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w:t>
            </w:r>
          </w:p>
        </w:tc>
        <w:tc>
          <w:tcPr>
            <w:tcW w:w="2696"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60</w:t>
            </w:r>
            <w:r>
              <w:rPr>
                <w:color w:val="000000" w:themeColor="text1"/>
              </w:rPr>
              <w:t>dB(A)</w:t>
            </w:r>
          </w:p>
        </w:tc>
        <w:tc>
          <w:tcPr>
            <w:tcW w:w="2624"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固废</w:t>
            </w:r>
          </w:p>
        </w:tc>
        <w:tc>
          <w:tcPr>
            <w:tcW w:w="1017"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生猪待宰、屠宰间</w:t>
            </w:r>
          </w:p>
        </w:tc>
        <w:tc>
          <w:tcPr>
            <w:tcW w:w="1885"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病死猪、不合格</w:t>
            </w:r>
            <w:r>
              <w:rPr>
                <w:rFonts w:hint="eastAsia"/>
                <w:bCs/>
                <w:iCs/>
                <w:color w:val="000000" w:themeColor="text1"/>
                <w:szCs w:val="24"/>
              </w:rPr>
              <w:t>产品（内脏、胴体）、碎肉等</w:t>
            </w:r>
          </w:p>
        </w:tc>
        <w:tc>
          <w:tcPr>
            <w:tcW w:w="2696"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93.3</w:t>
            </w:r>
            <w:r>
              <w:rPr>
                <w:color w:val="000000" w:themeColor="text1"/>
              </w:rPr>
              <w:t>t/a</w:t>
            </w:r>
          </w:p>
        </w:tc>
        <w:tc>
          <w:tcPr>
            <w:tcW w:w="262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bCs/>
                <w:iCs/>
                <w:color w:val="000000" w:themeColor="text1"/>
                <w:szCs w:val="24"/>
              </w:rPr>
              <w:t>焚烧炉进行无害化处置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01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885"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猪粪</w:t>
            </w:r>
          </w:p>
        </w:tc>
        <w:tc>
          <w:tcPr>
            <w:tcW w:w="2696"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75</w:t>
            </w:r>
            <w:r>
              <w:rPr>
                <w:color w:val="000000" w:themeColor="text1"/>
              </w:rPr>
              <w:t>t/a</w:t>
            </w:r>
          </w:p>
        </w:tc>
        <w:tc>
          <w:tcPr>
            <w:tcW w:w="2624" w:type="dxa"/>
            <w:gridSpan w:val="2"/>
            <w:vMerge w:val="restart"/>
            <w:tcBorders>
              <w:top w:val="single" w:color="auto" w:sz="4" w:space="0"/>
              <w:left w:val="single" w:color="auto" w:sz="4" w:space="0"/>
              <w:right w:val="single" w:color="auto" w:sz="4" w:space="0"/>
            </w:tcBorders>
            <w:vAlign w:val="center"/>
          </w:tcPr>
          <w:p>
            <w:pPr>
              <w:pStyle w:val="55"/>
              <w:rPr>
                <w:color w:val="000000" w:themeColor="text1"/>
              </w:rPr>
            </w:pPr>
            <w:r>
              <w:rPr>
                <w:rFonts w:hint="eastAsia"/>
                <w:bCs/>
                <w:iCs/>
                <w:color w:val="000000" w:themeColor="text1"/>
                <w:szCs w:val="24"/>
              </w:rPr>
              <w:t>农户运走堆肥腐熟后</w:t>
            </w:r>
            <w:r>
              <w:rPr>
                <w:rFonts w:hint="eastAsia"/>
                <w:color w:val="000000" w:themeColor="text1"/>
              </w:rPr>
              <w:t>用作农肥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01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885"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其他生产固废</w:t>
            </w:r>
          </w:p>
        </w:tc>
        <w:tc>
          <w:tcPr>
            <w:tcW w:w="2696"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18.2</w:t>
            </w:r>
            <w:r>
              <w:rPr>
                <w:color w:val="000000" w:themeColor="text1"/>
              </w:rPr>
              <w:t>t/a</w:t>
            </w:r>
          </w:p>
        </w:tc>
        <w:tc>
          <w:tcPr>
            <w:tcW w:w="2624" w:type="dxa"/>
            <w:gridSpan w:val="2"/>
            <w:vMerge w:val="continue"/>
            <w:tcBorders>
              <w:left w:val="single" w:color="auto" w:sz="4" w:space="0"/>
              <w:bottom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017"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color w:val="000000" w:themeColor="text1"/>
              </w:rPr>
              <w:t>宰鸡场</w:t>
            </w:r>
          </w:p>
        </w:tc>
        <w:tc>
          <w:tcPr>
            <w:tcW w:w="1885"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病死鸡、不合格</w:t>
            </w:r>
            <w:r>
              <w:rPr>
                <w:rFonts w:hint="eastAsia"/>
                <w:bCs/>
                <w:iCs/>
                <w:color w:val="000000" w:themeColor="text1"/>
                <w:szCs w:val="24"/>
              </w:rPr>
              <w:t>产品（内脏、胴体）等</w:t>
            </w:r>
          </w:p>
        </w:tc>
        <w:tc>
          <w:tcPr>
            <w:tcW w:w="2696"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48.15</w:t>
            </w:r>
            <w:r>
              <w:rPr>
                <w:color w:val="000000" w:themeColor="text1"/>
              </w:rPr>
              <w:t>t/a</w:t>
            </w:r>
          </w:p>
        </w:tc>
        <w:tc>
          <w:tcPr>
            <w:tcW w:w="262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bCs/>
                <w:iCs/>
                <w:color w:val="000000" w:themeColor="text1"/>
                <w:szCs w:val="24"/>
              </w:rPr>
              <w:t>焚烧炉进行无害化处置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017" w:type="dxa"/>
            <w:vMerge w:val="continue"/>
            <w:tcBorders>
              <w:left w:val="single" w:color="auto" w:sz="4" w:space="0"/>
              <w:right w:val="single" w:color="auto" w:sz="4" w:space="0"/>
            </w:tcBorders>
            <w:vAlign w:val="center"/>
          </w:tcPr>
          <w:p>
            <w:pPr>
              <w:pStyle w:val="55"/>
              <w:rPr>
                <w:color w:val="000000" w:themeColor="text1"/>
              </w:rPr>
            </w:pPr>
          </w:p>
        </w:tc>
        <w:tc>
          <w:tcPr>
            <w:tcW w:w="1885"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鸡粪</w:t>
            </w:r>
          </w:p>
        </w:tc>
        <w:tc>
          <w:tcPr>
            <w:tcW w:w="2696"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64</w:t>
            </w:r>
            <w:r>
              <w:rPr>
                <w:color w:val="000000" w:themeColor="text1"/>
              </w:rPr>
              <w:t>t/a</w:t>
            </w:r>
          </w:p>
        </w:tc>
        <w:tc>
          <w:tcPr>
            <w:tcW w:w="2624" w:type="dxa"/>
            <w:gridSpan w:val="2"/>
            <w:vMerge w:val="restart"/>
            <w:tcBorders>
              <w:top w:val="single" w:color="auto" w:sz="4" w:space="0"/>
              <w:left w:val="single" w:color="auto" w:sz="4" w:space="0"/>
              <w:right w:val="single" w:color="auto" w:sz="4" w:space="0"/>
            </w:tcBorders>
            <w:vAlign w:val="center"/>
          </w:tcPr>
          <w:p>
            <w:pPr>
              <w:pStyle w:val="55"/>
              <w:rPr>
                <w:color w:val="000000" w:themeColor="text1"/>
              </w:rPr>
            </w:pPr>
            <w:r>
              <w:rPr>
                <w:rFonts w:hint="eastAsia"/>
                <w:bCs/>
                <w:iCs/>
                <w:color w:val="000000" w:themeColor="text1"/>
                <w:szCs w:val="24"/>
              </w:rPr>
              <w:t>农户运走堆肥腐熟后</w:t>
            </w:r>
            <w:r>
              <w:rPr>
                <w:rFonts w:hint="eastAsia"/>
                <w:color w:val="000000" w:themeColor="text1"/>
              </w:rPr>
              <w:t>用作农肥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017"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1885"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其他生产固废</w:t>
            </w:r>
          </w:p>
        </w:tc>
        <w:tc>
          <w:tcPr>
            <w:tcW w:w="2696"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6</w:t>
            </w:r>
            <w:r>
              <w:rPr>
                <w:color w:val="000000" w:themeColor="text1"/>
              </w:rPr>
              <w:t>t/a</w:t>
            </w:r>
          </w:p>
        </w:tc>
        <w:tc>
          <w:tcPr>
            <w:tcW w:w="2624" w:type="dxa"/>
            <w:gridSpan w:val="2"/>
            <w:vMerge w:val="continue"/>
            <w:tcBorders>
              <w:left w:val="single" w:color="auto" w:sz="4" w:space="0"/>
              <w:bottom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3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017"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污水处理系统</w:t>
            </w:r>
          </w:p>
        </w:tc>
        <w:tc>
          <w:tcPr>
            <w:tcW w:w="1885"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栅渣</w:t>
            </w:r>
          </w:p>
        </w:tc>
        <w:tc>
          <w:tcPr>
            <w:tcW w:w="2696"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0.2</w:t>
            </w:r>
            <w:r>
              <w:rPr>
                <w:color w:val="000000" w:themeColor="text1"/>
              </w:rPr>
              <w:t>t/a</w:t>
            </w:r>
          </w:p>
        </w:tc>
        <w:tc>
          <w:tcPr>
            <w:tcW w:w="262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按环卫部门要求清运处置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017"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1885"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污泥</w:t>
            </w:r>
          </w:p>
        </w:tc>
        <w:tc>
          <w:tcPr>
            <w:tcW w:w="2696"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24.59</w:t>
            </w:r>
            <w:r>
              <w:rPr>
                <w:color w:val="000000" w:themeColor="text1"/>
              </w:rPr>
              <w:t>t/a</w:t>
            </w:r>
          </w:p>
        </w:tc>
        <w:tc>
          <w:tcPr>
            <w:tcW w:w="262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bCs/>
                <w:iCs/>
                <w:color w:val="000000" w:themeColor="text1"/>
                <w:szCs w:val="24"/>
              </w:rPr>
              <w:t>消毒脱水以后定期由环卫部门清运处置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017" w:type="dxa"/>
            <w:tcBorders>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产品检疫</w:t>
            </w:r>
          </w:p>
        </w:tc>
        <w:tc>
          <w:tcPr>
            <w:tcW w:w="1885"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检疫试纸</w:t>
            </w:r>
          </w:p>
        </w:tc>
        <w:tc>
          <w:tcPr>
            <w:tcW w:w="2696"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1t/a</w:t>
            </w:r>
          </w:p>
        </w:tc>
        <w:tc>
          <w:tcPr>
            <w:tcW w:w="2624" w:type="dxa"/>
            <w:gridSpan w:val="2"/>
            <w:tcBorders>
              <w:top w:val="single" w:color="auto" w:sz="4" w:space="0"/>
              <w:left w:val="single" w:color="auto" w:sz="4" w:space="0"/>
              <w:bottom w:val="single" w:color="auto" w:sz="4" w:space="0"/>
              <w:right w:val="single" w:color="auto" w:sz="4" w:space="0"/>
            </w:tcBorders>
            <w:vAlign w:val="center"/>
          </w:tcPr>
          <w:p>
            <w:pPr>
              <w:pStyle w:val="55"/>
              <w:rPr>
                <w:bCs/>
                <w:iCs/>
                <w:color w:val="000000" w:themeColor="text1"/>
                <w:szCs w:val="24"/>
              </w:rPr>
            </w:pPr>
            <w:r>
              <w:rPr>
                <w:rFonts w:hint="eastAsia"/>
                <w:bCs/>
                <w:iCs/>
                <w:color w:val="000000" w:themeColor="text1"/>
                <w:szCs w:val="24"/>
              </w:rPr>
              <w:t>由动物卫生监督所的检疫人员带走进行处置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0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焚烧炉</w:t>
            </w:r>
          </w:p>
        </w:tc>
        <w:tc>
          <w:tcPr>
            <w:tcW w:w="1885"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残渣</w:t>
            </w:r>
          </w:p>
        </w:tc>
        <w:tc>
          <w:tcPr>
            <w:tcW w:w="2696"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4.24t</w:t>
            </w:r>
            <w:r>
              <w:rPr>
                <w:color w:val="000000" w:themeColor="text1"/>
              </w:rPr>
              <w:t>/a</w:t>
            </w:r>
          </w:p>
        </w:tc>
        <w:tc>
          <w:tcPr>
            <w:tcW w:w="2624" w:type="dxa"/>
            <w:gridSpan w:val="2"/>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bCs/>
                <w:iCs/>
                <w:color w:val="000000" w:themeColor="text1"/>
                <w:szCs w:val="24"/>
              </w:rPr>
              <w:t>定期收集后送至砚山县垃圾填埋场填埋处置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0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生活区</w:t>
            </w:r>
          </w:p>
        </w:tc>
        <w:tc>
          <w:tcPr>
            <w:tcW w:w="1885"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生活垃圾</w:t>
            </w:r>
          </w:p>
        </w:tc>
        <w:tc>
          <w:tcPr>
            <w:tcW w:w="2696"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7.28</w:t>
            </w:r>
            <w:r>
              <w:rPr>
                <w:color w:val="000000" w:themeColor="text1"/>
              </w:rPr>
              <w:t>t/a</w:t>
            </w:r>
          </w:p>
        </w:tc>
        <w:tc>
          <w:tcPr>
            <w:tcW w:w="2624"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r>
    </w:tbl>
    <w:p>
      <w:pPr>
        <w:pStyle w:val="3"/>
        <w:rPr>
          <w:color w:val="000000" w:themeColor="text1"/>
        </w:rPr>
      </w:pPr>
      <w:bookmarkStart w:id="59" w:name="_Toc47375817"/>
      <w:r>
        <w:rPr>
          <w:rFonts w:hint="eastAsia"/>
          <w:color w:val="000000" w:themeColor="text1"/>
        </w:rPr>
        <w:t>2.8项目施工期工艺流程及产污环节分析</w:t>
      </w:r>
      <w:bookmarkEnd w:id="59"/>
    </w:p>
    <w:p>
      <w:pPr>
        <w:pStyle w:val="38"/>
        <w:ind w:firstLine="281"/>
        <w:rPr>
          <w:color w:val="000000" w:themeColor="text1"/>
        </w:rPr>
      </w:pPr>
      <w:bookmarkStart w:id="60" w:name="_Toc47375818"/>
      <w:r>
        <w:rPr>
          <w:rFonts w:hint="eastAsia"/>
          <w:color w:val="000000" w:themeColor="text1"/>
        </w:rPr>
        <w:t>2.8.1施工期工艺流程</w:t>
      </w:r>
      <w:bookmarkEnd w:id="60"/>
    </w:p>
    <w:p>
      <w:pPr>
        <w:spacing w:line="520" w:lineRule="exact"/>
        <w:ind w:firstLine="480"/>
        <w:rPr>
          <w:rFonts w:ascii="Calibri" w:hAnsi="Calibri"/>
          <w:color w:val="000000" w:themeColor="text1"/>
        </w:rPr>
      </w:pPr>
      <w:r>
        <w:rPr>
          <w:rFonts w:hint="eastAsia" w:ascii="Calibri" w:hAnsi="Calibri"/>
          <w:color w:val="000000" w:themeColor="text1"/>
        </w:rPr>
        <w:t>本项目施工期施工工序主要包括基础施工、主体施工及装修工程等，其基本工艺流程及产污环节见图2.8-1。</w:t>
      </w:r>
    </w:p>
    <w:p>
      <w:pPr>
        <w:ind w:firstLine="0" w:firstLineChars="0"/>
        <w:jc w:val="center"/>
        <w:rPr>
          <w:rFonts w:ascii="Calibri" w:hAnsi="Calibri"/>
          <w:color w:val="000000" w:themeColor="text1"/>
        </w:rPr>
      </w:pPr>
      <w:r>
        <w:rPr>
          <w:rFonts w:hint="eastAsia" w:ascii="Calibri" w:hAnsi="Calibri"/>
          <w:color w:val="000000" w:themeColor="text1"/>
        </w:rPr>
        <w:drawing>
          <wp:inline distT="0" distB="0" distL="0" distR="0">
            <wp:extent cx="5612765" cy="1457325"/>
            <wp:effectExtent l="19050" t="0" r="6883" b="0"/>
            <wp:docPr id="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pic:cNvPicPr>
                      <a:picLocks noChangeAspect="1" noChangeArrowheads="1"/>
                    </pic:cNvPicPr>
                  </pic:nvPicPr>
                  <pic:blipFill>
                    <a:blip r:embed="rId23"/>
                    <a:srcRect/>
                    <a:stretch>
                      <a:fillRect/>
                    </a:stretch>
                  </pic:blipFill>
                  <pic:spPr>
                    <a:xfrm>
                      <a:off x="0" y="0"/>
                      <a:ext cx="5612867" cy="1457325"/>
                    </a:xfrm>
                    <a:prstGeom prst="rect">
                      <a:avLst/>
                    </a:prstGeom>
                    <a:noFill/>
                    <a:ln w="9525">
                      <a:noFill/>
                      <a:miter lim="800000"/>
                      <a:headEnd/>
                      <a:tailEnd/>
                    </a:ln>
                  </pic:spPr>
                </pic:pic>
              </a:graphicData>
            </a:graphic>
          </wp:inline>
        </w:drawing>
      </w:r>
    </w:p>
    <w:p>
      <w:pPr>
        <w:pStyle w:val="54"/>
        <w:rPr>
          <w:color w:val="000000" w:themeColor="text1"/>
        </w:rPr>
      </w:pPr>
      <w:r>
        <w:rPr>
          <w:rFonts w:hint="eastAsia"/>
          <w:color w:val="000000" w:themeColor="text1"/>
        </w:rPr>
        <w:t>图2.8-1 施工期工艺流程图</w:t>
      </w:r>
    </w:p>
    <w:p>
      <w:pPr>
        <w:spacing w:line="520" w:lineRule="exact"/>
        <w:ind w:firstLine="480"/>
        <w:rPr>
          <w:rFonts w:ascii="Calibri" w:hAnsi="Calibri"/>
          <w:color w:val="000000" w:themeColor="text1"/>
        </w:rPr>
      </w:pPr>
      <w:r>
        <w:rPr>
          <w:rFonts w:hint="eastAsia" w:ascii="Calibri" w:hAnsi="Calibri"/>
          <w:color w:val="000000" w:themeColor="text1"/>
        </w:rPr>
        <w:t>施工期工艺流程(含产污环节)简述：</w:t>
      </w:r>
    </w:p>
    <w:p>
      <w:pPr>
        <w:spacing w:line="520" w:lineRule="exact"/>
        <w:ind w:firstLine="480"/>
        <w:rPr>
          <w:rFonts w:ascii="Calibri" w:hAnsi="Calibri"/>
          <w:color w:val="000000" w:themeColor="text1"/>
        </w:rPr>
      </w:pPr>
      <w:r>
        <w:rPr>
          <w:rFonts w:hint="eastAsia" w:ascii="Calibri" w:hAnsi="Calibri"/>
          <w:color w:val="000000" w:themeColor="text1"/>
        </w:rPr>
        <w:t>基础施工及主体施工：建设过程中土方的挖掘、堆放、清运、回填和场地平整；建筑材料如水泥、白灰、砂子以及土方等在其装卸、运输、堆放，搅拌车辆及运输车辆往来，施工垃圾及清运等过程均会产生扬尘污染、机械尾气；各种施工机械设备运行产生的冷却水及洗涤用水和施工现场清洗、建材清洗、混凝土养护、设备水压试验废水等；以及基础阶段将会产生推土机、挖掘机、运输车辆噪声、振捣机噪声；结构阶段将会产生振捣机、升降机噪声。</w:t>
      </w:r>
    </w:p>
    <w:p>
      <w:pPr>
        <w:spacing w:line="520" w:lineRule="exact"/>
        <w:ind w:firstLine="480"/>
        <w:rPr>
          <w:rFonts w:ascii="Calibri" w:hAnsi="Calibri"/>
          <w:color w:val="000000" w:themeColor="text1"/>
        </w:rPr>
      </w:pPr>
      <w:r>
        <w:rPr>
          <w:rFonts w:hint="eastAsia" w:ascii="Calibri" w:hAnsi="Calibri"/>
          <w:color w:val="000000" w:themeColor="text1"/>
        </w:rPr>
        <w:t>装修阶段：土建后进行室内外装修，墙面刷涂料过程中会产生有机废气，产生升降机、切割机、电钻、电锯噪声；产生装修垃圾。</w:t>
      </w:r>
    </w:p>
    <w:p>
      <w:pPr>
        <w:pStyle w:val="38"/>
        <w:ind w:firstLine="281"/>
        <w:rPr>
          <w:color w:val="000000" w:themeColor="text1"/>
        </w:rPr>
      </w:pPr>
      <w:bookmarkStart w:id="61" w:name="_Toc47375819"/>
      <w:r>
        <w:rPr>
          <w:rFonts w:hint="eastAsia"/>
          <w:color w:val="000000" w:themeColor="text1"/>
        </w:rPr>
        <w:t>2.8.2施工期产污节点及污染因子排放汇总</w:t>
      </w:r>
      <w:bookmarkEnd w:id="61"/>
    </w:p>
    <w:p>
      <w:pPr>
        <w:ind w:firstLine="480"/>
        <w:rPr>
          <w:color w:val="000000" w:themeColor="text1"/>
        </w:rPr>
      </w:pPr>
      <w:r>
        <w:rPr>
          <w:rFonts w:hint="eastAsia"/>
          <w:color w:val="000000" w:themeColor="text1"/>
        </w:rPr>
        <w:t>施工期产污节点及污染因子识别见表2.8.2-1。</w:t>
      </w:r>
    </w:p>
    <w:p>
      <w:pPr>
        <w:pStyle w:val="54"/>
        <w:rPr>
          <w:color w:val="000000" w:themeColor="text1"/>
        </w:rPr>
      </w:pPr>
      <w:r>
        <w:rPr>
          <w:rFonts w:hint="eastAsia"/>
          <w:color w:val="000000" w:themeColor="text1"/>
        </w:rPr>
        <w:t>表2.8.2-1  施工期污染源与污染因子识别表</w:t>
      </w:r>
    </w:p>
    <w:tbl>
      <w:tblPr>
        <w:tblStyle w:val="43"/>
        <w:tblW w:w="720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16"/>
        <w:gridCol w:w="1473"/>
        <w:gridCol w:w="1840"/>
        <w:gridCol w:w="307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16" w:type="dxa"/>
            <w:vAlign w:val="center"/>
          </w:tcPr>
          <w:p>
            <w:pPr>
              <w:pStyle w:val="55"/>
              <w:rPr>
                <w:color w:val="000000" w:themeColor="text1"/>
              </w:rPr>
            </w:pPr>
            <w:r>
              <w:rPr>
                <w:color w:val="000000" w:themeColor="text1"/>
              </w:rPr>
              <w:t>类别</w:t>
            </w:r>
          </w:p>
        </w:tc>
        <w:tc>
          <w:tcPr>
            <w:tcW w:w="3313" w:type="dxa"/>
            <w:gridSpan w:val="2"/>
            <w:vAlign w:val="center"/>
          </w:tcPr>
          <w:p>
            <w:pPr>
              <w:pStyle w:val="55"/>
              <w:rPr>
                <w:color w:val="000000" w:themeColor="text1"/>
              </w:rPr>
            </w:pPr>
            <w:r>
              <w:rPr>
                <w:color w:val="000000" w:themeColor="text1"/>
              </w:rPr>
              <w:t>污染来源</w:t>
            </w:r>
          </w:p>
        </w:tc>
        <w:tc>
          <w:tcPr>
            <w:tcW w:w="3079" w:type="dxa"/>
            <w:vAlign w:val="center"/>
          </w:tcPr>
          <w:p>
            <w:pPr>
              <w:pStyle w:val="55"/>
              <w:rPr>
                <w:color w:val="000000" w:themeColor="text1"/>
              </w:rPr>
            </w:pPr>
            <w:r>
              <w:rPr>
                <w:color w:val="000000" w:themeColor="text1"/>
              </w:rPr>
              <w:t>污染因子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16" w:type="dxa"/>
            <w:vMerge w:val="restart"/>
            <w:vAlign w:val="center"/>
          </w:tcPr>
          <w:p>
            <w:pPr>
              <w:pStyle w:val="55"/>
              <w:rPr>
                <w:color w:val="000000" w:themeColor="text1"/>
              </w:rPr>
            </w:pPr>
            <w:r>
              <w:rPr>
                <w:color w:val="000000" w:themeColor="text1"/>
              </w:rPr>
              <w:t>废气</w:t>
            </w:r>
          </w:p>
        </w:tc>
        <w:tc>
          <w:tcPr>
            <w:tcW w:w="1473" w:type="dxa"/>
            <w:vMerge w:val="restart"/>
            <w:vAlign w:val="center"/>
          </w:tcPr>
          <w:p>
            <w:pPr>
              <w:pStyle w:val="55"/>
              <w:rPr>
                <w:color w:val="000000" w:themeColor="text1"/>
              </w:rPr>
            </w:pPr>
            <w:r>
              <w:rPr>
                <w:color w:val="000000" w:themeColor="text1"/>
              </w:rPr>
              <w:t>施工过程</w:t>
            </w:r>
          </w:p>
        </w:tc>
        <w:tc>
          <w:tcPr>
            <w:tcW w:w="1840" w:type="dxa"/>
            <w:vAlign w:val="center"/>
          </w:tcPr>
          <w:p>
            <w:pPr>
              <w:pStyle w:val="55"/>
              <w:rPr>
                <w:color w:val="000000" w:themeColor="text1"/>
              </w:rPr>
            </w:pPr>
            <w:r>
              <w:rPr>
                <w:color w:val="000000" w:themeColor="text1"/>
              </w:rPr>
              <w:t>扬尘</w:t>
            </w:r>
          </w:p>
        </w:tc>
        <w:tc>
          <w:tcPr>
            <w:tcW w:w="3079" w:type="dxa"/>
            <w:vAlign w:val="center"/>
          </w:tcPr>
          <w:p>
            <w:pPr>
              <w:pStyle w:val="55"/>
              <w:rPr>
                <w:color w:val="000000" w:themeColor="text1"/>
              </w:rPr>
            </w:pPr>
            <w:r>
              <w:rPr>
                <w:rFonts w:hint="eastAsia"/>
                <w:color w:val="000000" w:themeColor="text1"/>
              </w:rPr>
              <w:t>TSP</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16" w:type="dxa"/>
            <w:vMerge w:val="continue"/>
            <w:vAlign w:val="center"/>
          </w:tcPr>
          <w:p>
            <w:pPr>
              <w:pStyle w:val="55"/>
              <w:rPr>
                <w:color w:val="000000" w:themeColor="text1"/>
              </w:rPr>
            </w:pPr>
          </w:p>
        </w:tc>
        <w:tc>
          <w:tcPr>
            <w:tcW w:w="1473" w:type="dxa"/>
            <w:vMerge w:val="continue"/>
            <w:vAlign w:val="center"/>
          </w:tcPr>
          <w:p>
            <w:pPr>
              <w:pStyle w:val="55"/>
              <w:rPr>
                <w:color w:val="000000" w:themeColor="text1"/>
              </w:rPr>
            </w:pPr>
          </w:p>
        </w:tc>
        <w:tc>
          <w:tcPr>
            <w:tcW w:w="1840" w:type="dxa"/>
            <w:vAlign w:val="center"/>
          </w:tcPr>
          <w:p>
            <w:pPr>
              <w:pStyle w:val="55"/>
              <w:rPr>
                <w:color w:val="000000" w:themeColor="text1"/>
              </w:rPr>
            </w:pPr>
            <w:r>
              <w:rPr>
                <w:color w:val="000000" w:themeColor="text1"/>
              </w:rPr>
              <w:t>机械尾气</w:t>
            </w:r>
          </w:p>
        </w:tc>
        <w:tc>
          <w:tcPr>
            <w:tcW w:w="3079" w:type="dxa"/>
            <w:vAlign w:val="center"/>
          </w:tcPr>
          <w:p>
            <w:pPr>
              <w:pStyle w:val="55"/>
              <w:rPr>
                <w:color w:val="000000" w:themeColor="text1"/>
              </w:rPr>
            </w:pPr>
            <w:r>
              <w:rPr>
                <w:rFonts w:hint="eastAsia"/>
                <w:color w:val="000000" w:themeColor="text1"/>
              </w:rPr>
              <w:t>CO、NO</w:t>
            </w:r>
            <w:r>
              <w:rPr>
                <w:rFonts w:hint="eastAsia"/>
                <w:color w:val="000000" w:themeColor="text1"/>
                <w:vertAlign w:val="subscript"/>
              </w:rPr>
              <w:t>2</w:t>
            </w:r>
            <w:r>
              <w:rPr>
                <w:rFonts w:hint="eastAsia"/>
                <w:color w:val="000000" w:themeColor="text1"/>
              </w:rPr>
              <w:t>、SO</w:t>
            </w:r>
            <w:r>
              <w:rPr>
                <w:rFonts w:hint="eastAsia"/>
                <w:color w:val="000000" w:themeColor="text1"/>
                <w:vertAlign w:val="subscript"/>
              </w:rPr>
              <w:t>2</w:t>
            </w:r>
            <w:r>
              <w:rPr>
                <w:rFonts w:hint="eastAsia"/>
                <w:color w:val="000000" w:themeColor="text1"/>
              </w:rPr>
              <w:t>、CnHm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16" w:type="dxa"/>
            <w:vMerge w:val="continue"/>
            <w:vAlign w:val="center"/>
          </w:tcPr>
          <w:p>
            <w:pPr>
              <w:pStyle w:val="55"/>
              <w:rPr>
                <w:color w:val="000000" w:themeColor="text1"/>
              </w:rPr>
            </w:pPr>
          </w:p>
        </w:tc>
        <w:tc>
          <w:tcPr>
            <w:tcW w:w="1473" w:type="dxa"/>
            <w:vMerge w:val="continue"/>
            <w:vAlign w:val="center"/>
          </w:tcPr>
          <w:p>
            <w:pPr>
              <w:pStyle w:val="55"/>
              <w:rPr>
                <w:color w:val="000000" w:themeColor="text1"/>
              </w:rPr>
            </w:pPr>
          </w:p>
        </w:tc>
        <w:tc>
          <w:tcPr>
            <w:tcW w:w="1840" w:type="dxa"/>
            <w:vAlign w:val="center"/>
          </w:tcPr>
          <w:p>
            <w:pPr>
              <w:pStyle w:val="55"/>
              <w:rPr>
                <w:color w:val="000000" w:themeColor="text1"/>
              </w:rPr>
            </w:pPr>
            <w:r>
              <w:rPr>
                <w:color w:val="000000" w:themeColor="text1"/>
              </w:rPr>
              <w:t>室内环境</w:t>
            </w:r>
          </w:p>
        </w:tc>
        <w:tc>
          <w:tcPr>
            <w:tcW w:w="3079" w:type="dxa"/>
            <w:vAlign w:val="center"/>
          </w:tcPr>
          <w:p>
            <w:pPr>
              <w:pStyle w:val="55"/>
              <w:rPr>
                <w:color w:val="000000" w:themeColor="text1"/>
              </w:rPr>
            </w:pPr>
            <w:r>
              <w:rPr>
                <w:color w:val="000000" w:themeColor="text1"/>
              </w:rPr>
              <w:t>甲醛</w:t>
            </w:r>
            <w:r>
              <w:rPr>
                <w:rFonts w:hint="eastAsia"/>
                <w:color w:val="000000" w:themeColor="text1"/>
              </w:rPr>
              <w:t>、TVOC、苯等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16" w:type="dxa"/>
            <w:vMerge w:val="restart"/>
            <w:vAlign w:val="center"/>
          </w:tcPr>
          <w:p>
            <w:pPr>
              <w:pStyle w:val="55"/>
              <w:rPr>
                <w:color w:val="000000" w:themeColor="text1"/>
              </w:rPr>
            </w:pPr>
            <w:r>
              <w:rPr>
                <w:color w:val="000000" w:themeColor="text1"/>
              </w:rPr>
              <w:t>废水</w:t>
            </w:r>
          </w:p>
        </w:tc>
        <w:tc>
          <w:tcPr>
            <w:tcW w:w="1473" w:type="dxa"/>
            <w:vAlign w:val="center"/>
          </w:tcPr>
          <w:p>
            <w:pPr>
              <w:pStyle w:val="55"/>
              <w:rPr>
                <w:color w:val="000000" w:themeColor="text1"/>
              </w:rPr>
            </w:pPr>
            <w:r>
              <w:rPr>
                <w:color w:val="000000" w:themeColor="text1"/>
              </w:rPr>
              <w:t>施工过程</w:t>
            </w:r>
          </w:p>
        </w:tc>
        <w:tc>
          <w:tcPr>
            <w:tcW w:w="1840" w:type="dxa"/>
            <w:vAlign w:val="center"/>
          </w:tcPr>
          <w:p>
            <w:pPr>
              <w:pStyle w:val="55"/>
              <w:rPr>
                <w:color w:val="000000" w:themeColor="text1"/>
              </w:rPr>
            </w:pPr>
            <w:r>
              <w:rPr>
                <w:color w:val="000000" w:themeColor="text1"/>
              </w:rPr>
              <w:t>工程废水</w:t>
            </w:r>
          </w:p>
        </w:tc>
        <w:tc>
          <w:tcPr>
            <w:tcW w:w="3079" w:type="dxa"/>
            <w:vAlign w:val="center"/>
          </w:tcPr>
          <w:p>
            <w:pPr>
              <w:pStyle w:val="55"/>
              <w:rPr>
                <w:color w:val="000000" w:themeColor="text1"/>
              </w:rPr>
            </w:pPr>
            <w:r>
              <w:rPr>
                <w:rFonts w:hint="eastAsia"/>
                <w:color w:val="000000" w:themeColor="text1"/>
              </w:rPr>
              <w:t>COD、SS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16" w:type="dxa"/>
            <w:vMerge w:val="continue"/>
            <w:vAlign w:val="center"/>
          </w:tcPr>
          <w:p>
            <w:pPr>
              <w:pStyle w:val="55"/>
              <w:rPr>
                <w:color w:val="000000" w:themeColor="text1"/>
              </w:rPr>
            </w:pPr>
          </w:p>
        </w:tc>
        <w:tc>
          <w:tcPr>
            <w:tcW w:w="1473" w:type="dxa"/>
            <w:vAlign w:val="center"/>
          </w:tcPr>
          <w:p>
            <w:pPr>
              <w:pStyle w:val="55"/>
              <w:rPr>
                <w:color w:val="000000" w:themeColor="text1"/>
              </w:rPr>
            </w:pPr>
            <w:r>
              <w:rPr>
                <w:color w:val="000000" w:themeColor="text1"/>
              </w:rPr>
              <w:t>员工生活</w:t>
            </w:r>
          </w:p>
        </w:tc>
        <w:tc>
          <w:tcPr>
            <w:tcW w:w="1840" w:type="dxa"/>
            <w:vAlign w:val="center"/>
          </w:tcPr>
          <w:p>
            <w:pPr>
              <w:pStyle w:val="55"/>
              <w:rPr>
                <w:color w:val="000000" w:themeColor="text1"/>
              </w:rPr>
            </w:pPr>
            <w:r>
              <w:rPr>
                <w:color w:val="000000" w:themeColor="text1"/>
              </w:rPr>
              <w:t>生活废水</w:t>
            </w:r>
          </w:p>
        </w:tc>
        <w:tc>
          <w:tcPr>
            <w:tcW w:w="3079" w:type="dxa"/>
            <w:vAlign w:val="center"/>
          </w:tcPr>
          <w:p>
            <w:pPr>
              <w:pStyle w:val="55"/>
              <w:rPr>
                <w:color w:val="000000" w:themeColor="text1"/>
              </w:rPr>
            </w:pPr>
            <w:r>
              <w:rPr>
                <w:rFonts w:hint="eastAsia"/>
                <w:color w:val="000000" w:themeColor="text1"/>
              </w:rPr>
              <w:t>COD、BOD</w:t>
            </w:r>
            <w:r>
              <w:rPr>
                <w:rFonts w:hint="eastAsia"/>
                <w:color w:val="000000" w:themeColor="text1"/>
                <w:vertAlign w:val="subscript"/>
              </w:rPr>
              <w:t>5</w:t>
            </w:r>
            <w:r>
              <w:rPr>
                <w:rFonts w:hint="eastAsia"/>
                <w:color w:val="000000" w:themeColor="text1"/>
              </w:rPr>
              <w:t>、SS等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16" w:type="dxa"/>
            <w:vMerge w:val="restart"/>
            <w:vAlign w:val="center"/>
          </w:tcPr>
          <w:p>
            <w:pPr>
              <w:pStyle w:val="55"/>
              <w:rPr>
                <w:color w:val="000000" w:themeColor="text1"/>
              </w:rPr>
            </w:pPr>
            <w:r>
              <w:rPr>
                <w:color w:val="000000" w:themeColor="text1"/>
              </w:rPr>
              <w:t>噪声</w:t>
            </w:r>
          </w:p>
        </w:tc>
        <w:tc>
          <w:tcPr>
            <w:tcW w:w="1473" w:type="dxa"/>
            <w:vMerge w:val="restart"/>
            <w:vAlign w:val="center"/>
          </w:tcPr>
          <w:p>
            <w:pPr>
              <w:pStyle w:val="55"/>
              <w:rPr>
                <w:color w:val="000000" w:themeColor="text1"/>
              </w:rPr>
            </w:pPr>
            <w:r>
              <w:rPr>
                <w:color w:val="000000" w:themeColor="text1"/>
              </w:rPr>
              <w:t>机械设备</w:t>
            </w:r>
          </w:p>
        </w:tc>
        <w:tc>
          <w:tcPr>
            <w:tcW w:w="1840" w:type="dxa"/>
            <w:vAlign w:val="center"/>
          </w:tcPr>
          <w:p>
            <w:pPr>
              <w:pStyle w:val="55"/>
              <w:rPr>
                <w:color w:val="000000" w:themeColor="text1"/>
              </w:rPr>
            </w:pPr>
            <w:r>
              <w:rPr>
                <w:color w:val="000000" w:themeColor="text1"/>
              </w:rPr>
              <w:t>机械设备</w:t>
            </w:r>
          </w:p>
        </w:tc>
        <w:tc>
          <w:tcPr>
            <w:tcW w:w="3079" w:type="dxa"/>
            <w:vAlign w:val="center"/>
          </w:tcPr>
          <w:p>
            <w:pPr>
              <w:pStyle w:val="55"/>
              <w:rPr>
                <w:color w:val="000000" w:themeColor="text1"/>
              </w:rPr>
            </w:pPr>
            <w:r>
              <w:rPr>
                <w:rFonts w:hint="eastAsia"/>
                <w:color w:val="000000" w:themeColor="text1"/>
              </w:rPr>
              <w:t>LAep</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5" w:hRule="atLeast"/>
          <w:jc w:val="center"/>
        </w:trPr>
        <w:tc>
          <w:tcPr>
            <w:tcW w:w="816" w:type="dxa"/>
            <w:vMerge w:val="continue"/>
            <w:vAlign w:val="center"/>
          </w:tcPr>
          <w:p>
            <w:pPr>
              <w:pStyle w:val="55"/>
              <w:rPr>
                <w:color w:val="000000" w:themeColor="text1"/>
              </w:rPr>
            </w:pPr>
          </w:p>
        </w:tc>
        <w:tc>
          <w:tcPr>
            <w:tcW w:w="1473" w:type="dxa"/>
            <w:vMerge w:val="continue"/>
            <w:vAlign w:val="center"/>
          </w:tcPr>
          <w:p>
            <w:pPr>
              <w:pStyle w:val="55"/>
              <w:rPr>
                <w:color w:val="000000" w:themeColor="text1"/>
              </w:rPr>
            </w:pPr>
          </w:p>
        </w:tc>
        <w:tc>
          <w:tcPr>
            <w:tcW w:w="1840" w:type="dxa"/>
            <w:vAlign w:val="center"/>
          </w:tcPr>
          <w:p>
            <w:pPr>
              <w:pStyle w:val="55"/>
              <w:rPr>
                <w:color w:val="000000" w:themeColor="text1"/>
              </w:rPr>
            </w:pPr>
            <w:r>
              <w:rPr>
                <w:color w:val="000000" w:themeColor="text1"/>
              </w:rPr>
              <w:t>物料运输</w:t>
            </w:r>
          </w:p>
        </w:tc>
        <w:tc>
          <w:tcPr>
            <w:tcW w:w="3079" w:type="dxa"/>
            <w:vAlign w:val="center"/>
          </w:tcPr>
          <w:p>
            <w:pPr>
              <w:pStyle w:val="55"/>
              <w:rPr>
                <w:color w:val="000000" w:themeColor="text1"/>
              </w:rPr>
            </w:pPr>
            <w:r>
              <w:rPr>
                <w:rFonts w:hint="eastAsia"/>
                <w:color w:val="000000" w:themeColor="text1"/>
              </w:rPr>
              <w:t>LAep</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5" w:hRule="atLeast"/>
          <w:jc w:val="center"/>
        </w:trPr>
        <w:tc>
          <w:tcPr>
            <w:tcW w:w="816" w:type="dxa"/>
            <w:vMerge w:val="restart"/>
            <w:vAlign w:val="center"/>
          </w:tcPr>
          <w:p>
            <w:pPr>
              <w:pStyle w:val="55"/>
              <w:rPr>
                <w:color w:val="000000" w:themeColor="text1"/>
              </w:rPr>
            </w:pPr>
            <w:r>
              <w:rPr>
                <w:color w:val="000000" w:themeColor="text1"/>
              </w:rPr>
              <w:t>固废</w:t>
            </w:r>
          </w:p>
        </w:tc>
        <w:tc>
          <w:tcPr>
            <w:tcW w:w="1473" w:type="dxa"/>
            <w:vAlign w:val="center"/>
          </w:tcPr>
          <w:p>
            <w:pPr>
              <w:pStyle w:val="55"/>
              <w:rPr>
                <w:color w:val="000000" w:themeColor="text1"/>
              </w:rPr>
            </w:pPr>
            <w:r>
              <w:rPr>
                <w:color w:val="000000" w:themeColor="text1"/>
              </w:rPr>
              <w:t>施工过程</w:t>
            </w:r>
          </w:p>
        </w:tc>
        <w:tc>
          <w:tcPr>
            <w:tcW w:w="1840" w:type="dxa"/>
            <w:vAlign w:val="center"/>
          </w:tcPr>
          <w:p>
            <w:pPr>
              <w:pStyle w:val="55"/>
              <w:rPr>
                <w:color w:val="000000" w:themeColor="text1"/>
              </w:rPr>
            </w:pPr>
            <w:r>
              <w:rPr>
                <w:color w:val="000000" w:themeColor="text1"/>
              </w:rPr>
              <w:t>建筑垃圾</w:t>
            </w:r>
          </w:p>
        </w:tc>
        <w:tc>
          <w:tcPr>
            <w:tcW w:w="3079" w:type="dxa"/>
            <w:vAlign w:val="center"/>
          </w:tcPr>
          <w:p>
            <w:pPr>
              <w:pStyle w:val="55"/>
              <w:rPr>
                <w:color w:val="000000" w:themeColor="text1"/>
              </w:rPr>
            </w:pPr>
            <w:r>
              <w:rPr>
                <w:rFonts w:hint="eastAsia"/>
                <w:color w:val="000000" w:themeColor="text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5" w:hRule="atLeast"/>
          <w:jc w:val="center"/>
        </w:trPr>
        <w:tc>
          <w:tcPr>
            <w:tcW w:w="816" w:type="dxa"/>
            <w:vMerge w:val="continue"/>
            <w:vAlign w:val="center"/>
          </w:tcPr>
          <w:p>
            <w:pPr>
              <w:pStyle w:val="55"/>
              <w:rPr>
                <w:color w:val="000000" w:themeColor="text1"/>
              </w:rPr>
            </w:pPr>
          </w:p>
        </w:tc>
        <w:tc>
          <w:tcPr>
            <w:tcW w:w="1473" w:type="dxa"/>
            <w:vAlign w:val="center"/>
          </w:tcPr>
          <w:p>
            <w:pPr>
              <w:pStyle w:val="55"/>
              <w:rPr>
                <w:color w:val="000000" w:themeColor="text1"/>
              </w:rPr>
            </w:pPr>
            <w:r>
              <w:rPr>
                <w:color w:val="000000" w:themeColor="text1"/>
              </w:rPr>
              <w:t>员工生活</w:t>
            </w:r>
          </w:p>
        </w:tc>
        <w:tc>
          <w:tcPr>
            <w:tcW w:w="1840" w:type="dxa"/>
            <w:vAlign w:val="center"/>
          </w:tcPr>
          <w:p>
            <w:pPr>
              <w:pStyle w:val="55"/>
              <w:rPr>
                <w:color w:val="000000" w:themeColor="text1"/>
              </w:rPr>
            </w:pPr>
            <w:r>
              <w:rPr>
                <w:color w:val="000000" w:themeColor="text1"/>
              </w:rPr>
              <w:t>生活垃圾</w:t>
            </w:r>
          </w:p>
        </w:tc>
        <w:tc>
          <w:tcPr>
            <w:tcW w:w="3079" w:type="dxa"/>
            <w:vAlign w:val="center"/>
          </w:tcPr>
          <w:p>
            <w:pPr>
              <w:pStyle w:val="55"/>
              <w:rPr>
                <w:color w:val="000000" w:themeColor="text1"/>
              </w:rPr>
            </w:pPr>
            <w:r>
              <w:rPr>
                <w:rFonts w:hint="eastAsia"/>
                <w:color w:val="000000" w:themeColor="text1"/>
              </w:rPr>
              <w:t>--</w:t>
            </w:r>
          </w:p>
        </w:tc>
      </w:tr>
    </w:tbl>
    <w:p>
      <w:pPr>
        <w:pStyle w:val="3"/>
        <w:rPr>
          <w:color w:val="000000" w:themeColor="text1"/>
        </w:rPr>
      </w:pPr>
      <w:bookmarkStart w:id="62" w:name="_Toc47375820"/>
      <w:r>
        <w:rPr>
          <w:rFonts w:hint="eastAsia"/>
          <w:color w:val="000000" w:themeColor="text1"/>
        </w:rPr>
        <w:t>2.9施工期污染物产生及排放情况</w:t>
      </w:r>
      <w:bookmarkEnd w:id="62"/>
    </w:p>
    <w:p>
      <w:pPr>
        <w:pStyle w:val="38"/>
        <w:ind w:firstLine="281"/>
        <w:rPr>
          <w:color w:val="000000" w:themeColor="text1"/>
        </w:rPr>
      </w:pPr>
      <w:bookmarkStart w:id="63" w:name="_Toc47375821"/>
      <w:r>
        <w:rPr>
          <w:rFonts w:hint="eastAsia"/>
          <w:color w:val="000000" w:themeColor="text1"/>
        </w:rPr>
        <w:t>2.9.1废气</w:t>
      </w:r>
      <w:bookmarkEnd w:id="63"/>
      <w:r>
        <w:rPr>
          <w:color w:val="000000" w:themeColor="text1"/>
        </w:rPr>
        <w:tab/>
      </w:r>
      <w:r>
        <w:rPr>
          <w:color w:val="000000" w:themeColor="text1"/>
        </w:rPr>
        <w:tab/>
      </w:r>
    </w:p>
    <w:p>
      <w:pPr>
        <w:ind w:firstLine="480"/>
        <w:rPr>
          <w:color w:val="000000" w:themeColor="text1"/>
        </w:rPr>
      </w:pPr>
      <w:r>
        <w:rPr>
          <w:rFonts w:hint="eastAsia"/>
          <w:color w:val="000000" w:themeColor="text1"/>
        </w:rPr>
        <w:t>施工期的大气污染源主要来自于扬尘、施工机械废气。</w:t>
      </w:r>
    </w:p>
    <w:p>
      <w:pPr>
        <w:ind w:firstLine="480"/>
        <w:rPr>
          <w:color w:val="000000" w:themeColor="text1"/>
        </w:rPr>
      </w:pPr>
      <w:r>
        <w:rPr>
          <w:rFonts w:hint="eastAsia"/>
          <w:color w:val="000000" w:themeColor="text1"/>
        </w:rPr>
        <w:t>项目施工时大面积平整会使大量地表裸露，在风力的作用之下会产生大量扬尘。施工机械车辆在场区作业或者进出场地也会引起扬尘。</w:t>
      </w:r>
    </w:p>
    <w:p>
      <w:pPr>
        <w:ind w:firstLine="480"/>
        <w:rPr>
          <w:color w:val="000000" w:themeColor="text1"/>
        </w:rPr>
      </w:pPr>
      <w:r>
        <w:rPr>
          <w:rFonts w:hint="eastAsia"/>
          <w:color w:val="000000" w:themeColor="text1"/>
        </w:rPr>
        <w:t>（1）扬尘</w:t>
      </w:r>
    </w:p>
    <w:p>
      <w:pPr>
        <w:ind w:firstLine="480"/>
        <w:rPr>
          <w:color w:val="000000" w:themeColor="text1"/>
        </w:rPr>
      </w:pPr>
      <w:r>
        <w:rPr>
          <w:rFonts w:hint="eastAsia"/>
          <w:color w:val="000000" w:themeColor="text1"/>
        </w:rPr>
        <w:t>施工场地内的扬尘大致分为以下三个大方面：</w:t>
      </w:r>
    </w:p>
    <w:p>
      <w:pPr>
        <w:ind w:firstLine="480"/>
        <w:rPr>
          <w:color w:val="000000" w:themeColor="text1"/>
        </w:rPr>
      </w:pPr>
      <w:r>
        <w:rPr>
          <w:color w:val="000000" w:themeColor="text1"/>
        </w:rPr>
        <w:t>A</w:t>
      </w:r>
      <w:r>
        <w:rPr>
          <w:rFonts w:hint="eastAsia"/>
          <w:color w:val="000000" w:themeColor="text1"/>
        </w:rPr>
        <w:t>、进出物料运输产生的道路运输扬尘：</w:t>
      </w:r>
    </w:p>
    <w:p>
      <w:pPr>
        <w:ind w:firstLine="480"/>
        <w:rPr>
          <w:color w:val="000000" w:themeColor="text1"/>
        </w:rPr>
      </w:pPr>
      <w:r>
        <w:rPr>
          <w:rFonts w:hint="eastAsia"/>
          <w:color w:val="000000" w:themeColor="text1"/>
        </w:rPr>
        <w:t>在完全干燥的情况下，车辆在行驶过程中产生的扬尘，按下列经验公式计算：</w:t>
      </w:r>
    </w:p>
    <w:p>
      <w:pPr>
        <w:ind w:firstLine="480"/>
        <w:rPr>
          <w:color w:val="000000" w:themeColor="text1"/>
        </w:rPr>
      </w:pPr>
      <w:r>
        <w:rPr>
          <w:color w:val="000000" w:themeColor="text1"/>
        </w:rPr>
        <w:drawing>
          <wp:inline distT="0" distB="0" distL="0" distR="0">
            <wp:extent cx="2467610" cy="594360"/>
            <wp:effectExtent l="19050" t="0" r="8890" b="0"/>
            <wp:docPr id="297"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43"/>
                    <pic:cNvPicPr>
                      <a:picLocks noChangeAspect="1" noChangeArrowheads="1"/>
                    </pic:cNvPicPr>
                  </pic:nvPicPr>
                  <pic:blipFill>
                    <a:blip r:embed="rId24"/>
                    <a:srcRect/>
                    <a:stretch>
                      <a:fillRect/>
                    </a:stretch>
                  </pic:blipFill>
                  <pic:spPr>
                    <a:xfrm>
                      <a:off x="0" y="0"/>
                      <a:ext cx="2467610" cy="594360"/>
                    </a:xfrm>
                    <a:prstGeom prst="rect">
                      <a:avLst/>
                    </a:prstGeom>
                    <a:noFill/>
                  </pic:spPr>
                </pic:pic>
              </a:graphicData>
            </a:graphic>
          </wp:inline>
        </w:drawing>
      </w:r>
    </w:p>
    <w:p>
      <w:pPr>
        <w:ind w:firstLine="480"/>
        <w:rPr>
          <w:color w:val="000000" w:themeColor="text1"/>
        </w:rPr>
      </w:pPr>
      <w:r>
        <w:rPr>
          <w:rFonts w:hint="eastAsia"/>
          <w:color w:val="000000" w:themeColor="text1"/>
        </w:rPr>
        <w:t>式中：</w:t>
      </w:r>
      <w:r>
        <w:rPr>
          <w:color w:val="000000" w:themeColor="text1"/>
        </w:rPr>
        <w:t>Q—</w:t>
      </w:r>
      <w:r>
        <w:rPr>
          <w:rFonts w:hint="eastAsia"/>
          <w:color w:val="000000" w:themeColor="text1"/>
        </w:rPr>
        <w:t>汽车行驶的扬尘，</w:t>
      </w:r>
      <w:r>
        <w:rPr>
          <w:color w:val="000000" w:themeColor="text1"/>
        </w:rPr>
        <w:t>kg/km·</w:t>
      </w:r>
      <w:r>
        <w:rPr>
          <w:rFonts w:hint="eastAsia"/>
          <w:color w:val="000000" w:themeColor="text1"/>
        </w:rPr>
        <w:t>辆；</w:t>
      </w:r>
    </w:p>
    <w:p>
      <w:pPr>
        <w:ind w:firstLine="1200" w:firstLineChars="500"/>
        <w:rPr>
          <w:color w:val="000000" w:themeColor="text1"/>
        </w:rPr>
      </w:pPr>
      <w:r>
        <w:rPr>
          <w:color w:val="000000" w:themeColor="text1"/>
        </w:rPr>
        <w:t>V—</w:t>
      </w:r>
      <w:r>
        <w:rPr>
          <w:rFonts w:hint="eastAsia"/>
          <w:color w:val="000000" w:themeColor="text1"/>
        </w:rPr>
        <w:t>汽车速度，</w:t>
      </w:r>
      <w:r>
        <w:rPr>
          <w:color w:val="000000" w:themeColor="text1"/>
        </w:rPr>
        <w:t>km/h</w:t>
      </w:r>
      <w:r>
        <w:rPr>
          <w:rFonts w:hint="eastAsia"/>
          <w:color w:val="000000" w:themeColor="text1"/>
        </w:rPr>
        <w:t>；</w:t>
      </w:r>
    </w:p>
    <w:p>
      <w:pPr>
        <w:ind w:firstLine="1200" w:firstLineChars="500"/>
        <w:rPr>
          <w:color w:val="000000" w:themeColor="text1"/>
        </w:rPr>
      </w:pPr>
      <w:r>
        <w:rPr>
          <w:color w:val="000000" w:themeColor="text1"/>
        </w:rPr>
        <w:t>W—</w:t>
      </w:r>
      <w:r>
        <w:rPr>
          <w:rFonts w:hint="eastAsia"/>
          <w:color w:val="000000" w:themeColor="text1"/>
        </w:rPr>
        <w:t>汽车载重量，吨；</w:t>
      </w:r>
    </w:p>
    <w:p>
      <w:pPr>
        <w:ind w:firstLine="1200" w:firstLineChars="500"/>
        <w:rPr>
          <w:color w:val="000000" w:themeColor="text1"/>
        </w:rPr>
      </w:pPr>
      <w:r>
        <w:rPr>
          <w:color w:val="000000" w:themeColor="text1"/>
        </w:rPr>
        <w:t>P—</w:t>
      </w:r>
      <w:r>
        <w:rPr>
          <w:rFonts w:hint="eastAsia"/>
          <w:color w:val="000000" w:themeColor="text1"/>
        </w:rPr>
        <w:t>道路表面粉尘量，</w:t>
      </w:r>
      <w:r>
        <w:rPr>
          <w:color w:val="000000" w:themeColor="text1"/>
        </w:rPr>
        <w:t>kg/m</w:t>
      </w:r>
      <w:r>
        <w:rPr>
          <w:color w:val="000000" w:themeColor="text1"/>
          <w:vertAlign w:val="superscript"/>
        </w:rPr>
        <w:t>2</w:t>
      </w:r>
      <w:r>
        <w:rPr>
          <w:rFonts w:hint="eastAsia"/>
          <w:color w:val="000000" w:themeColor="text1"/>
        </w:rPr>
        <w:t>。</w:t>
      </w:r>
    </w:p>
    <w:p>
      <w:pPr>
        <w:ind w:firstLine="480"/>
        <w:rPr>
          <w:color w:val="000000" w:themeColor="text1"/>
        </w:rPr>
      </w:pPr>
      <w:r>
        <w:rPr>
          <w:rFonts w:hint="eastAsia"/>
          <w:color w:val="000000" w:themeColor="text1"/>
        </w:rPr>
        <w:t>可见，在同样的路面条件下，车速越快，扬尘量越大；在同样的车速情况下，路面越脏，扬尘量越大。</w:t>
      </w:r>
    </w:p>
    <w:p>
      <w:pPr>
        <w:ind w:firstLine="480"/>
        <w:rPr>
          <w:color w:val="000000" w:themeColor="text1"/>
        </w:rPr>
      </w:pPr>
      <w:r>
        <w:rPr>
          <w:rFonts w:hint="eastAsia"/>
          <w:color w:val="000000" w:themeColor="text1"/>
        </w:rPr>
        <w:t>根据项目施工平面布置情况、施工道路布置情况以及《防治城市扬尘污染技术规范》</w:t>
      </w:r>
      <w:r>
        <w:rPr>
          <w:color w:val="000000" w:themeColor="text1"/>
        </w:rPr>
        <w:t>(HJ/T-393-2007)</w:t>
      </w:r>
      <w:r>
        <w:rPr>
          <w:rFonts w:hint="eastAsia"/>
          <w:color w:val="000000" w:themeColor="text1"/>
        </w:rPr>
        <w:t>的要求，场内汽车速度按</w:t>
      </w:r>
      <w:r>
        <w:rPr>
          <w:color w:val="000000" w:themeColor="text1"/>
        </w:rPr>
        <w:t>15km/h</w:t>
      </w:r>
      <w:r>
        <w:rPr>
          <w:rFonts w:hint="eastAsia"/>
          <w:color w:val="000000" w:themeColor="text1"/>
        </w:rPr>
        <w:t>、汽车载重量按</w:t>
      </w:r>
      <w:r>
        <w:rPr>
          <w:color w:val="000000" w:themeColor="text1"/>
        </w:rPr>
        <w:t>5t</w:t>
      </w:r>
      <w:r>
        <w:rPr>
          <w:rFonts w:hint="eastAsia"/>
          <w:color w:val="000000" w:themeColor="text1"/>
        </w:rPr>
        <w:t>、场内施工道</w:t>
      </w:r>
      <w:r>
        <w:rPr>
          <w:color w:val="000000" w:themeColor="text1"/>
        </w:rPr>
        <w:t>0.16km</w:t>
      </w:r>
      <w:r>
        <w:rPr>
          <w:rFonts w:hint="eastAsia"/>
          <w:color w:val="000000" w:themeColor="text1"/>
        </w:rPr>
        <w:t>、场内道路粉尘量按</w:t>
      </w:r>
      <w:r>
        <w:rPr>
          <w:color w:val="000000" w:themeColor="text1"/>
        </w:rPr>
        <w:t>0.5kg/m</w:t>
      </w:r>
      <w:r>
        <w:rPr>
          <w:color w:val="000000" w:themeColor="text1"/>
          <w:vertAlign w:val="superscript"/>
        </w:rPr>
        <w:t>2</w:t>
      </w:r>
      <w:r>
        <w:rPr>
          <w:rFonts w:hint="eastAsia"/>
          <w:color w:val="000000" w:themeColor="text1"/>
        </w:rPr>
        <w:t>计，场内道路运输扬尘量为</w:t>
      </w:r>
      <w:r>
        <w:rPr>
          <w:color w:val="000000" w:themeColor="text1"/>
        </w:rPr>
        <w:t>0.284kg/km·</w:t>
      </w:r>
      <w:r>
        <w:rPr>
          <w:rFonts w:hint="eastAsia"/>
          <w:color w:val="000000" w:themeColor="text1"/>
        </w:rPr>
        <w:t>辆。场内道路车辆经过时运输扬尘产生量平均为</w:t>
      </w:r>
      <w:r>
        <w:rPr>
          <w:color w:val="000000" w:themeColor="text1"/>
        </w:rPr>
        <w:t>3.69g/s</w:t>
      </w:r>
      <w:r>
        <w:rPr>
          <w:rFonts w:hint="eastAsia"/>
          <w:color w:val="000000" w:themeColor="text1"/>
        </w:rPr>
        <w:t>。施工期间，通过在场地内的施工道路铺设用焦渣、细石材料，并辅以洒水后，可有效抑制施工道路</w:t>
      </w:r>
      <w:r>
        <w:rPr>
          <w:color w:val="000000" w:themeColor="text1"/>
        </w:rPr>
        <w:t>80%</w:t>
      </w:r>
      <w:r>
        <w:rPr>
          <w:rFonts w:hint="eastAsia"/>
          <w:color w:val="000000" w:themeColor="text1"/>
        </w:rPr>
        <w:t>的扬尘，采取措施后，场内道路车辆经过时扬尘产生量为</w:t>
      </w:r>
      <w:r>
        <w:rPr>
          <w:color w:val="000000" w:themeColor="text1"/>
        </w:rPr>
        <w:t>0.74g/s</w:t>
      </w:r>
      <w:r>
        <w:rPr>
          <w:rFonts w:hint="eastAsia"/>
          <w:color w:val="000000" w:themeColor="text1"/>
        </w:rPr>
        <w:t>。</w:t>
      </w:r>
    </w:p>
    <w:p>
      <w:pPr>
        <w:ind w:firstLine="480"/>
        <w:rPr>
          <w:color w:val="000000" w:themeColor="text1"/>
        </w:rPr>
      </w:pPr>
      <w:r>
        <w:rPr>
          <w:color w:val="000000" w:themeColor="text1"/>
        </w:rPr>
        <w:t>B</w:t>
      </w:r>
      <w:r>
        <w:rPr>
          <w:rFonts w:hint="eastAsia"/>
          <w:color w:val="000000" w:themeColor="text1"/>
        </w:rPr>
        <w:t>、施工扬尘</w:t>
      </w:r>
    </w:p>
    <w:p>
      <w:pPr>
        <w:ind w:firstLine="480"/>
        <w:rPr>
          <w:color w:val="000000" w:themeColor="text1"/>
        </w:rPr>
      </w:pPr>
      <w:r>
        <w:rPr>
          <w:rFonts w:hint="eastAsia"/>
          <w:color w:val="000000" w:themeColor="text1"/>
        </w:rPr>
        <w:t>建筑施工过程中，建筑材料也会产生部分扬尘，尘土在空气紊动力的作用下能够较长时间在空气中飘浮，或者由于重力的作用产生降尘作用。扬尘扩散到附近空气中，增加空气中总悬浮颗粒物</w:t>
      </w:r>
      <w:r>
        <w:rPr>
          <w:color w:val="000000" w:themeColor="text1"/>
        </w:rPr>
        <w:t>(TSP)</w:t>
      </w:r>
      <w:r>
        <w:rPr>
          <w:rFonts w:hint="eastAsia"/>
          <w:color w:val="000000" w:themeColor="text1"/>
        </w:rPr>
        <w:t>的含量。</w:t>
      </w:r>
    </w:p>
    <w:p>
      <w:pPr>
        <w:ind w:firstLine="480"/>
        <w:rPr>
          <w:color w:val="000000" w:themeColor="text1"/>
        </w:rPr>
      </w:pPr>
      <w:r>
        <w:rPr>
          <w:color w:val="000000" w:themeColor="text1"/>
        </w:rPr>
        <w:t>C</w:t>
      </w:r>
      <w:r>
        <w:rPr>
          <w:rFonts w:hint="eastAsia"/>
          <w:color w:val="000000" w:themeColor="text1"/>
        </w:rPr>
        <w:t>、堆场扬尘</w:t>
      </w:r>
    </w:p>
    <w:p>
      <w:pPr>
        <w:ind w:firstLine="480"/>
        <w:rPr>
          <w:color w:val="000000" w:themeColor="text1"/>
        </w:rPr>
      </w:pPr>
      <w:r>
        <w:rPr>
          <w:rFonts w:hint="eastAsia"/>
          <w:color w:val="000000" w:themeColor="text1"/>
        </w:rPr>
        <w:t>由于施工的需要，一些建材需露天堆放；一些施工点表层土壤需人工开挖、堆放，在气候干燥又有风的情况下，会产生扬尘，其尘量可按堆场起尘的经验公式计算：</w:t>
      </w:r>
    </w:p>
    <w:p>
      <w:pPr>
        <w:ind w:firstLine="480"/>
        <w:rPr>
          <w:color w:val="000000" w:themeColor="text1"/>
        </w:rPr>
      </w:pPr>
      <w:r>
        <w:rPr>
          <w:color w:val="000000" w:themeColor="text1"/>
        </w:rPr>
        <w:t>Q=2.1(V</w:t>
      </w:r>
      <w:r>
        <w:rPr>
          <w:color w:val="000000" w:themeColor="text1"/>
          <w:vertAlign w:val="subscript"/>
        </w:rPr>
        <w:t>50</w:t>
      </w:r>
      <w:r>
        <w:rPr>
          <w:color w:val="000000" w:themeColor="text1"/>
        </w:rPr>
        <w:t>–V</w:t>
      </w:r>
      <w:r>
        <w:rPr>
          <w:color w:val="000000" w:themeColor="text1"/>
          <w:vertAlign w:val="subscript"/>
        </w:rPr>
        <w:t>0</w:t>
      </w:r>
      <w:r>
        <w:rPr>
          <w:color w:val="000000" w:themeColor="text1"/>
        </w:rPr>
        <w:t>)3e</w:t>
      </w:r>
      <w:r>
        <w:rPr>
          <w:color w:val="000000" w:themeColor="text1"/>
          <w:vertAlign w:val="superscript"/>
        </w:rPr>
        <w:t>-1.023w</w:t>
      </w:r>
    </w:p>
    <w:p>
      <w:pPr>
        <w:ind w:firstLine="480"/>
        <w:rPr>
          <w:color w:val="000000" w:themeColor="text1"/>
        </w:rPr>
      </w:pPr>
      <w:r>
        <w:rPr>
          <w:rFonts w:hint="eastAsia"/>
          <w:color w:val="000000" w:themeColor="text1"/>
        </w:rPr>
        <w:t>其中：</w:t>
      </w:r>
      <w:r>
        <w:rPr>
          <w:color w:val="000000" w:themeColor="text1"/>
        </w:rPr>
        <w:t>Q——</w:t>
      </w:r>
      <w:r>
        <w:rPr>
          <w:rFonts w:hint="eastAsia"/>
          <w:color w:val="000000" w:themeColor="text1"/>
        </w:rPr>
        <w:t>起尘量，</w:t>
      </w:r>
      <w:r>
        <w:rPr>
          <w:color w:val="000000" w:themeColor="text1"/>
        </w:rPr>
        <w:t>kg/</w:t>
      </w:r>
      <w:r>
        <w:rPr>
          <w:rFonts w:hint="eastAsia"/>
          <w:color w:val="000000" w:themeColor="text1"/>
        </w:rPr>
        <w:t>吨</w:t>
      </w:r>
      <w:r>
        <w:rPr>
          <w:color w:val="000000" w:themeColor="text1"/>
        </w:rPr>
        <w:t>·</w:t>
      </w:r>
      <w:r>
        <w:rPr>
          <w:rFonts w:hint="eastAsia"/>
          <w:color w:val="000000" w:themeColor="text1"/>
        </w:rPr>
        <w:t>年；</w:t>
      </w:r>
    </w:p>
    <w:p>
      <w:pPr>
        <w:ind w:firstLine="480"/>
        <w:rPr>
          <w:color w:val="000000" w:themeColor="text1"/>
        </w:rPr>
      </w:pPr>
      <w:r>
        <w:rPr>
          <w:color w:val="000000" w:themeColor="text1"/>
        </w:rPr>
        <w:t>V</w:t>
      </w:r>
      <w:r>
        <w:rPr>
          <w:color w:val="000000" w:themeColor="text1"/>
          <w:vertAlign w:val="subscript"/>
        </w:rPr>
        <w:t>50</w:t>
      </w:r>
      <w:r>
        <w:rPr>
          <w:color w:val="000000" w:themeColor="text1"/>
        </w:rPr>
        <w:t>——</w:t>
      </w:r>
      <w:r>
        <w:rPr>
          <w:rFonts w:hint="eastAsia"/>
          <w:color w:val="000000" w:themeColor="text1"/>
        </w:rPr>
        <w:t>距地面</w:t>
      </w:r>
      <w:r>
        <w:rPr>
          <w:color w:val="000000" w:themeColor="text1"/>
        </w:rPr>
        <w:t>50m</w:t>
      </w:r>
      <w:r>
        <w:rPr>
          <w:rFonts w:hint="eastAsia"/>
          <w:color w:val="000000" w:themeColor="text1"/>
        </w:rPr>
        <w:t>处风速，</w:t>
      </w:r>
      <w:r>
        <w:rPr>
          <w:color w:val="000000" w:themeColor="text1"/>
        </w:rPr>
        <w:t>m/s</w:t>
      </w:r>
      <w:r>
        <w:rPr>
          <w:rFonts w:hint="eastAsia"/>
          <w:color w:val="000000" w:themeColor="text1"/>
        </w:rPr>
        <w:t>；</w:t>
      </w:r>
    </w:p>
    <w:p>
      <w:pPr>
        <w:ind w:firstLine="480"/>
        <w:rPr>
          <w:color w:val="000000" w:themeColor="text1"/>
        </w:rPr>
      </w:pPr>
      <w:r>
        <w:rPr>
          <w:color w:val="000000" w:themeColor="text1"/>
        </w:rPr>
        <w:t>V</w:t>
      </w:r>
      <w:r>
        <w:rPr>
          <w:color w:val="000000" w:themeColor="text1"/>
          <w:vertAlign w:val="subscript"/>
        </w:rPr>
        <w:t>0</w:t>
      </w:r>
      <w:r>
        <w:rPr>
          <w:color w:val="000000" w:themeColor="text1"/>
        </w:rPr>
        <w:t>——</w:t>
      </w:r>
      <w:r>
        <w:rPr>
          <w:rFonts w:hint="eastAsia"/>
          <w:color w:val="000000" w:themeColor="text1"/>
        </w:rPr>
        <w:t>起尘风速，</w:t>
      </w:r>
      <w:r>
        <w:rPr>
          <w:color w:val="000000" w:themeColor="text1"/>
        </w:rPr>
        <w:t>m/s</w:t>
      </w:r>
      <w:r>
        <w:rPr>
          <w:rFonts w:hint="eastAsia"/>
          <w:color w:val="000000" w:themeColor="text1"/>
        </w:rPr>
        <w:t>；</w:t>
      </w:r>
      <w:r>
        <w:rPr>
          <w:color w:val="000000" w:themeColor="text1"/>
        </w:rPr>
        <w:t>W——</w:t>
      </w:r>
      <w:r>
        <w:rPr>
          <w:rFonts w:hint="eastAsia"/>
          <w:color w:val="000000" w:themeColor="text1"/>
        </w:rPr>
        <w:t>尘粒的含水量，</w:t>
      </w:r>
      <w:r>
        <w:rPr>
          <w:color w:val="000000" w:themeColor="text1"/>
        </w:rPr>
        <w:t>%</w:t>
      </w:r>
      <w:r>
        <w:rPr>
          <w:rFonts w:hint="eastAsia"/>
          <w:color w:val="000000" w:themeColor="text1"/>
        </w:rPr>
        <w:t>。</w:t>
      </w:r>
    </w:p>
    <w:p>
      <w:pPr>
        <w:ind w:firstLine="480"/>
        <w:rPr>
          <w:color w:val="000000" w:themeColor="text1"/>
        </w:rPr>
      </w:pPr>
      <w:r>
        <w:rPr>
          <w:color w:val="000000" w:themeColor="text1"/>
        </w:rPr>
        <w:t>V</w:t>
      </w:r>
      <w:r>
        <w:rPr>
          <w:color w:val="000000" w:themeColor="text1"/>
          <w:vertAlign w:val="subscript"/>
        </w:rPr>
        <w:t>0</w:t>
      </w:r>
      <w:r>
        <w:rPr>
          <w:rFonts w:hint="eastAsia"/>
          <w:color w:val="000000" w:themeColor="text1"/>
        </w:rPr>
        <w:t>与粒径和含水率有关，因此减少露天堆放和保证一定的含水率及减少裸露地面是减少风力起尘的有效手段。</w:t>
      </w:r>
    </w:p>
    <w:p>
      <w:pPr>
        <w:ind w:firstLine="480"/>
        <w:rPr>
          <w:color w:val="000000" w:themeColor="text1"/>
        </w:rPr>
      </w:pPr>
      <w:r>
        <w:rPr>
          <w:rFonts w:hint="eastAsia"/>
          <w:color w:val="000000" w:themeColor="text1"/>
        </w:rPr>
        <w:t>尘粒在空气中的传播扩散情况与风速等气象条件有关，也与尘粒本身的沉降速度有关。不同粒径尘粒的沉降速度见表2.9.1-1。</w:t>
      </w:r>
    </w:p>
    <w:p>
      <w:pPr>
        <w:pStyle w:val="54"/>
        <w:rPr>
          <w:color w:val="000000" w:themeColor="text1"/>
        </w:rPr>
      </w:pPr>
      <w:r>
        <w:rPr>
          <w:rFonts w:hint="eastAsia"/>
          <w:color w:val="000000" w:themeColor="text1"/>
        </w:rPr>
        <w:t>表2.9.1-1  施工现场扬尘</w:t>
      </w:r>
      <w:r>
        <w:rPr>
          <w:color w:val="000000" w:themeColor="text1"/>
        </w:rPr>
        <w:t>TSP</w:t>
      </w:r>
      <w:r>
        <w:rPr>
          <w:rFonts w:hint="eastAsia"/>
          <w:color w:val="000000" w:themeColor="text1"/>
        </w:rPr>
        <w:t>随距离变化的浓度分布</w:t>
      </w:r>
      <w:r>
        <w:rPr>
          <w:color w:val="000000" w:themeColor="text1"/>
        </w:rPr>
        <w:t xml:space="preserve">  </w:t>
      </w:r>
      <w:r>
        <w:rPr>
          <w:rFonts w:hint="eastAsia"/>
          <w:color w:val="000000" w:themeColor="text1"/>
        </w:rPr>
        <w:t>单位：</w:t>
      </w:r>
      <w:r>
        <w:rPr>
          <w:color w:val="000000" w:themeColor="text1"/>
        </w:rPr>
        <w:t>mg/m</w:t>
      </w:r>
      <w:r>
        <w:rPr>
          <w:color w:val="000000" w:themeColor="text1"/>
          <w:vertAlign w:val="superscript"/>
        </w:rPr>
        <w:t>3</w:t>
      </w:r>
    </w:p>
    <w:tbl>
      <w:tblPr>
        <w:tblStyle w:val="42"/>
        <w:tblW w:w="845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651"/>
        <w:gridCol w:w="1134"/>
        <w:gridCol w:w="992"/>
        <w:gridCol w:w="992"/>
        <w:gridCol w:w="993"/>
        <w:gridCol w:w="992"/>
        <w:gridCol w:w="850"/>
        <w:gridCol w:w="85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35" w:hRule="atLeast"/>
          <w:jc w:val="center"/>
        </w:trPr>
        <w:tc>
          <w:tcPr>
            <w:tcW w:w="1651" w:type="dxa"/>
            <w:vAlign w:val="bottom"/>
          </w:tcPr>
          <w:p>
            <w:pPr>
              <w:pStyle w:val="55"/>
              <w:rPr>
                <w:color w:val="000000" w:themeColor="text1"/>
              </w:rPr>
            </w:pPr>
            <w:r>
              <w:rPr>
                <w:rFonts w:hint="eastAsia"/>
                <w:color w:val="000000" w:themeColor="text1"/>
              </w:rPr>
              <w:t>粒径</w:t>
            </w:r>
            <w:r>
              <w:rPr>
                <w:color w:val="000000" w:themeColor="text1"/>
              </w:rPr>
              <w:t>(um)</w:t>
            </w:r>
          </w:p>
        </w:tc>
        <w:tc>
          <w:tcPr>
            <w:tcW w:w="1134" w:type="dxa"/>
            <w:vAlign w:val="bottom"/>
          </w:tcPr>
          <w:p>
            <w:pPr>
              <w:pStyle w:val="55"/>
              <w:rPr>
                <w:color w:val="000000" w:themeColor="text1"/>
              </w:rPr>
            </w:pPr>
            <w:r>
              <w:rPr>
                <w:color w:val="000000" w:themeColor="text1"/>
              </w:rPr>
              <w:t>10</w:t>
            </w:r>
          </w:p>
        </w:tc>
        <w:tc>
          <w:tcPr>
            <w:tcW w:w="992" w:type="dxa"/>
            <w:vAlign w:val="bottom"/>
          </w:tcPr>
          <w:p>
            <w:pPr>
              <w:pStyle w:val="55"/>
              <w:rPr>
                <w:color w:val="000000" w:themeColor="text1"/>
              </w:rPr>
            </w:pPr>
            <w:r>
              <w:rPr>
                <w:color w:val="000000" w:themeColor="text1"/>
              </w:rPr>
              <w:t>20</w:t>
            </w:r>
          </w:p>
        </w:tc>
        <w:tc>
          <w:tcPr>
            <w:tcW w:w="992" w:type="dxa"/>
            <w:vAlign w:val="bottom"/>
          </w:tcPr>
          <w:p>
            <w:pPr>
              <w:pStyle w:val="55"/>
              <w:rPr>
                <w:color w:val="000000" w:themeColor="text1"/>
              </w:rPr>
            </w:pPr>
            <w:r>
              <w:rPr>
                <w:color w:val="000000" w:themeColor="text1"/>
              </w:rPr>
              <w:t>30</w:t>
            </w:r>
          </w:p>
        </w:tc>
        <w:tc>
          <w:tcPr>
            <w:tcW w:w="993" w:type="dxa"/>
            <w:vAlign w:val="bottom"/>
          </w:tcPr>
          <w:p>
            <w:pPr>
              <w:pStyle w:val="55"/>
              <w:rPr>
                <w:color w:val="000000" w:themeColor="text1"/>
              </w:rPr>
            </w:pPr>
            <w:r>
              <w:rPr>
                <w:color w:val="000000" w:themeColor="text1"/>
              </w:rPr>
              <w:t>40</w:t>
            </w:r>
          </w:p>
        </w:tc>
        <w:tc>
          <w:tcPr>
            <w:tcW w:w="992" w:type="dxa"/>
            <w:vAlign w:val="bottom"/>
          </w:tcPr>
          <w:p>
            <w:pPr>
              <w:pStyle w:val="55"/>
              <w:rPr>
                <w:color w:val="000000" w:themeColor="text1"/>
              </w:rPr>
            </w:pPr>
            <w:r>
              <w:rPr>
                <w:color w:val="000000" w:themeColor="text1"/>
              </w:rPr>
              <w:t>50</w:t>
            </w:r>
          </w:p>
        </w:tc>
        <w:tc>
          <w:tcPr>
            <w:tcW w:w="850" w:type="dxa"/>
            <w:vAlign w:val="bottom"/>
          </w:tcPr>
          <w:p>
            <w:pPr>
              <w:pStyle w:val="55"/>
              <w:rPr>
                <w:color w:val="000000" w:themeColor="text1"/>
              </w:rPr>
            </w:pPr>
            <w:r>
              <w:rPr>
                <w:color w:val="000000" w:themeColor="text1"/>
              </w:rPr>
              <w:t>60</w:t>
            </w:r>
          </w:p>
        </w:tc>
        <w:tc>
          <w:tcPr>
            <w:tcW w:w="851" w:type="dxa"/>
            <w:vAlign w:val="bottom"/>
          </w:tcPr>
          <w:p>
            <w:pPr>
              <w:pStyle w:val="55"/>
              <w:rPr>
                <w:color w:val="000000" w:themeColor="text1"/>
              </w:rPr>
            </w:pPr>
            <w:r>
              <w:rPr>
                <w:color w:val="000000" w:themeColor="text1"/>
              </w:rPr>
              <w:t>70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1" w:hRule="atLeast"/>
          <w:jc w:val="center"/>
        </w:trPr>
        <w:tc>
          <w:tcPr>
            <w:tcW w:w="1651" w:type="dxa"/>
            <w:vAlign w:val="bottom"/>
          </w:tcPr>
          <w:p>
            <w:pPr>
              <w:pStyle w:val="55"/>
              <w:rPr>
                <w:color w:val="000000" w:themeColor="text1"/>
              </w:rPr>
            </w:pPr>
            <w:r>
              <w:rPr>
                <w:rFonts w:hint="eastAsia"/>
                <w:color w:val="000000" w:themeColor="text1"/>
              </w:rPr>
              <w:t>沉降速度</w:t>
            </w:r>
            <w:r>
              <w:rPr>
                <w:color w:val="000000" w:themeColor="text1"/>
              </w:rPr>
              <w:t>(m/s)</w:t>
            </w:r>
          </w:p>
        </w:tc>
        <w:tc>
          <w:tcPr>
            <w:tcW w:w="1134" w:type="dxa"/>
            <w:vAlign w:val="bottom"/>
          </w:tcPr>
          <w:p>
            <w:pPr>
              <w:pStyle w:val="55"/>
              <w:rPr>
                <w:color w:val="000000" w:themeColor="text1"/>
              </w:rPr>
            </w:pPr>
            <w:r>
              <w:rPr>
                <w:color w:val="000000" w:themeColor="text1"/>
              </w:rPr>
              <w:t>0.03</w:t>
            </w:r>
          </w:p>
        </w:tc>
        <w:tc>
          <w:tcPr>
            <w:tcW w:w="992" w:type="dxa"/>
            <w:vAlign w:val="bottom"/>
          </w:tcPr>
          <w:p>
            <w:pPr>
              <w:pStyle w:val="55"/>
              <w:rPr>
                <w:color w:val="000000" w:themeColor="text1"/>
              </w:rPr>
            </w:pPr>
            <w:r>
              <w:rPr>
                <w:color w:val="000000" w:themeColor="text1"/>
              </w:rPr>
              <w:t>0.012</w:t>
            </w:r>
          </w:p>
        </w:tc>
        <w:tc>
          <w:tcPr>
            <w:tcW w:w="992" w:type="dxa"/>
            <w:vAlign w:val="bottom"/>
          </w:tcPr>
          <w:p>
            <w:pPr>
              <w:pStyle w:val="55"/>
              <w:rPr>
                <w:color w:val="000000" w:themeColor="text1"/>
              </w:rPr>
            </w:pPr>
            <w:r>
              <w:rPr>
                <w:color w:val="000000" w:themeColor="text1"/>
              </w:rPr>
              <w:t>0.027</w:t>
            </w:r>
          </w:p>
        </w:tc>
        <w:tc>
          <w:tcPr>
            <w:tcW w:w="993" w:type="dxa"/>
            <w:vAlign w:val="bottom"/>
          </w:tcPr>
          <w:p>
            <w:pPr>
              <w:pStyle w:val="55"/>
              <w:rPr>
                <w:color w:val="000000" w:themeColor="text1"/>
              </w:rPr>
            </w:pPr>
            <w:r>
              <w:rPr>
                <w:color w:val="000000" w:themeColor="text1"/>
              </w:rPr>
              <w:t>0.048</w:t>
            </w:r>
          </w:p>
        </w:tc>
        <w:tc>
          <w:tcPr>
            <w:tcW w:w="992" w:type="dxa"/>
            <w:vAlign w:val="bottom"/>
          </w:tcPr>
          <w:p>
            <w:pPr>
              <w:pStyle w:val="55"/>
              <w:rPr>
                <w:color w:val="000000" w:themeColor="text1"/>
              </w:rPr>
            </w:pPr>
            <w:r>
              <w:rPr>
                <w:color w:val="000000" w:themeColor="text1"/>
              </w:rPr>
              <w:t>0.075</w:t>
            </w:r>
          </w:p>
        </w:tc>
        <w:tc>
          <w:tcPr>
            <w:tcW w:w="850" w:type="dxa"/>
            <w:vAlign w:val="bottom"/>
          </w:tcPr>
          <w:p>
            <w:pPr>
              <w:pStyle w:val="55"/>
              <w:rPr>
                <w:color w:val="000000" w:themeColor="text1"/>
              </w:rPr>
            </w:pPr>
            <w:r>
              <w:rPr>
                <w:color w:val="000000" w:themeColor="text1"/>
              </w:rPr>
              <w:t>0.108</w:t>
            </w:r>
          </w:p>
        </w:tc>
        <w:tc>
          <w:tcPr>
            <w:tcW w:w="851" w:type="dxa"/>
            <w:vAlign w:val="bottom"/>
          </w:tcPr>
          <w:p>
            <w:pPr>
              <w:pStyle w:val="55"/>
              <w:rPr>
                <w:color w:val="000000" w:themeColor="text1"/>
              </w:rPr>
            </w:pPr>
            <w:r>
              <w:rPr>
                <w:color w:val="000000" w:themeColor="text1"/>
              </w:rPr>
              <w:t>0.147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1" w:hRule="atLeast"/>
          <w:jc w:val="center"/>
        </w:trPr>
        <w:tc>
          <w:tcPr>
            <w:tcW w:w="1651" w:type="dxa"/>
            <w:vAlign w:val="bottom"/>
          </w:tcPr>
          <w:p>
            <w:pPr>
              <w:pStyle w:val="55"/>
              <w:rPr>
                <w:color w:val="000000" w:themeColor="text1"/>
              </w:rPr>
            </w:pPr>
            <w:r>
              <w:rPr>
                <w:rFonts w:hint="eastAsia"/>
                <w:color w:val="000000" w:themeColor="text1"/>
              </w:rPr>
              <w:t>粒径</w:t>
            </w:r>
            <w:r>
              <w:rPr>
                <w:color w:val="000000" w:themeColor="text1"/>
              </w:rPr>
              <w:t>(um)</w:t>
            </w:r>
          </w:p>
        </w:tc>
        <w:tc>
          <w:tcPr>
            <w:tcW w:w="1134" w:type="dxa"/>
            <w:vAlign w:val="bottom"/>
          </w:tcPr>
          <w:p>
            <w:pPr>
              <w:pStyle w:val="55"/>
              <w:rPr>
                <w:color w:val="000000" w:themeColor="text1"/>
              </w:rPr>
            </w:pPr>
            <w:r>
              <w:rPr>
                <w:color w:val="000000" w:themeColor="text1"/>
              </w:rPr>
              <w:t>80</w:t>
            </w:r>
          </w:p>
        </w:tc>
        <w:tc>
          <w:tcPr>
            <w:tcW w:w="992" w:type="dxa"/>
            <w:vAlign w:val="bottom"/>
          </w:tcPr>
          <w:p>
            <w:pPr>
              <w:pStyle w:val="55"/>
              <w:rPr>
                <w:color w:val="000000" w:themeColor="text1"/>
              </w:rPr>
            </w:pPr>
            <w:r>
              <w:rPr>
                <w:color w:val="000000" w:themeColor="text1"/>
              </w:rPr>
              <w:t>90</w:t>
            </w:r>
          </w:p>
        </w:tc>
        <w:tc>
          <w:tcPr>
            <w:tcW w:w="992" w:type="dxa"/>
            <w:vAlign w:val="bottom"/>
          </w:tcPr>
          <w:p>
            <w:pPr>
              <w:pStyle w:val="55"/>
              <w:rPr>
                <w:color w:val="000000" w:themeColor="text1"/>
              </w:rPr>
            </w:pPr>
            <w:r>
              <w:rPr>
                <w:color w:val="000000" w:themeColor="text1"/>
              </w:rPr>
              <w:t>100</w:t>
            </w:r>
          </w:p>
        </w:tc>
        <w:tc>
          <w:tcPr>
            <w:tcW w:w="993" w:type="dxa"/>
            <w:vAlign w:val="bottom"/>
          </w:tcPr>
          <w:p>
            <w:pPr>
              <w:pStyle w:val="55"/>
              <w:rPr>
                <w:color w:val="000000" w:themeColor="text1"/>
              </w:rPr>
            </w:pPr>
            <w:r>
              <w:rPr>
                <w:color w:val="000000" w:themeColor="text1"/>
              </w:rPr>
              <w:t>150</w:t>
            </w:r>
          </w:p>
        </w:tc>
        <w:tc>
          <w:tcPr>
            <w:tcW w:w="992" w:type="dxa"/>
            <w:vAlign w:val="bottom"/>
          </w:tcPr>
          <w:p>
            <w:pPr>
              <w:pStyle w:val="55"/>
              <w:rPr>
                <w:color w:val="000000" w:themeColor="text1"/>
              </w:rPr>
            </w:pPr>
            <w:r>
              <w:rPr>
                <w:color w:val="000000" w:themeColor="text1"/>
              </w:rPr>
              <w:t>200</w:t>
            </w:r>
          </w:p>
        </w:tc>
        <w:tc>
          <w:tcPr>
            <w:tcW w:w="850" w:type="dxa"/>
            <w:vAlign w:val="bottom"/>
          </w:tcPr>
          <w:p>
            <w:pPr>
              <w:pStyle w:val="55"/>
              <w:rPr>
                <w:color w:val="000000" w:themeColor="text1"/>
              </w:rPr>
            </w:pPr>
            <w:r>
              <w:rPr>
                <w:color w:val="000000" w:themeColor="text1"/>
              </w:rPr>
              <w:t>250</w:t>
            </w:r>
          </w:p>
        </w:tc>
        <w:tc>
          <w:tcPr>
            <w:tcW w:w="851" w:type="dxa"/>
            <w:vAlign w:val="bottom"/>
          </w:tcPr>
          <w:p>
            <w:pPr>
              <w:pStyle w:val="55"/>
              <w:rPr>
                <w:color w:val="000000" w:themeColor="text1"/>
              </w:rPr>
            </w:pPr>
            <w:r>
              <w:rPr>
                <w:color w:val="000000" w:themeColor="text1"/>
              </w:rPr>
              <w:t>350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1" w:hRule="atLeast"/>
          <w:jc w:val="center"/>
        </w:trPr>
        <w:tc>
          <w:tcPr>
            <w:tcW w:w="1651" w:type="dxa"/>
            <w:vAlign w:val="bottom"/>
          </w:tcPr>
          <w:p>
            <w:pPr>
              <w:pStyle w:val="55"/>
              <w:rPr>
                <w:color w:val="000000" w:themeColor="text1"/>
              </w:rPr>
            </w:pPr>
            <w:r>
              <w:rPr>
                <w:rFonts w:hint="eastAsia"/>
                <w:color w:val="000000" w:themeColor="text1"/>
              </w:rPr>
              <w:t>沉降速度</w:t>
            </w:r>
            <w:r>
              <w:rPr>
                <w:color w:val="000000" w:themeColor="text1"/>
              </w:rPr>
              <w:t>(m/s)</w:t>
            </w:r>
          </w:p>
        </w:tc>
        <w:tc>
          <w:tcPr>
            <w:tcW w:w="1134" w:type="dxa"/>
            <w:vAlign w:val="bottom"/>
          </w:tcPr>
          <w:p>
            <w:pPr>
              <w:pStyle w:val="55"/>
              <w:rPr>
                <w:color w:val="000000" w:themeColor="text1"/>
              </w:rPr>
            </w:pPr>
            <w:r>
              <w:rPr>
                <w:color w:val="000000" w:themeColor="text1"/>
              </w:rPr>
              <w:t>0.158</w:t>
            </w:r>
          </w:p>
        </w:tc>
        <w:tc>
          <w:tcPr>
            <w:tcW w:w="992" w:type="dxa"/>
            <w:vAlign w:val="bottom"/>
          </w:tcPr>
          <w:p>
            <w:pPr>
              <w:pStyle w:val="55"/>
              <w:rPr>
                <w:color w:val="000000" w:themeColor="text1"/>
              </w:rPr>
            </w:pPr>
            <w:r>
              <w:rPr>
                <w:color w:val="000000" w:themeColor="text1"/>
              </w:rPr>
              <w:t>0.170</w:t>
            </w:r>
          </w:p>
        </w:tc>
        <w:tc>
          <w:tcPr>
            <w:tcW w:w="992" w:type="dxa"/>
            <w:vAlign w:val="bottom"/>
          </w:tcPr>
          <w:p>
            <w:pPr>
              <w:pStyle w:val="55"/>
              <w:rPr>
                <w:color w:val="000000" w:themeColor="text1"/>
              </w:rPr>
            </w:pPr>
            <w:r>
              <w:rPr>
                <w:color w:val="000000" w:themeColor="text1"/>
              </w:rPr>
              <w:t>0.182</w:t>
            </w:r>
          </w:p>
        </w:tc>
        <w:tc>
          <w:tcPr>
            <w:tcW w:w="993" w:type="dxa"/>
            <w:vAlign w:val="bottom"/>
          </w:tcPr>
          <w:p>
            <w:pPr>
              <w:pStyle w:val="55"/>
              <w:rPr>
                <w:color w:val="000000" w:themeColor="text1"/>
              </w:rPr>
            </w:pPr>
            <w:r>
              <w:rPr>
                <w:color w:val="000000" w:themeColor="text1"/>
              </w:rPr>
              <w:t>0.239</w:t>
            </w:r>
          </w:p>
        </w:tc>
        <w:tc>
          <w:tcPr>
            <w:tcW w:w="992" w:type="dxa"/>
            <w:vAlign w:val="bottom"/>
          </w:tcPr>
          <w:p>
            <w:pPr>
              <w:pStyle w:val="55"/>
              <w:rPr>
                <w:color w:val="000000" w:themeColor="text1"/>
              </w:rPr>
            </w:pPr>
            <w:r>
              <w:rPr>
                <w:color w:val="000000" w:themeColor="text1"/>
              </w:rPr>
              <w:t>0.804</w:t>
            </w:r>
          </w:p>
        </w:tc>
        <w:tc>
          <w:tcPr>
            <w:tcW w:w="850" w:type="dxa"/>
            <w:vAlign w:val="bottom"/>
          </w:tcPr>
          <w:p>
            <w:pPr>
              <w:pStyle w:val="55"/>
              <w:rPr>
                <w:color w:val="000000" w:themeColor="text1"/>
              </w:rPr>
            </w:pPr>
            <w:r>
              <w:rPr>
                <w:color w:val="000000" w:themeColor="text1"/>
              </w:rPr>
              <w:t>1.005</w:t>
            </w:r>
          </w:p>
        </w:tc>
        <w:tc>
          <w:tcPr>
            <w:tcW w:w="851" w:type="dxa"/>
            <w:vAlign w:val="bottom"/>
          </w:tcPr>
          <w:p>
            <w:pPr>
              <w:pStyle w:val="55"/>
              <w:rPr>
                <w:color w:val="000000" w:themeColor="text1"/>
              </w:rPr>
            </w:pPr>
            <w:r>
              <w:rPr>
                <w:color w:val="000000" w:themeColor="text1"/>
              </w:rPr>
              <w:t>1.829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99" w:hRule="atLeast"/>
          <w:jc w:val="center"/>
        </w:trPr>
        <w:tc>
          <w:tcPr>
            <w:tcW w:w="1651" w:type="dxa"/>
            <w:vAlign w:val="bottom"/>
          </w:tcPr>
          <w:p>
            <w:pPr>
              <w:pStyle w:val="55"/>
              <w:rPr>
                <w:color w:val="000000" w:themeColor="text1"/>
              </w:rPr>
            </w:pPr>
            <w:r>
              <w:rPr>
                <w:rFonts w:hint="eastAsia"/>
                <w:color w:val="000000" w:themeColor="text1"/>
              </w:rPr>
              <w:t>粒径</w:t>
            </w:r>
            <w:r>
              <w:rPr>
                <w:color w:val="000000" w:themeColor="text1"/>
              </w:rPr>
              <w:t>(um)</w:t>
            </w:r>
          </w:p>
        </w:tc>
        <w:tc>
          <w:tcPr>
            <w:tcW w:w="1134" w:type="dxa"/>
            <w:vAlign w:val="bottom"/>
          </w:tcPr>
          <w:p>
            <w:pPr>
              <w:pStyle w:val="55"/>
              <w:rPr>
                <w:color w:val="000000" w:themeColor="text1"/>
              </w:rPr>
            </w:pPr>
            <w:r>
              <w:rPr>
                <w:color w:val="000000" w:themeColor="text1"/>
              </w:rPr>
              <w:t>450</w:t>
            </w:r>
          </w:p>
        </w:tc>
        <w:tc>
          <w:tcPr>
            <w:tcW w:w="992" w:type="dxa"/>
            <w:vAlign w:val="bottom"/>
          </w:tcPr>
          <w:p>
            <w:pPr>
              <w:pStyle w:val="55"/>
              <w:rPr>
                <w:color w:val="000000" w:themeColor="text1"/>
              </w:rPr>
            </w:pPr>
            <w:r>
              <w:rPr>
                <w:color w:val="000000" w:themeColor="text1"/>
              </w:rPr>
              <w:t>550</w:t>
            </w:r>
          </w:p>
        </w:tc>
        <w:tc>
          <w:tcPr>
            <w:tcW w:w="992" w:type="dxa"/>
            <w:vAlign w:val="bottom"/>
          </w:tcPr>
          <w:p>
            <w:pPr>
              <w:pStyle w:val="55"/>
              <w:rPr>
                <w:color w:val="000000" w:themeColor="text1"/>
              </w:rPr>
            </w:pPr>
            <w:r>
              <w:rPr>
                <w:color w:val="000000" w:themeColor="text1"/>
              </w:rPr>
              <w:t>650</w:t>
            </w:r>
          </w:p>
        </w:tc>
        <w:tc>
          <w:tcPr>
            <w:tcW w:w="993" w:type="dxa"/>
            <w:vAlign w:val="bottom"/>
          </w:tcPr>
          <w:p>
            <w:pPr>
              <w:pStyle w:val="55"/>
              <w:rPr>
                <w:color w:val="000000" w:themeColor="text1"/>
              </w:rPr>
            </w:pPr>
            <w:r>
              <w:rPr>
                <w:color w:val="000000" w:themeColor="text1"/>
              </w:rPr>
              <w:t>750</w:t>
            </w:r>
          </w:p>
        </w:tc>
        <w:tc>
          <w:tcPr>
            <w:tcW w:w="992" w:type="dxa"/>
            <w:vAlign w:val="bottom"/>
          </w:tcPr>
          <w:p>
            <w:pPr>
              <w:pStyle w:val="55"/>
              <w:rPr>
                <w:color w:val="000000" w:themeColor="text1"/>
              </w:rPr>
            </w:pPr>
            <w:r>
              <w:rPr>
                <w:color w:val="000000" w:themeColor="text1"/>
              </w:rPr>
              <w:t>850</w:t>
            </w:r>
          </w:p>
        </w:tc>
        <w:tc>
          <w:tcPr>
            <w:tcW w:w="850" w:type="dxa"/>
            <w:vAlign w:val="bottom"/>
          </w:tcPr>
          <w:p>
            <w:pPr>
              <w:pStyle w:val="55"/>
              <w:rPr>
                <w:color w:val="000000" w:themeColor="text1"/>
              </w:rPr>
            </w:pPr>
            <w:r>
              <w:rPr>
                <w:color w:val="000000" w:themeColor="text1"/>
              </w:rPr>
              <w:t>950</w:t>
            </w:r>
          </w:p>
        </w:tc>
        <w:tc>
          <w:tcPr>
            <w:tcW w:w="851" w:type="dxa"/>
            <w:vAlign w:val="bottom"/>
          </w:tcPr>
          <w:p>
            <w:pPr>
              <w:pStyle w:val="55"/>
              <w:rPr>
                <w:color w:val="000000" w:themeColor="text1"/>
              </w:rPr>
            </w:pPr>
            <w:r>
              <w:rPr>
                <w:color w:val="000000" w:themeColor="text1"/>
              </w:rPr>
              <w:t>1050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99" w:hRule="atLeast"/>
          <w:jc w:val="center"/>
        </w:trPr>
        <w:tc>
          <w:tcPr>
            <w:tcW w:w="1651" w:type="dxa"/>
            <w:vAlign w:val="bottom"/>
          </w:tcPr>
          <w:p>
            <w:pPr>
              <w:pStyle w:val="55"/>
              <w:rPr>
                <w:color w:val="000000" w:themeColor="text1"/>
              </w:rPr>
            </w:pPr>
            <w:r>
              <w:rPr>
                <w:rFonts w:hint="eastAsia"/>
                <w:color w:val="000000" w:themeColor="text1"/>
              </w:rPr>
              <w:t>沉降速度</w:t>
            </w:r>
            <w:r>
              <w:rPr>
                <w:color w:val="000000" w:themeColor="text1"/>
              </w:rPr>
              <w:t>(m/s)</w:t>
            </w:r>
          </w:p>
        </w:tc>
        <w:tc>
          <w:tcPr>
            <w:tcW w:w="1134" w:type="dxa"/>
            <w:vAlign w:val="bottom"/>
          </w:tcPr>
          <w:p>
            <w:pPr>
              <w:pStyle w:val="55"/>
              <w:rPr>
                <w:color w:val="000000" w:themeColor="text1"/>
              </w:rPr>
            </w:pPr>
            <w:r>
              <w:rPr>
                <w:color w:val="000000" w:themeColor="text1"/>
              </w:rPr>
              <w:t>2.211</w:t>
            </w:r>
          </w:p>
        </w:tc>
        <w:tc>
          <w:tcPr>
            <w:tcW w:w="992" w:type="dxa"/>
            <w:vAlign w:val="bottom"/>
          </w:tcPr>
          <w:p>
            <w:pPr>
              <w:pStyle w:val="55"/>
              <w:rPr>
                <w:color w:val="000000" w:themeColor="text1"/>
              </w:rPr>
            </w:pPr>
            <w:r>
              <w:rPr>
                <w:color w:val="000000" w:themeColor="text1"/>
              </w:rPr>
              <w:t>2.614</w:t>
            </w:r>
          </w:p>
        </w:tc>
        <w:tc>
          <w:tcPr>
            <w:tcW w:w="992" w:type="dxa"/>
            <w:vAlign w:val="bottom"/>
          </w:tcPr>
          <w:p>
            <w:pPr>
              <w:pStyle w:val="55"/>
              <w:rPr>
                <w:color w:val="000000" w:themeColor="text1"/>
              </w:rPr>
            </w:pPr>
            <w:r>
              <w:rPr>
                <w:color w:val="000000" w:themeColor="text1"/>
              </w:rPr>
              <w:t>3.016</w:t>
            </w:r>
          </w:p>
        </w:tc>
        <w:tc>
          <w:tcPr>
            <w:tcW w:w="993" w:type="dxa"/>
            <w:vAlign w:val="bottom"/>
          </w:tcPr>
          <w:p>
            <w:pPr>
              <w:pStyle w:val="55"/>
              <w:rPr>
                <w:color w:val="000000" w:themeColor="text1"/>
              </w:rPr>
            </w:pPr>
            <w:r>
              <w:rPr>
                <w:color w:val="000000" w:themeColor="text1"/>
              </w:rPr>
              <w:t>3.418</w:t>
            </w:r>
          </w:p>
        </w:tc>
        <w:tc>
          <w:tcPr>
            <w:tcW w:w="992" w:type="dxa"/>
            <w:vAlign w:val="bottom"/>
          </w:tcPr>
          <w:p>
            <w:pPr>
              <w:pStyle w:val="55"/>
              <w:rPr>
                <w:color w:val="000000" w:themeColor="text1"/>
              </w:rPr>
            </w:pPr>
            <w:r>
              <w:rPr>
                <w:color w:val="000000" w:themeColor="text1"/>
              </w:rPr>
              <w:t>3.820</w:t>
            </w:r>
          </w:p>
        </w:tc>
        <w:tc>
          <w:tcPr>
            <w:tcW w:w="850" w:type="dxa"/>
            <w:vAlign w:val="bottom"/>
          </w:tcPr>
          <w:p>
            <w:pPr>
              <w:pStyle w:val="55"/>
              <w:rPr>
                <w:color w:val="000000" w:themeColor="text1"/>
              </w:rPr>
            </w:pPr>
            <w:r>
              <w:rPr>
                <w:color w:val="000000" w:themeColor="text1"/>
              </w:rPr>
              <w:t>4.222</w:t>
            </w:r>
          </w:p>
        </w:tc>
        <w:tc>
          <w:tcPr>
            <w:tcW w:w="851" w:type="dxa"/>
            <w:vAlign w:val="bottom"/>
          </w:tcPr>
          <w:p>
            <w:pPr>
              <w:pStyle w:val="55"/>
              <w:rPr>
                <w:color w:val="000000" w:themeColor="text1"/>
              </w:rPr>
            </w:pPr>
            <w:r>
              <w:rPr>
                <w:color w:val="000000" w:themeColor="text1"/>
              </w:rPr>
              <w:t>4.624</w:t>
            </w:r>
          </w:p>
        </w:tc>
      </w:tr>
    </w:tbl>
    <w:p>
      <w:pPr>
        <w:ind w:firstLine="480"/>
        <w:rPr>
          <w:color w:val="000000" w:themeColor="text1"/>
        </w:rPr>
      </w:pPr>
      <w:r>
        <w:rPr>
          <w:rFonts w:hint="eastAsia"/>
          <w:color w:val="000000" w:themeColor="text1"/>
        </w:rPr>
        <w:t>由表</w:t>
      </w:r>
      <w:r>
        <w:rPr>
          <w:color w:val="000000" w:themeColor="text1"/>
        </w:rPr>
        <w:t>2.9</w:t>
      </w:r>
      <w:r>
        <w:rPr>
          <w:rFonts w:hint="eastAsia"/>
          <w:color w:val="000000" w:themeColor="text1"/>
        </w:rPr>
        <w:t>.1</w:t>
      </w:r>
      <w:r>
        <w:rPr>
          <w:color w:val="000000" w:themeColor="text1"/>
        </w:rPr>
        <w:t>-1</w:t>
      </w:r>
      <w:r>
        <w:rPr>
          <w:rFonts w:hint="eastAsia"/>
          <w:color w:val="000000" w:themeColor="text1"/>
        </w:rPr>
        <w:t>可知，尘粒的沉降速度随粒径的增大而迅速增大。当粒径为</w:t>
      </w:r>
      <w:r>
        <w:rPr>
          <w:color w:val="000000" w:themeColor="text1"/>
        </w:rPr>
        <w:t>250</w:t>
      </w:r>
      <w:r>
        <w:rPr>
          <w:rFonts w:hint="eastAsia"/>
          <w:color w:val="000000" w:themeColor="text1"/>
        </w:rPr>
        <w:t>微米时，主要影响范围在扬尘点下风向近距离范围内，而真正对外环境产生影响的是一些微小尘粒。根据现场气候的情况不同，其影响范围也有所不同。</w:t>
      </w:r>
    </w:p>
    <w:p>
      <w:pPr>
        <w:ind w:firstLine="480"/>
        <w:rPr>
          <w:color w:val="000000" w:themeColor="text1"/>
        </w:rPr>
      </w:pPr>
      <w:r>
        <w:rPr>
          <w:rFonts w:hint="eastAsia"/>
          <w:color w:val="000000" w:themeColor="text1"/>
        </w:rPr>
        <w:t>本项目施工期应注意施工扬尘的防治问题，拟采取以下措施，以减少施工扬尘对周围环境的影响。</w:t>
      </w:r>
    </w:p>
    <w:p>
      <w:pPr>
        <w:ind w:firstLine="480"/>
        <w:rPr>
          <w:color w:val="000000" w:themeColor="text1"/>
        </w:rPr>
      </w:pPr>
      <w:r>
        <w:rPr>
          <w:rFonts w:hint="eastAsia"/>
          <w:color w:val="000000" w:themeColor="text1"/>
        </w:rPr>
        <w:t>①对施工现场实行合理化管理，砂石料统一堆放，水泥设专门库房堆放，并尽量减少搬运环节，搬运时做到轻举轻放，防止包装袋破裂；</w:t>
      </w:r>
    </w:p>
    <w:p>
      <w:pPr>
        <w:ind w:firstLine="480"/>
        <w:rPr>
          <w:color w:val="000000" w:themeColor="text1"/>
        </w:rPr>
      </w:pPr>
      <w:r>
        <w:rPr>
          <w:rFonts w:hint="eastAsia"/>
          <w:color w:val="000000" w:themeColor="text1"/>
        </w:rPr>
        <w:t>②开挖时，对作业面和土堆适当喷水，使其保持一定湿度，以减少扬尘量。而且开挖的泥土和建筑垃圾要及时运走，以防长期堆放表面干燥而起尘或被雨水冲刷；</w:t>
      </w:r>
    </w:p>
    <w:p>
      <w:pPr>
        <w:ind w:firstLine="480"/>
        <w:rPr>
          <w:color w:val="000000" w:themeColor="text1"/>
        </w:rPr>
      </w:pPr>
      <w:r>
        <w:rPr>
          <w:rFonts w:hint="eastAsia"/>
          <w:color w:val="000000" w:themeColor="text1"/>
        </w:rPr>
        <w:t>③运输车辆应完好，不应装载过满，并尽量采取遮盖、密闭措施，减少沿途抛洒，并及时清扫散落在地面上的泥土和建筑材料，冲洗轮胎，定时洒水压尘，以减少运输过程中的扬尘；本项目施工期间，车辆频繁进出附近道路，散落在附近地面上的扬尘需及时清扫，保持道路的整洁；</w:t>
      </w:r>
    </w:p>
    <w:p>
      <w:pPr>
        <w:ind w:firstLine="480"/>
        <w:rPr>
          <w:color w:val="000000" w:themeColor="text1"/>
        </w:rPr>
      </w:pPr>
      <w:r>
        <w:rPr>
          <w:rFonts w:hint="eastAsia"/>
          <w:color w:val="000000" w:themeColor="text1"/>
        </w:rPr>
        <w:t>④应首选使用商品混凝土，因需要必须进行现场搅拌砂浆、混凝土时，应尽量做到不洒、不漏、不剩不倒；混凝土搅拌应设置在棚内，搅拌时要有喷雾降尘措施；</w:t>
      </w:r>
    </w:p>
    <w:p>
      <w:pPr>
        <w:ind w:firstLine="480"/>
        <w:rPr>
          <w:color w:val="000000" w:themeColor="text1"/>
        </w:rPr>
      </w:pPr>
      <w:r>
        <w:rPr>
          <w:rFonts w:hint="eastAsia"/>
          <w:color w:val="000000" w:themeColor="text1"/>
        </w:rPr>
        <w:t>⑤施工现场要设围栏或部分围栏，缩小施工扬尘扩散范围；</w:t>
      </w:r>
    </w:p>
    <w:p>
      <w:pPr>
        <w:ind w:firstLine="480"/>
        <w:rPr>
          <w:color w:val="000000" w:themeColor="text1"/>
        </w:rPr>
      </w:pPr>
      <w:r>
        <w:rPr>
          <w:rFonts w:hint="eastAsia"/>
          <w:color w:val="000000" w:themeColor="text1"/>
        </w:rPr>
        <w:t>⑥对排烟大的施工机械安装消烟装置，以减轻对大气环境的污染。</w:t>
      </w:r>
    </w:p>
    <w:p>
      <w:pPr>
        <w:ind w:firstLine="480"/>
        <w:rPr>
          <w:color w:val="000000" w:themeColor="text1"/>
        </w:rPr>
      </w:pPr>
      <w:r>
        <w:rPr>
          <w:rFonts w:hint="eastAsia"/>
          <w:color w:val="000000" w:themeColor="text1"/>
        </w:rPr>
        <w:t>（2）施工机械及运输车辆尾气</w:t>
      </w:r>
    </w:p>
    <w:p>
      <w:pPr>
        <w:ind w:firstLine="480"/>
        <w:rPr>
          <w:rFonts w:hAnsi="Calibri" w:cs="Times New Roman"/>
          <w:color w:val="000000" w:themeColor="text1"/>
        </w:rPr>
      </w:pPr>
      <w:r>
        <w:rPr>
          <w:rFonts w:hint="eastAsia" w:ascii="Calibri" w:hAnsi="Calibri"/>
          <w:color w:val="000000" w:themeColor="text1"/>
        </w:rPr>
        <w:t>在施工过程中，会使用挖掘机、装载机、打桩机、运载车等各种机械设备，在运行过程中会有尾气排放，主要污染</w:t>
      </w:r>
      <w:r>
        <w:rPr>
          <w:rFonts w:hAnsi="Calibri" w:cs="Times New Roman"/>
          <w:color w:val="000000" w:themeColor="text1"/>
        </w:rPr>
        <w:t>物包括</w:t>
      </w:r>
      <w:r>
        <w:rPr>
          <w:rFonts w:cs="Times New Roman"/>
          <w:color w:val="000000" w:themeColor="text1"/>
        </w:rPr>
        <w:t>CO</w:t>
      </w:r>
      <w:r>
        <w:rPr>
          <w:rFonts w:hAnsi="Calibri" w:cs="Times New Roman"/>
          <w:color w:val="000000" w:themeColor="text1"/>
        </w:rPr>
        <w:t>、</w:t>
      </w:r>
      <w:r>
        <w:rPr>
          <w:rFonts w:cs="Times New Roman"/>
          <w:color w:val="000000" w:themeColor="text1"/>
        </w:rPr>
        <w:t>THC</w:t>
      </w:r>
      <w:r>
        <w:rPr>
          <w:rFonts w:hAnsi="Calibri" w:cs="Times New Roman"/>
          <w:color w:val="000000" w:themeColor="text1"/>
        </w:rPr>
        <w:t>、</w:t>
      </w:r>
      <w:r>
        <w:rPr>
          <w:rFonts w:cs="Times New Roman"/>
          <w:color w:val="000000" w:themeColor="text1"/>
        </w:rPr>
        <w:t>NO</w:t>
      </w:r>
      <w:r>
        <w:rPr>
          <w:rFonts w:cs="Times New Roman"/>
          <w:color w:val="000000" w:themeColor="text1"/>
          <w:vertAlign w:val="subscript"/>
        </w:rPr>
        <w:t>X</w:t>
      </w:r>
      <w:r>
        <w:rPr>
          <w:rFonts w:hAnsi="Calibri" w:cs="Times New Roman"/>
          <w:color w:val="000000" w:themeColor="text1"/>
        </w:rPr>
        <w:t>等，</w:t>
      </w:r>
      <w:r>
        <w:rPr>
          <w:rFonts w:hint="eastAsia"/>
          <w:bCs/>
          <w:color w:val="000000" w:themeColor="text1"/>
          <w:szCs w:val="24"/>
        </w:rPr>
        <w:t>施工活动场所的运输车辆和挖掘机产生的尾气均为间歇式排放，对环境空气造成的影响取决于排放量和气候条件，施工方应及时检修保养机械设备，防止非正常排放。</w:t>
      </w:r>
      <w:r>
        <w:rPr>
          <w:rFonts w:hAnsi="Calibri" w:cs="Times New Roman"/>
          <w:color w:val="000000" w:themeColor="text1"/>
        </w:rPr>
        <w:t>排放量较小，随大气扩散和稀释，对周围环境影响不大。</w:t>
      </w:r>
    </w:p>
    <w:p>
      <w:pPr>
        <w:ind w:firstLine="480"/>
        <w:rPr>
          <w:color w:val="000000" w:themeColor="text1"/>
        </w:rPr>
      </w:pPr>
      <w:r>
        <w:rPr>
          <w:rFonts w:hint="eastAsia" w:hAnsi="Calibri" w:cs="Times New Roman"/>
          <w:color w:val="000000" w:themeColor="text1"/>
        </w:rPr>
        <w:t>（3）</w:t>
      </w:r>
      <w:r>
        <w:rPr>
          <w:rFonts w:hint="eastAsia"/>
          <w:color w:val="000000" w:themeColor="text1"/>
          <w:szCs w:val="24"/>
        </w:rPr>
        <w:t>装修废气</w:t>
      </w:r>
    </w:p>
    <w:p>
      <w:pPr>
        <w:ind w:firstLine="480"/>
        <w:rPr>
          <w:color w:val="000000" w:themeColor="text1"/>
          <w:szCs w:val="24"/>
        </w:rPr>
      </w:pPr>
      <w:r>
        <w:rPr>
          <w:rFonts w:hint="eastAsia"/>
          <w:color w:val="000000" w:themeColor="text1"/>
          <w:szCs w:val="24"/>
        </w:rPr>
        <w:t>项目办公生活楼等建筑建成后需经过一段时间的装修阶段，届时将会有油漆废气产生，根据市场调查，涂料废气中有害气体主要为油漆废气，油漆废气的主要污染因子为油性涂料中的甲醛、二甲苯和甲苯，此外还有极少量的汽油、丁醇、丙醇等，该废气的排放属无组织排放，排放量较少。</w:t>
      </w:r>
    </w:p>
    <w:p>
      <w:pPr>
        <w:pStyle w:val="38"/>
        <w:ind w:firstLine="281"/>
        <w:rPr>
          <w:color w:val="000000" w:themeColor="text1"/>
        </w:rPr>
      </w:pPr>
      <w:bookmarkStart w:id="64" w:name="_Toc47375822"/>
      <w:r>
        <w:rPr>
          <w:rFonts w:hint="eastAsia"/>
          <w:color w:val="000000" w:themeColor="text1"/>
        </w:rPr>
        <w:t>2.9.2废水</w:t>
      </w:r>
      <w:bookmarkEnd w:id="64"/>
    </w:p>
    <w:p>
      <w:pPr>
        <w:ind w:firstLine="480"/>
        <w:rPr>
          <w:color w:val="000000" w:themeColor="text1"/>
        </w:rPr>
      </w:pPr>
      <w:r>
        <w:rPr>
          <w:rFonts w:hint="eastAsia"/>
          <w:color w:val="000000" w:themeColor="text1"/>
        </w:rPr>
        <w:t>项目施工过程产生的废水来自施工人员的工程废水及施工人员生活废水。</w:t>
      </w:r>
    </w:p>
    <w:p>
      <w:pPr>
        <w:ind w:firstLine="480"/>
        <w:rPr>
          <w:color w:val="000000" w:themeColor="text1"/>
        </w:rPr>
      </w:pPr>
      <w:r>
        <w:rPr>
          <w:rFonts w:hint="eastAsia"/>
          <w:color w:val="000000" w:themeColor="text1"/>
        </w:rPr>
        <w:t>（1）工程废水</w:t>
      </w:r>
    </w:p>
    <w:p>
      <w:pPr>
        <w:ind w:firstLine="480"/>
        <w:rPr>
          <w:color w:val="000000" w:themeColor="text1"/>
        </w:rPr>
      </w:pPr>
      <w:r>
        <w:rPr>
          <w:rFonts w:hint="eastAsia"/>
          <w:color w:val="000000" w:themeColor="text1"/>
        </w:rPr>
        <w:t>建筑施工废水主要为混凝土养护废水、工具清洗废水等，废水中所含污染物主要为</w:t>
      </w:r>
      <w:r>
        <w:rPr>
          <w:color w:val="000000" w:themeColor="text1"/>
        </w:rPr>
        <w:t>SS</w:t>
      </w:r>
      <w:r>
        <w:rPr>
          <w:rFonts w:hint="eastAsia"/>
          <w:color w:val="000000" w:themeColor="text1"/>
        </w:rPr>
        <w:t>。施工期间厂区内设置简易沉淀池，施工废水经沉淀后回用于场地洒水降尘，不产生外排废水。本项目建筑面积为4115.29</w:t>
      </w:r>
      <w:r>
        <w:rPr>
          <w:color w:val="000000" w:themeColor="text1"/>
        </w:rPr>
        <w:t>m</w:t>
      </w:r>
      <w:r>
        <w:rPr>
          <w:color w:val="000000" w:themeColor="text1"/>
          <w:vertAlign w:val="superscript"/>
        </w:rPr>
        <w:t>2</w:t>
      </w:r>
      <w:r>
        <w:rPr>
          <w:rFonts w:hint="eastAsia"/>
          <w:color w:val="000000" w:themeColor="text1"/>
        </w:rPr>
        <w:t>，建筑用水量参照执行《云南省用水定额》（</w:t>
      </w:r>
      <w:r>
        <w:rPr>
          <w:color w:val="000000" w:themeColor="text1"/>
        </w:rPr>
        <w:t>DB53/T 168-2019</w:t>
      </w:r>
      <w:r>
        <w:rPr>
          <w:rFonts w:hint="eastAsia"/>
          <w:color w:val="000000" w:themeColor="text1"/>
        </w:rPr>
        <w:t>）中建筑业用水定额：砖混结构建筑物用水为</w:t>
      </w:r>
      <w:r>
        <w:rPr>
          <w:color w:val="000000" w:themeColor="text1"/>
        </w:rPr>
        <w:t>1</w:t>
      </w:r>
      <w:r>
        <w:rPr>
          <w:rFonts w:hint="eastAsia"/>
          <w:color w:val="000000" w:themeColor="text1"/>
        </w:rPr>
        <w:t>.3</w:t>
      </w:r>
      <w:r>
        <w:rPr>
          <w:color w:val="000000" w:themeColor="text1"/>
        </w:rPr>
        <w:t>m</w:t>
      </w:r>
      <w:r>
        <w:rPr>
          <w:color w:val="000000" w:themeColor="text1"/>
          <w:vertAlign w:val="superscript"/>
        </w:rPr>
        <w:t>3</w:t>
      </w:r>
      <w:r>
        <w:rPr>
          <w:color w:val="000000" w:themeColor="text1"/>
        </w:rPr>
        <w:t>/m</w:t>
      </w:r>
      <w:r>
        <w:rPr>
          <w:color w:val="000000" w:themeColor="text1"/>
          <w:vertAlign w:val="superscript"/>
        </w:rPr>
        <w:t>2</w:t>
      </w:r>
      <w:r>
        <w:rPr>
          <w:rFonts w:hint="eastAsia"/>
          <w:color w:val="000000" w:themeColor="text1"/>
        </w:rPr>
        <w:t>（包含了施工管理人员的生活用水），则本项目施工期生产用水总量估计为5349.88</w:t>
      </w:r>
      <w:r>
        <w:rPr>
          <w:color w:val="000000" w:themeColor="text1"/>
        </w:rPr>
        <w:t>m</w:t>
      </w:r>
      <w:r>
        <w:rPr>
          <w:color w:val="000000" w:themeColor="text1"/>
          <w:vertAlign w:val="superscript"/>
        </w:rPr>
        <w:t>3</w:t>
      </w:r>
      <w:r>
        <w:rPr>
          <w:color w:val="000000" w:themeColor="text1"/>
        </w:rPr>
        <w:t>(</w:t>
      </w:r>
      <w:r>
        <w:rPr>
          <w:rFonts w:hint="eastAsia"/>
          <w:color w:val="000000" w:themeColor="text1"/>
        </w:rPr>
        <w:t>建设施工期180天</w:t>
      </w:r>
      <w:r>
        <w:rPr>
          <w:color w:val="000000" w:themeColor="text1"/>
        </w:rPr>
        <w:t>)</w:t>
      </w:r>
      <w:r>
        <w:rPr>
          <w:rFonts w:hint="eastAsia"/>
          <w:color w:val="000000" w:themeColor="text1"/>
        </w:rPr>
        <w:t>，约30</w:t>
      </w:r>
      <w:r>
        <w:rPr>
          <w:color w:val="000000" w:themeColor="text1"/>
        </w:rPr>
        <w:t>m</w:t>
      </w:r>
      <w:r>
        <w:rPr>
          <w:color w:val="000000" w:themeColor="text1"/>
          <w:vertAlign w:val="superscript"/>
        </w:rPr>
        <w:t>3</w:t>
      </w:r>
      <w:r>
        <w:rPr>
          <w:color w:val="000000" w:themeColor="text1"/>
        </w:rPr>
        <w:t>/d</w:t>
      </w:r>
      <w:r>
        <w:rPr>
          <w:rFonts w:hint="eastAsia"/>
          <w:color w:val="000000" w:themeColor="text1"/>
        </w:rPr>
        <w:t>，用作沙浆制备和混凝土养护，其中约有</w:t>
      </w:r>
      <w:r>
        <w:rPr>
          <w:color w:val="000000" w:themeColor="text1"/>
        </w:rPr>
        <w:t>80%</w:t>
      </w:r>
      <w:r>
        <w:rPr>
          <w:rFonts w:hint="eastAsia"/>
          <w:color w:val="000000" w:themeColor="text1"/>
        </w:rPr>
        <w:t>蒸发或进入物料，则施工期工程废水的产生量为1066</w:t>
      </w:r>
      <w:r>
        <w:rPr>
          <w:color w:val="000000" w:themeColor="text1"/>
        </w:rPr>
        <w:t>m</w:t>
      </w:r>
      <w:r>
        <w:rPr>
          <w:color w:val="000000" w:themeColor="text1"/>
          <w:vertAlign w:val="superscript"/>
        </w:rPr>
        <w:t>3</w:t>
      </w:r>
      <w:r>
        <w:rPr>
          <w:color w:val="000000" w:themeColor="text1"/>
        </w:rPr>
        <w:t>(</w:t>
      </w:r>
      <w:r>
        <w:rPr>
          <w:rFonts w:hint="eastAsia"/>
          <w:color w:val="000000" w:themeColor="text1"/>
        </w:rPr>
        <w:t>约6</w:t>
      </w:r>
      <w:r>
        <w:rPr>
          <w:color w:val="000000" w:themeColor="text1"/>
        </w:rPr>
        <w:t>m</w:t>
      </w:r>
      <w:r>
        <w:rPr>
          <w:color w:val="000000" w:themeColor="text1"/>
          <w:vertAlign w:val="superscript"/>
        </w:rPr>
        <w:t>3</w:t>
      </w:r>
      <w:r>
        <w:rPr>
          <w:color w:val="000000" w:themeColor="text1"/>
        </w:rPr>
        <w:t>/d)</w:t>
      </w:r>
      <w:r>
        <w:rPr>
          <w:rFonts w:hint="eastAsia"/>
          <w:color w:val="000000" w:themeColor="text1"/>
        </w:rPr>
        <w:t>。工程废水主要有砂石料冲洗废水、施工机械设备冲洗废水等，经类比分析，此类废水中</w:t>
      </w:r>
      <w:r>
        <w:rPr>
          <w:color w:val="000000" w:themeColor="text1"/>
        </w:rPr>
        <w:t>COD</w:t>
      </w:r>
      <w:r>
        <w:rPr>
          <w:rFonts w:hint="eastAsia"/>
          <w:color w:val="000000" w:themeColor="text1"/>
        </w:rPr>
        <w:t>浓度一般低于</w:t>
      </w:r>
      <w:r>
        <w:rPr>
          <w:color w:val="000000" w:themeColor="text1"/>
        </w:rPr>
        <w:t>50mg/</w:t>
      </w:r>
      <w:r>
        <w:rPr>
          <w:rFonts w:hint="eastAsia"/>
          <w:color w:val="000000" w:themeColor="text1"/>
        </w:rPr>
        <w:t>L，</w:t>
      </w:r>
      <w:r>
        <w:rPr>
          <w:color w:val="000000" w:themeColor="text1"/>
        </w:rPr>
        <w:t>SS</w:t>
      </w:r>
      <w:r>
        <w:rPr>
          <w:rFonts w:hint="eastAsia"/>
          <w:color w:val="000000" w:themeColor="text1"/>
        </w:rPr>
        <w:t>浓度一般为</w:t>
      </w:r>
      <w:r>
        <w:rPr>
          <w:color w:val="000000" w:themeColor="text1"/>
        </w:rPr>
        <w:t>400mg/</w:t>
      </w:r>
      <w:r>
        <w:rPr>
          <w:rFonts w:hint="eastAsia"/>
          <w:color w:val="000000" w:themeColor="text1"/>
        </w:rPr>
        <w:t>L，产生量分别约为</w:t>
      </w:r>
      <w:r>
        <w:rPr>
          <w:color w:val="000000" w:themeColor="text1"/>
        </w:rPr>
        <w:t>COD</w:t>
      </w:r>
      <w:r>
        <w:rPr>
          <w:rFonts w:hint="eastAsia"/>
          <w:color w:val="000000" w:themeColor="text1"/>
        </w:rPr>
        <w:t>：</w:t>
      </w:r>
      <w:r>
        <w:rPr>
          <w:color w:val="000000" w:themeColor="text1"/>
        </w:rPr>
        <w:t>0.05</w:t>
      </w:r>
      <w:r>
        <w:rPr>
          <w:rFonts w:hint="eastAsia"/>
          <w:color w:val="000000" w:themeColor="text1"/>
        </w:rPr>
        <w:t>3</w:t>
      </w:r>
      <w:r>
        <w:rPr>
          <w:color w:val="000000" w:themeColor="text1"/>
        </w:rPr>
        <w:t>t</w:t>
      </w:r>
      <w:r>
        <w:rPr>
          <w:rFonts w:hint="eastAsia"/>
          <w:color w:val="000000" w:themeColor="text1"/>
        </w:rPr>
        <w:t>、</w:t>
      </w:r>
      <w:r>
        <w:rPr>
          <w:color w:val="000000" w:themeColor="text1"/>
        </w:rPr>
        <w:t>SS</w:t>
      </w:r>
      <w:r>
        <w:rPr>
          <w:rFonts w:hint="eastAsia"/>
          <w:color w:val="000000" w:themeColor="text1"/>
        </w:rPr>
        <w:t>：</w:t>
      </w:r>
      <w:r>
        <w:rPr>
          <w:color w:val="000000" w:themeColor="text1"/>
        </w:rPr>
        <w:t>0.</w:t>
      </w:r>
      <w:r>
        <w:rPr>
          <w:rFonts w:hint="eastAsia"/>
          <w:color w:val="000000" w:themeColor="text1"/>
        </w:rPr>
        <w:t>426</w:t>
      </w:r>
      <w:r>
        <w:rPr>
          <w:color w:val="000000" w:themeColor="text1"/>
        </w:rPr>
        <w:t>t</w:t>
      </w:r>
      <w:r>
        <w:rPr>
          <w:rFonts w:hint="eastAsia"/>
          <w:color w:val="000000" w:themeColor="text1"/>
        </w:rPr>
        <w:t>。产生的施工废水如果直接进入周边水系将会造成水中的悬浮物增加，因此，项目施工方应在施工场地内修建一些简易的沟渠，将建筑施工废水引入沉淀池，经沉淀后用于场地洒水，将不会对周边水系造成不良影响，并且随着施工的结束该影响也随着结束。</w:t>
      </w:r>
    </w:p>
    <w:p>
      <w:pPr>
        <w:ind w:firstLine="480"/>
        <w:rPr>
          <w:color w:val="000000" w:themeColor="text1"/>
        </w:rPr>
      </w:pPr>
      <w:r>
        <w:rPr>
          <w:rFonts w:hint="eastAsia"/>
          <w:color w:val="000000" w:themeColor="text1"/>
        </w:rPr>
        <w:t>（2）生活废水</w:t>
      </w:r>
    </w:p>
    <w:p>
      <w:pPr>
        <w:ind w:firstLine="480"/>
        <w:rPr>
          <w:color w:val="000000" w:themeColor="text1"/>
        </w:rPr>
      </w:pPr>
      <w:r>
        <w:rPr>
          <w:rFonts w:hint="eastAsia"/>
          <w:color w:val="000000" w:themeColor="text1"/>
        </w:rPr>
        <w:t>本项目不设置施工营地，施工人员平均按5</w:t>
      </w:r>
      <w:r>
        <w:rPr>
          <w:color w:val="000000" w:themeColor="text1"/>
        </w:rPr>
        <w:t>0</w:t>
      </w:r>
      <w:r>
        <w:rPr>
          <w:rFonts w:hint="eastAsia"/>
          <w:color w:val="000000" w:themeColor="text1"/>
        </w:rPr>
        <w:t>人</w:t>
      </w:r>
      <w:r>
        <w:rPr>
          <w:color w:val="000000" w:themeColor="text1"/>
        </w:rPr>
        <w:t>/d</w:t>
      </w:r>
      <w:r>
        <w:rPr>
          <w:rFonts w:hint="eastAsia"/>
          <w:color w:val="000000" w:themeColor="text1"/>
        </w:rPr>
        <w:t>计，施工人员均来自于砚山县城或项目周边居住区，且不在场内食宿，生活用水主要为洗手废水及粪便污水，生活用水量按15</w:t>
      </w:r>
      <w:r>
        <w:rPr>
          <w:color w:val="000000" w:themeColor="text1"/>
        </w:rPr>
        <w:t>L/</w:t>
      </w:r>
      <w:r>
        <w:rPr>
          <w:rFonts w:hint="eastAsia"/>
          <w:color w:val="000000" w:themeColor="text1"/>
        </w:rPr>
        <w:t>人</w:t>
      </w:r>
      <w:r>
        <w:rPr>
          <w:color w:val="000000" w:themeColor="text1"/>
        </w:rPr>
        <w:t>·</w:t>
      </w:r>
      <w:r>
        <w:rPr>
          <w:rFonts w:hint="eastAsia"/>
          <w:color w:val="000000" w:themeColor="text1"/>
        </w:rPr>
        <w:t>日计，则生活用水量为</w:t>
      </w:r>
      <w:r>
        <w:rPr>
          <w:color w:val="000000" w:themeColor="text1"/>
        </w:rPr>
        <w:t>0.</w:t>
      </w:r>
      <w:r>
        <w:rPr>
          <w:rFonts w:hint="eastAsia"/>
          <w:color w:val="000000" w:themeColor="text1"/>
        </w:rPr>
        <w:t>75</w:t>
      </w:r>
      <w:r>
        <w:rPr>
          <w:color w:val="000000" w:themeColor="text1"/>
        </w:rPr>
        <w:t>m</w:t>
      </w:r>
      <w:r>
        <w:rPr>
          <w:color w:val="000000" w:themeColor="text1"/>
          <w:vertAlign w:val="superscript"/>
        </w:rPr>
        <w:t>3</w:t>
      </w:r>
      <w:r>
        <w:rPr>
          <w:color w:val="000000" w:themeColor="text1"/>
        </w:rPr>
        <w:t>/d</w:t>
      </w:r>
      <w:r>
        <w:rPr>
          <w:rFonts w:hint="eastAsia"/>
          <w:color w:val="000000" w:themeColor="text1"/>
        </w:rPr>
        <w:t>，施工期180</w:t>
      </w:r>
      <w:r>
        <w:rPr>
          <w:color w:val="000000" w:themeColor="text1"/>
        </w:rPr>
        <w:t>d</w:t>
      </w:r>
      <w:r>
        <w:rPr>
          <w:rFonts w:hint="eastAsia"/>
          <w:color w:val="000000" w:themeColor="text1"/>
        </w:rPr>
        <w:t>。废水的排放量按用水量的</w:t>
      </w:r>
      <w:r>
        <w:rPr>
          <w:color w:val="000000" w:themeColor="text1"/>
        </w:rPr>
        <w:t>80%</w:t>
      </w:r>
      <w:r>
        <w:rPr>
          <w:rFonts w:hint="eastAsia"/>
          <w:color w:val="000000" w:themeColor="text1"/>
        </w:rPr>
        <w:t>计，则废水的排放量为</w:t>
      </w:r>
      <w:r>
        <w:rPr>
          <w:color w:val="000000" w:themeColor="text1"/>
        </w:rPr>
        <w:t>0.</w:t>
      </w:r>
      <w:r>
        <w:rPr>
          <w:rFonts w:hint="eastAsia"/>
          <w:color w:val="000000" w:themeColor="text1"/>
        </w:rPr>
        <w:t>6</w:t>
      </w:r>
      <w:r>
        <w:rPr>
          <w:color w:val="000000" w:themeColor="text1"/>
        </w:rPr>
        <w:t>m</w:t>
      </w:r>
      <w:r>
        <w:rPr>
          <w:color w:val="000000" w:themeColor="text1"/>
          <w:vertAlign w:val="superscript"/>
        </w:rPr>
        <w:t>3</w:t>
      </w:r>
      <w:r>
        <w:rPr>
          <w:color w:val="000000" w:themeColor="text1"/>
        </w:rPr>
        <w:t>/d</w:t>
      </w:r>
      <w:r>
        <w:rPr>
          <w:rFonts w:hint="eastAsia"/>
          <w:color w:val="000000" w:themeColor="text1"/>
        </w:rPr>
        <w:t>、废水总量为108</w:t>
      </w:r>
      <w:r>
        <w:rPr>
          <w:color w:val="000000" w:themeColor="text1"/>
        </w:rPr>
        <w:t>m</w:t>
      </w:r>
      <w:r>
        <w:rPr>
          <w:color w:val="000000" w:themeColor="text1"/>
          <w:vertAlign w:val="superscript"/>
        </w:rPr>
        <w:t>3</w:t>
      </w:r>
      <w:r>
        <w:rPr>
          <w:rFonts w:hint="eastAsia"/>
          <w:color w:val="000000" w:themeColor="text1"/>
        </w:rPr>
        <w:t>。由于废水产生量较少，可建设临时旱厕处理设施处理废水，再由周边居民清掏用作农肥，因此废水不会对周边水系造成不良影响，并且随着施工的结束该影响也随着结束。</w:t>
      </w:r>
    </w:p>
    <w:p>
      <w:pPr>
        <w:pStyle w:val="38"/>
        <w:ind w:firstLine="281"/>
        <w:rPr>
          <w:color w:val="000000" w:themeColor="text1"/>
        </w:rPr>
      </w:pPr>
      <w:bookmarkStart w:id="65" w:name="_Toc47375823"/>
      <w:r>
        <w:rPr>
          <w:rFonts w:hint="eastAsia"/>
          <w:color w:val="000000" w:themeColor="text1"/>
        </w:rPr>
        <w:t>2.9.3噪声</w:t>
      </w:r>
      <w:bookmarkEnd w:id="65"/>
    </w:p>
    <w:p>
      <w:pPr>
        <w:ind w:firstLine="480"/>
        <w:rPr>
          <w:color w:val="000000" w:themeColor="text1"/>
        </w:rPr>
      </w:pPr>
      <w:r>
        <w:rPr>
          <w:rFonts w:hint="eastAsia"/>
          <w:color w:val="000000" w:themeColor="text1"/>
        </w:rPr>
        <w:t>项目施工场地高噪声施工机械较多，且各施工阶段均有大量的机械设备于现场运行，单体设备声源声级一般均高于</w:t>
      </w:r>
      <w:r>
        <w:rPr>
          <w:color w:val="000000" w:themeColor="text1"/>
        </w:rPr>
        <w:t>75dB(A)</w:t>
      </w:r>
      <w:r>
        <w:rPr>
          <w:rFonts w:hint="eastAsia"/>
          <w:color w:val="000000" w:themeColor="text1"/>
        </w:rPr>
        <w:t>，部分设备声源甚至高达</w:t>
      </w:r>
      <w:r>
        <w:rPr>
          <w:color w:val="000000" w:themeColor="text1"/>
        </w:rPr>
        <w:t>98dB(A)</w:t>
      </w:r>
      <w:r>
        <w:rPr>
          <w:rFonts w:hint="eastAsia"/>
          <w:color w:val="000000" w:themeColor="text1"/>
        </w:rPr>
        <w:t>，且由于施工场地内设备位置不断变化，同一施工阶段的不同时间设备运行数量亦有波动，因此很难确切预测施工场各场界噪声值。经类比调查，各类施工机械噪声源及其影响情况见表</w:t>
      </w:r>
      <w:r>
        <w:rPr>
          <w:color w:val="000000" w:themeColor="text1"/>
        </w:rPr>
        <w:t>2.9</w:t>
      </w:r>
      <w:r>
        <w:rPr>
          <w:rFonts w:hint="eastAsia"/>
          <w:color w:val="000000" w:themeColor="text1"/>
        </w:rPr>
        <w:t>.3</w:t>
      </w:r>
      <w:r>
        <w:rPr>
          <w:color w:val="000000" w:themeColor="text1"/>
        </w:rPr>
        <w:t>-</w:t>
      </w:r>
      <w:r>
        <w:rPr>
          <w:rFonts w:hint="eastAsia"/>
          <w:color w:val="000000" w:themeColor="text1"/>
        </w:rPr>
        <w:t>1。</w:t>
      </w:r>
    </w:p>
    <w:p>
      <w:pPr>
        <w:pStyle w:val="54"/>
        <w:rPr>
          <w:color w:val="000000" w:themeColor="text1"/>
        </w:rPr>
      </w:pPr>
      <w:r>
        <w:rPr>
          <w:color w:val="000000" w:themeColor="text1"/>
        </w:rPr>
        <w:t>表</w:t>
      </w:r>
      <w:r>
        <w:rPr>
          <w:rFonts w:hint="eastAsia"/>
          <w:color w:val="000000" w:themeColor="text1"/>
        </w:rPr>
        <w:t>2.9.3-1  建筑现场主要施工噪声源情况（单位：</w:t>
      </w:r>
      <w:r>
        <w:rPr>
          <w:color w:val="000000" w:themeColor="text1"/>
        </w:rPr>
        <w:t>dB(A)</w:t>
      </w:r>
      <w:r>
        <w:rPr>
          <w:rFonts w:hint="eastAsia"/>
          <w:color w:val="000000" w:themeColor="text1"/>
        </w:rPr>
        <w:t>）</w:t>
      </w:r>
    </w:p>
    <w:tbl>
      <w:tblPr>
        <w:tblStyle w:val="42"/>
        <w:tblW w:w="753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440"/>
        <w:gridCol w:w="2268"/>
        <w:gridCol w:w="1842"/>
        <w:gridCol w:w="198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6" w:hRule="atLeast"/>
          <w:jc w:val="center"/>
        </w:trPr>
        <w:tc>
          <w:tcPr>
            <w:tcW w:w="1440" w:type="dxa"/>
            <w:vAlign w:val="bottom"/>
          </w:tcPr>
          <w:p>
            <w:pPr>
              <w:pStyle w:val="55"/>
              <w:rPr>
                <w:color w:val="000000" w:themeColor="text1"/>
              </w:rPr>
            </w:pPr>
            <w:r>
              <w:rPr>
                <w:rFonts w:hint="eastAsia"/>
                <w:color w:val="000000" w:themeColor="text1"/>
              </w:rPr>
              <w:t>机械名称</w:t>
            </w:r>
          </w:p>
        </w:tc>
        <w:tc>
          <w:tcPr>
            <w:tcW w:w="2268" w:type="dxa"/>
            <w:vAlign w:val="bottom"/>
          </w:tcPr>
          <w:p>
            <w:pPr>
              <w:pStyle w:val="55"/>
              <w:rPr>
                <w:color w:val="000000" w:themeColor="text1"/>
              </w:rPr>
            </w:pPr>
            <w:r>
              <w:rPr>
                <w:rFonts w:hint="eastAsia"/>
                <w:color w:val="000000" w:themeColor="text1"/>
              </w:rPr>
              <w:t>噪声级</w:t>
            </w:r>
            <w:r>
              <w:rPr>
                <w:color w:val="000000" w:themeColor="text1"/>
              </w:rPr>
              <w:t>(</w:t>
            </w:r>
            <w:r>
              <w:rPr>
                <w:rFonts w:hint="eastAsia"/>
                <w:color w:val="000000" w:themeColor="text1"/>
              </w:rPr>
              <w:t>平均</w:t>
            </w:r>
            <w:r>
              <w:rPr>
                <w:color w:val="000000" w:themeColor="text1"/>
              </w:rPr>
              <w:t>)</w:t>
            </w:r>
          </w:p>
        </w:tc>
        <w:tc>
          <w:tcPr>
            <w:tcW w:w="1842" w:type="dxa"/>
            <w:vAlign w:val="bottom"/>
          </w:tcPr>
          <w:p>
            <w:pPr>
              <w:pStyle w:val="55"/>
              <w:rPr>
                <w:color w:val="000000" w:themeColor="text1"/>
              </w:rPr>
            </w:pPr>
            <w:r>
              <w:rPr>
                <w:rFonts w:hint="eastAsia"/>
                <w:color w:val="000000" w:themeColor="text1"/>
              </w:rPr>
              <w:t>机械名称</w:t>
            </w:r>
          </w:p>
        </w:tc>
        <w:tc>
          <w:tcPr>
            <w:tcW w:w="1985" w:type="dxa"/>
            <w:vAlign w:val="bottom"/>
          </w:tcPr>
          <w:p>
            <w:pPr>
              <w:pStyle w:val="55"/>
              <w:rPr>
                <w:color w:val="000000" w:themeColor="text1"/>
              </w:rPr>
            </w:pPr>
            <w:r>
              <w:rPr>
                <w:rFonts w:hint="eastAsia"/>
                <w:color w:val="000000" w:themeColor="text1"/>
              </w:rPr>
              <w:t>噪声级</w:t>
            </w:r>
            <w:r>
              <w:rPr>
                <w:color w:val="000000" w:themeColor="text1"/>
              </w:rPr>
              <w:t>(</w:t>
            </w:r>
            <w:r>
              <w:rPr>
                <w:rFonts w:hint="eastAsia"/>
                <w:color w:val="000000" w:themeColor="text1"/>
              </w:rPr>
              <w:t>平均</w:t>
            </w:r>
            <w:r>
              <w:rPr>
                <w:color w:val="000000" w:themeColor="text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29" w:hRule="atLeast"/>
          <w:jc w:val="center"/>
        </w:trPr>
        <w:tc>
          <w:tcPr>
            <w:tcW w:w="1440" w:type="dxa"/>
            <w:vAlign w:val="bottom"/>
          </w:tcPr>
          <w:p>
            <w:pPr>
              <w:pStyle w:val="55"/>
              <w:rPr>
                <w:color w:val="000000" w:themeColor="text1"/>
              </w:rPr>
            </w:pPr>
            <w:r>
              <w:rPr>
                <w:rFonts w:hint="eastAsia"/>
                <w:color w:val="000000" w:themeColor="text1"/>
              </w:rPr>
              <w:t>推土机</w:t>
            </w:r>
          </w:p>
        </w:tc>
        <w:tc>
          <w:tcPr>
            <w:tcW w:w="2268" w:type="dxa"/>
            <w:vAlign w:val="bottom"/>
          </w:tcPr>
          <w:p>
            <w:pPr>
              <w:pStyle w:val="55"/>
              <w:rPr>
                <w:color w:val="000000" w:themeColor="text1"/>
              </w:rPr>
            </w:pPr>
            <w:r>
              <w:rPr>
                <w:color w:val="000000" w:themeColor="text1"/>
              </w:rPr>
              <w:t>78-9</w:t>
            </w:r>
            <w:r>
              <w:rPr>
                <w:rFonts w:hint="eastAsia"/>
                <w:color w:val="000000" w:themeColor="text1"/>
              </w:rPr>
              <w:t>5</w:t>
            </w:r>
          </w:p>
        </w:tc>
        <w:tc>
          <w:tcPr>
            <w:tcW w:w="1842" w:type="dxa"/>
            <w:vAlign w:val="bottom"/>
          </w:tcPr>
          <w:p>
            <w:pPr>
              <w:pStyle w:val="55"/>
              <w:rPr>
                <w:color w:val="000000" w:themeColor="text1"/>
              </w:rPr>
            </w:pPr>
            <w:r>
              <w:rPr>
                <w:rFonts w:hint="eastAsia"/>
                <w:color w:val="000000" w:themeColor="text1"/>
              </w:rPr>
              <w:t>挖土机</w:t>
            </w:r>
          </w:p>
        </w:tc>
        <w:tc>
          <w:tcPr>
            <w:tcW w:w="1985" w:type="dxa"/>
            <w:vAlign w:val="bottom"/>
          </w:tcPr>
          <w:p>
            <w:pPr>
              <w:pStyle w:val="55"/>
              <w:rPr>
                <w:color w:val="000000" w:themeColor="text1"/>
              </w:rPr>
            </w:pPr>
            <w:r>
              <w:rPr>
                <w:color w:val="000000" w:themeColor="text1"/>
              </w:rPr>
              <w:t>80-93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6" w:hRule="atLeast"/>
          <w:jc w:val="center"/>
        </w:trPr>
        <w:tc>
          <w:tcPr>
            <w:tcW w:w="1440" w:type="dxa"/>
            <w:vAlign w:val="bottom"/>
          </w:tcPr>
          <w:p>
            <w:pPr>
              <w:pStyle w:val="55"/>
              <w:rPr>
                <w:color w:val="000000" w:themeColor="text1"/>
              </w:rPr>
            </w:pPr>
            <w:r>
              <w:rPr>
                <w:rFonts w:hint="eastAsia"/>
                <w:color w:val="000000" w:themeColor="text1"/>
              </w:rPr>
              <w:t>搅拌机</w:t>
            </w:r>
          </w:p>
        </w:tc>
        <w:tc>
          <w:tcPr>
            <w:tcW w:w="2268" w:type="dxa"/>
            <w:vAlign w:val="bottom"/>
          </w:tcPr>
          <w:p>
            <w:pPr>
              <w:pStyle w:val="55"/>
              <w:rPr>
                <w:color w:val="000000" w:themeColor="text1"/>
              </w:rPr>
            </w:pPr>
            <w:r>
              <w:rPr>
                <w:color w:val="000000" w:themeColor="text1"/>
              </w:rPr>
              <w:t>75-88</w:t>
            </w:r>
          </w:p>
        </w:tc>
        <w:tc>
          <w:tcPr>
            <w:tcW w:w="1842" w:type="dxa"/>
            <w:vAlign w:val="bottom"/>
          </w:tcPr>
          <w:p>
            <w:pPr>
              <w:pStyle w:val="55"/>
              <w:rPr>
                <w:color w:val="000000" w:themeColor="text1"/>
              </w:rPr>
            </w:pPr>
            <w:r>
              <w:rPr>
                <w:rFonts w:hint="eastAsia"/>
                <w:color w:val="000000" w:themeColor="text1"/>
              </w:rPr>
              <w:t>运输车辆</w:t>
            </w:r>
          </w:p>
        </w:tc>
        <w:tc>
          <w:tcPr>
            <w:tcW w:w="1985" w:type="dxa"/>
            <w:vAlign w:val="bottom"/>
          </w:tcPr>
          <w:p>
            <w:pPr>
              <w:pStyle w:val="55"/>
              <w:rPr>
                <w:color w:val="000000" w:themeColor="text1"/>
              </w:rPr>
            </w:pPr>
            <w:r>
              <w:rPr>
                <w:rFonts w:hint="eastAsia"/>
                <w:color w:val="000000" w:themeColor="text1"/>
              </w:rPr>
              <w:t>7</w:t>
            </w:r>
            <w:r>
              <w:rPr>
                <w:color w:val="000000" w:themeColor="text1"/>
              </w:rPr>
              <w:t>5-</w:t>
            </w:r>
            <w:r>
              <w:rPr>
                <w:rFonts w:hint="eastAsia"/>
                <w:color w:val="000000" w:themeColor="text1"/>
              </w:rPr>
              <w:t>80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1" w:hRule="atLeast"/>
          <w:jc w:val="center"/>
        </w:trPr>
        <w:tc>
          <w:tcPr>
            <w:tcW w:w="1440" w:type="dxa"/>
            <w:vAlign w:val="bottom"/>
          </w:tcPr>
          <w:p>
            <w:pPr>
              <w:pStyle w:val="55"/>
              <w:rPr>
                <w:color w:val="000000" w:themeColor="text1"/>
              </w:rPr>
            </w:pPr>
            <w:r>
              <w:rPr>
                <w:rFonts w:hint="eastAsia"/>
                <w:color w:val="000000" w:themeColor="text1"/>
              </w:rPr>
              <w:t>气锤、风钻</w:t>
            </w:r>
          </w:p>
        </w:tc>
        <w:tc>
          <w:tcPr>
            <w:tcW w:w="2268" w:type="dxa"/>
            <w:vAlign w:val="bottom"/>
          </w:tcPr>
          <w:p>
            <w:pPr>
              <w:pStyle w:val="55"/>
              <w:rPr>
                <w:color w:val="000000" w:themeColor="text1"/>
              </w:rPr>
            </w:pPr>
            <w:r>
              <w:rPr>
                <w:color w:val="000000" w:themeColor="text1"/>
              </w:rPr>
              <w:t>82-9</w:t>
            </w:r>
            <w:r>
              <w:rPr>
                <w:rFonts w:hint="eastAsia"/>
                <w:color w:val="000000" w:themeColor="text1"/>
              </w:rPr>
              <w:t>5</w:t>
            </w:r>
          </w:p>
        </w:tc>
        <w:tc>
          <w:tcPr>
            <w:tcW w:w="1842" w:type="dxa"/>
            <w:vAlign w:val="bottom"/>
          </w:tcPr>
          <w:p>
            <w:pPr>
              <w:pStyle w:val="55"/>
              <w:rPr>
                <w:color w:val="000000" w:themeColor="text1"/>
              </w:rPr>
            </w:pPr>
            <w:r>
              <w:rPr>
                <w:rFonts w:hint="eastAsia"/>
                <w:color w:val="000000" w:themeColor="text1"/>
              </w:rPr>
              <w:t>空气压缩机</w:t>
            </w:r>
          </w:p>
        </w:tc>
        <w:tc>
          <w:tcPr>
            <w:tcW w:w="1985" w:type="dxa"/>
            <w:vAlign w:val="bottom"/>
          </w:tcPr>
          <w:p>
            <w:pPr>
              <w:pStyle w:val="55"/>
              <w:rPr>
                <w:color w:val="000000" w:themeColor="text1"/>
              </w:rPr>
            </w:pPr>
            <w:r>
              <w:rPr>
                <w:color w:val="000000" w:themeColor="text1"/>
              </w:rPr>
              <w:t>75-88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1" w:hRule="atLeast"/>
          <w:jc w:val="center"/>
        </w:trPr>
        <w:tc>
          <w:tcPr>
            <w:tcW w:w="1440" w:type="dxa"/>
            <w:vAlign w:val="bottom"/>
          </w:tcPr>
          <w:p>
            <w:pPr>
              <w:pStyle w:val="55"/>
              <w:rPr>
                <w:color w:val="000000" w:themeColor="text1"/>
              </w:rPr>
            </w:pPr>
            <w:r>
              <w:rPr>
                <w:rFonts w:hint="eastAsia"/>
                <w:color w:val="000000" w:themeColor="text1"/>
              </w:rPr>
              <w:t>混凝土破碎机</w:t>
            </w:r>
          </w:p>
        </w:tc>
        <w:tc>
          <w:tcPr>
            <w:tcW w:w="2268" w:type="dxa"/>
            <w:vAlign w:val="bottom"/>
          </w:tcPr>
          <w:p>
            <w:pPr>
              <w:pStyle w:val="55"/>
              <w:rPr>
                <w:color w:val="000000" w:themeColor="text1"/>
              </w:rPr>
            </w:pPr>
            <w:r>
              <w:rPr>
                <w:color w:val="000000" w:themeColor="text1"/>
              </w:rPr>
              <w:t>85</w:t>
            </w:r>
          </w:p>
        </w:tc>
        <w:tc>
          <w:tcPr>
            <w:tcW w:w="1842" w:type="dxa"/>
            <w:vAlign w:val="bottom"/>
          </w:tcPr>
          <w:p>
            <w:pPr>
              <w:pStyle w:val="55"/>
              <w:rPr>
                <w:color w:val="000000" w:themeColor="text1"/>
              </w:rPr>
            </w:pPr>
            <w:r>
              <w:rPr>
                <w:rFonts w:hint="eastAsia"/>
                <w:color w:val="000000" w:themeColor="text1"/>
              </w:rPr>
              <w:t>钻机</w:t>
            </w:r>
          </w:p>
        </w:tc>
        <w:tc>
          <w:tcPr>
            <w:tcW w:w="1985" w:type="dxa"/>
            <w:vAlign w:val="bottom"/>
          </w:tcPr>
          <w:p>
            <w:pPr>
              <w:pStyle w:val="55"/>
              <w:rPr>
                <w:color w:val="000000" w:themeColor="text1"/>
              </w:rPr>
            </w:pPr>
            <w:r>
              <w:rPr>
                <w:color w:val="000000" w:themeColor="text1"/>
              </w:rPr>
              <w:t>87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1" w:hRule="atLeast"/>
          <w:jc w:val="center"/>
        </w:trPr>
        <w:tc>
          <w:tcPr>
            <w:tcW w:w="1440" w:type="dxa"/>
            <w:vAlign w:val="bottom"/>
          </w:tcPr>
          <w:p>
            <w:pPr>
              <w:pStyle w:val="55"/>
              <w:rPr>
                <w:color w:val="000000" w:themeColor="text1"/>
              </w:rPr>
            </w:pPr>
            <w:r>
              <w:rPr>
                <w:rFonts w:hint="eastAsia"/>
                <w:color w:val="000000" w:themeColor="text1"/>
              </w:rPr>
              <w:t>卷扬机</w:t>
            </w:r>
          </w:p>
        </w:tc>
        <w:tc>
          <w:tcPr>
            <w:tcW w:w="2268" w:type="dxa"/>
            <w:vAlign w:val="bottom"/>
          </w:tcPr>
          <w:p>
            <w:pPr>
              <w:pStyle w:val="55"/>
              <w:rPr>
                <w:color w:val="000000" w:themeColor="text1"/>
              </w:rPr>
            </w:pPr>
            <w:r>
              <w:rPr>
                <w:color w:val="000000" w:themeColor="text1"/>
              </w:rPr>
              <w:t>75-88</w:t>
            </w:r>
          </w:p>
        </w:tc>
        <w:tc>
          <w:tcPr>
            <w:tcW w:w="1842" w:type="dxa"/>
            <w:vAlign w:val="bottom"/>
          </w:tcPr>
          <w:p>
            <w:pPr>
              <w:pStyle w:val="55"/>
              <w:rPr>
                <w:color w:val="000000" w:themeColor="text1"/>
              </w:rPr>
            </w:pPr>
          </w:p>
        </w:tc>
        <w:tc>
          <w:tcPr>
            <w:tcW w:w="1985" w:type="dxa"/>
            <w:vAlign w:val="bottom"/>
          </w:tcPr>
          <w:p>
            <w:pPr>
              <w:pStyle w:val="55"/>
              <w:rPr>
                <w:color w:val="000000" w:themeColor="text1"/>
              </w:rPr>
            </w:pPr>
          </w:p>
        </w:tc>
      </w:tr>
    </w:tbl>
    <w:p>
      <w:pPr>
        <w:pStyle w:val="38"/>
        <w:ind w:firstLine="281"/>
        <w:rPr>
          <w:color w:val="000000" w:themeColor="text1"/>
        </w:rPr>
      </w:pPr>
      <w:bookmarkStart w:id="66" w:name="_Toc47375824"/>
      <w:r>
        <w:rPr>
          <w:rFonts w:hint="eastAsia"/>
          <w:color w:val="000000" w:themeColor="text1"/>
        </w:rPr>
        <w:t>2.9.4固废</w:t>
      </w:r>
      <w:bookmarkEnd w:id="66"/>
    </w:p>
    <w:p>
      <w:pPr>
        <w:adjustRightInd w:val="0"/>
        <w:snapToGrid w:val="0"/>
        <w:ind w:firstLine="480"/>
        <w:rPr>
          <w:rFonts w:hAnsi="宋体"/>
          <w:color w:val="000000" w:themeColor="text1"/>
          <w:kern w:val="0"/>
          <w:szCs w:val="24"/>
        </w:rPr>
      </w:pPr>
      <w:r>
        <w:rPr>
          <w:rFonts w:hint="eastAsia" w:hAnsi="宋体"/>
          <w:color w:val="000000" w:themeColor="text1"/>
          <w:kern w:val="0"/>
          <w:szCs w:val="24"/>
        </w:rPr>
        <w:t>施工期产生的固体废物主要有施工活动产生的弃土石方、建筑垃圾及施工生活垃圾。弃土和建筑垃圾若处置不当，则会造成占用土地、破坏景观、引发粉尘等二次污染以及引发水土流失不利影响，因此，项目必须采取妥善的处置措施。</w:t>
      </w:r>
    </w:p>
    <w:p>
      <w:pPr>
        <w:ind w:firstLine="480"/>
        <w:rPr>
          <w:color w:val="000000" w:themeColor="text1"/>
        </w:rPr>
      </w:pPr>
      <w:r>
        <w:rPr>
          <w:rFonts w:hint="eastAsia"/>
          <w:color w:val="000000" w:themeColor="text1"/>
        </w:rPr>
        <w:t>（1）土石方</w:t>
      </w:r>
    </w:p>
    <w:p>
      <w:pPr>
        <w:ind w:firstLine="480"/>
        <w:rPr>
          <w:color w:val="000000" w:themeColor="text1"/>
        </w:rPr>
      </w:pPr>
      <w:r>
        <w:rPr>
          <w:rFonts w:hint="eastAsia"/>
          <w:color w:val="000000" w:themeColor="text1"/>
        </w:rPr>
        <w:t>根据现场勘查可知，项目场地需要挖方、填土处理，但项目所在区域地势较为平坦，且项目的地下建筑只有污水处理站，因此需要开挖的土方量较少，本项目建设过程中共产生开挖土石方量</w:t>
      </w:r>
      <w:r>
        <w:rPr>
          <w:color w:val="000000" w:themeColor="text1"/>
        </w:rPr>
        <w:t>1168.8m</w:t>
      </w:r>
      <w:r>
        <w:rPr>
          <w:color w:val="000000" w:themeColor="text1"/>
          <w:vertAlign w:val="superscript"/>
        </w:rPr>
        <w:t>3</w:t>
      </w:r>
      <w:r>
        <w:rPr>
          <w:rFonts w:hint="eastAsia"/>
          <w:color w:val="000000" w:themeColor="text1"/>
        </w:rPr>
        <w:t>，其中剥离表土2</w:t>
      </w:r>
      <w:r>
        <w:rPr>
          <w:color w:val="000000" w:themeColor="text1"/>
        </w:rPr>
        <w:t>97.4m</w:t>
      </w:r>
      <w:r>
        <w:rPr>
          <w:color w:val="000000" w:themeColor="text1"/>
          <w:vertAlign w:val="superscript"/>
        </w:rPr>
        <w:t>3</w:t>
      </w:r>
      <w:r>
        <w:rPr>
          <w:rFonts w:hint="eastAsia"/>
          <w:color w:val="000000" w:themeColor="text1"/>
        </w:rPr>
        <w:t>，开挖地基产生土石方8</w:t>
      </w:r>
      <w:r>
        <w:rPr>
          <w:color w:val="000000" w:themeColor="text1"/>
        </w:rPr>
        <w:t>71.4m</w:t>
      </w:r>
      <w:r>
        <w:rPr>
          <w:color w:val="000000" w:themeColor="text1"/>
          <w:vertAlign w:val="superscript"/>
        </w:rPr>
        <w:t>3</w:t>
      </w:r>
      <w:r>
        <w:rPr>
          <w:rFonts w:hint="eastAsia"/>
          <w:color w:val="000000" w:themeColor="text1"/>
        </w:rPr>
        <w:t>。项目施工期开挖地基产生土方，在施工期进行平整场地及回填使用，剥离表土在施工场区设置表土堆场，剥离表土临时堆存于表土堆场，作为后期绿化覆土。本项目土石方达到内部平衡，无永久弃渣产生。</w:t>
      </w:r>
    </w:p>
    <w:p>
      <w:pPr>
        <w:ind w:firstLine="480"/>
        <w:rPr>
          <w:color w:val="000000" w:themeColor="text1"/>
        </w:rPr>
      </w:pPr>
      <w:r>
        <w:rPr>
          <w:rFonts w:hint="eastAsia"/>
          <w:color w:val="000000" w:themeColor="text1"/>
        </w:rPr>
        <w:t>（2）建筑垃圾</w:t>
      </w:r>
    </w:p>
    <w:p>
      <w:pPr>
        <w:ind w:firstLine="480"/>
        <w:rPr>
          <w:color w:val="000000" w:themeColor="text1"/>
        </w:rPr>
      </w:pPr>
      <w:r>
        <w:rPr>
          <w:rFonts w:hint="eastAsia"/>
          <w:color w:val="000000" w:themeColor="text1"/>
        </w:rPr>
        <w:t>建筑垃圾来源于项目建设过程中水泥袋、铁质弃料、木材弃料、废砖块和废包装材料等。本项目根据同类工程调查，本工程建筑垃圾产生量以</w:t>
      </w:r>
      <w:r>
        <w:rPr>
          <w:color w:val="000000" w:themeColor="text1"/>
        </w:rPr>
        <w:t>1kg/m</w:t>
      </w:r>
      <w:r>
        <w:rPr>
          <w:color w:val="000000" w:themeColor="text1"/>
          <w:vertAlign w:val="superscript"/>
        </w:rPr>
        <w:t>2</w:t>
      </w:r>
      <w:r>
        <w:rPr>
          <w:rFonts w:hint="eastAsia"/>
          <w:color w:val="000000" w:themeColor="text1"/>
        </w:rPr>
        <w:t>计算，本项目的建筑面积约4115.29m</w:t>
      </w:r>
      <w:r>
        <w:rPr>
          <w:rFonts w:hint="eastAsia"/>
          <w:color w:val="000000" w:themeColor="text1"/>
          <w:vertAlign w:val="superscript"/>
        </w:rPr>
        <w:t>2</w:t>
      </w:r>
      <w:r>
        <w:rPr>
          <w:rFonts w:hint="eastAsia"/>
          <w:color w:val="000000" w:themeColor="text1"/>
        </w:rPr>
        <w:t>，则建筑垃圾产生量为4.115</w:t>
      </w:r>
      <w:r>
        <w:rPr>
          <w:color w:val="000000" w:themeColor="text1"/>
        </w:rPr>
        <w:t>t</w:t>
      </w:r>
      <w:r>
        <w:rPr>
          <w:rFonts w:hint="eastAsia"/>
          <w:color w:val="000000" w:themeColor="text1"/>
        </w:rPr>
        <w:t>，在施工期要加强对废弃物的收集和管理，将建筑垃圾和能回收的废材料、废包装袋分别分类收集堆放，根据具体性质综合利用或者出售。</w:t>
      </w:r>
    </w:p>
    <w:p>
      <w:pPr>
        <w:ind w:firstLine="480"/>
        <w:rPr>
          <w:color w:val="000000" w:themeColor="text1"/>
        </w:rPr>
      </w:pPr>
      <w:r>
        <w:rPr>
          <w:rFonts w:hint="eastAsia"/>
          <w:color w:val="000000" w:themeColor="text1"/>
        </w:rPr>
        <w:t>（2）生活垃圾</w:t>
      </w:r>
    </w:p>
    <w:p>
      <w:pPr>
        <w:ind w:firstLine="480"/>
        <w:rPr>
          <w:rFonts w:hAnsi="宋体"/>
          <w:color w:val="000000" w:themeColor="text1"/>
          <w:kern w:val="0"/>
          <w:szCs w:val="24"/>
        </w:rPr>
      </w:pPr>
      <w:r>
        <w:rPr>
          <w:rFonts w:hint="eastAsia"/>
          <w:color w:val="000000" w:themeColor="text1"/>
        </w:rPr>
        <w:t>本项目施工期最大施工人员约为50人，由于不在厂区住宿，生活垃圾按</w:t>
      </w:r>
      <w:r>
        <w:rPr>
          <w:color w:val="000000" w:themeColor="text1"/>
        </w:rPr>
        <w:t>0.5kg/d·</w:t>
      </w:r>
      <w:r>
        <w:rPr>
          <w:rFonts w:hint="eastAsia"/>
          <w:color w:val="000000" w:themeColor="text1"/>
        </w:rPr>
        <w:t>人计，施工期一年180天，产生量为</w:t>
      </w:r>
      <w:r>
        <w:rPr>
          <w:color w:val="000000" w:themeColor="text1"/>
        </w:rPr>
        <w:t>4.</w:t>
      </w:r>
      <w:r>
        <w:rPr>
          <w:rFonts w:hint="eastAsia"/>
          <w:color w:val="000000" w:themeColor="text1"/>
        </w:rPr>
        <w:t>5</w:t>
      </w:r>
      <w:r>
        <w:rPr>
          <w:color w:val="000000" w:themeColor="text1"/>
        </w:rPr>
        <w:t>t/a</w:t>
      </w:r>
      <w:r>
        <w:rPr>
          <w:rFonts w:hint="eastAsia"/>
          <w:color w:val="000000" w:themeColor="text1"/>
        </w:rPr>
        <w:t>（25</w:t>
      </w:r>
      <w:r>
        <w:rPr>
          <w:color w:val="000000" w:themeColor="text1"/>
        </w:rPr>
        <w:t>kg/d</w:t>
      </w:r>
      <w:r>
        <w:rPr>
          <w:rFonts w:hint="eastAsia"/>
          <w:color w:val="000000" w:themeColor="text1"/>
        </w:rPr>
        <w:t>），生活垃圾的主要成分为残剩食物、塑料饭盒和塑料袋、废纸张、果皮核屑等。</w:t>
      </w:r>
      <w:r>
        <w:rPr>
          <w:rFonts w:hint="eastAsia" w:hAnsi="宋体"/>
          <w:color w:val="000000" w:themeColor="text1"/>
          <w:kern w:val="0"/>
          <w:szCs w:val="24"/>
        </w:rPr>
        <w:t>生活垃圾统一收集后按环卫部门要求清运处置。</w:t>
      </w:r>
    </w:p>
    <w:p>
      <w:pPr>
        <w:pStyle w:val="3"/>
        <w:rPr>
          <w:color w:val="000000" w:themeColor="text1"/>
          <w:kern w:val="0"/>
        </w:rPr>
      </w:pPr>
      <w:bookmarkStart w:id="67" w:name="_Toc47375825"/>
      <w:r>
        <w:rPr>
          <w:rFonts w:hint="eastAsia"/>
          <w:color w:val="000000" w:themeColor="text1"/>
          <w:kern w:val="0"/>
        </w:rPr>
        <w:t>2.10“三本帐”核算</w:t>
      </w:r>
      <w:bookmarkEnd w:id="67"/>
    </w:p>
    <w:p>
      <w:pPr>
        <w:ind w:firstLine="480"/>
        <w:rPr>
          <w:rFonts w:hAnsi="宋体"/>
          <w:color w:val="000000" w:themeColor="text1"/>
        </w:rPr>
      </w:pPr>
      <w:r>
        <w:rPr>
          <w:rFonts w:hint="eastAsia" w:hAnsi="宋体"/>
          <w:color w:val="000000" w:themeColor="text1"/>
        </w:rPr>
        <w:t>项目异地搬迁后工程量发生变化，变化前后主要污染物三本帐情况见表</w:t>
      </w:r>
      <w:r>
        <w:rPr>
          <w:rFonts w:hint="eastAsia"/>
          <w:color w:val="000000" w:themeColor="text1"/>
        </w:rPr>
        <w:t>2.10-1</w:t>
      </w:r>
      <w:r>
        <w:rPr>
          <w:rFonts w:hint="eastAsia" w:hAnsi="宋体"/>
          <w:color w:val="000000" w:themeColor="text1"/>
        </w:rPr>
        <w:t>。</w:t>
      </w:r>
    </w:p>
    <w:p>
      <w:pPr>
        <w:pStyle w:val="54"/>
        <w:rPr>
          <w:rFonts w:hAnsi="宋体"/>
          <w:color w:val="000000" w:themeColor="text1"/>
        </w:rPr>
        <w:sectPr>
          <w:pgSz w:w="11906" w:h="16838"/>
          <w:pgMar w:top="1440" w:right="1797" w:bottom="1440" w:left="1797" w:header="851" w:footer="992" w:gutter="0"/>
          <w:pgNumType w:start="1"/>
          <w:cols w:space="720" w:num="1"/>
        </w:sectPr>
      </w:pPr>
    </w:p>
    <w:p>
      <w:pPr>
        <w:pStyle w:val="54"/>
        <w:rPr>
          <w:color w:val="000000" w:themeColor="text1"/>
        </w:rPr>
      </w:pPr>
      <w:r>
        <w:rPr>
          <w:rFonts w:hint="eastAsia" w:hAnsi="宋体"/>
          <w:color w:val="000000" w:themeColor="text1"/>
        </w:rPr>
        <w:t>表</w:t>
      </w:r>
      <w:r>
        <w:rPr>
          <w:rFonts w:hint="eastAsia"/>
          <w:color w:val="000000" w:themeColor="text1"/>
        </w:rPr>
        <w:t>2.10-1</w:t>
      </w:r>
      <w:r>
        <w:rPr>
          <w:color w:val="000000" w:themeColor="text1"/>
        </w:rPr>
        <w:t xml:space="preserve"> 本项目搬迁后</w:t>
      </w:r>
      <w:r>
        <w:rPr>
          <w:rFonts w:hint="eastAsia"/>
          <w:color w:val="000000" w:themeColor="text1"/>
        </w:rPr>
        <w:t>全厂污染物</w:t>
      </w:r>
      <w:r>
        <w:rPr>
          <w:color w:val="000000" w:themeColor="text1"/>
        </w:rPr>
        <w:t>“</w:t>
      </w:r>
      <w:r>
        <w:rPr>
          <w:rFonts w:hint="eastAsia" w:hAnsi="宋体"/>
          <w:color w:val="000000" w:themeColor="text1"/>
        </w:rPr>
        <w:t>三本帐</w:t>
      </w:r>
      <w:r>
        <w:rPr>
          <w:color w:val="000000" w:themeColor="text1"/>
        </w:rPr>
        <w:t>”</w:t>
      </w:r>
      <w:r>
        <w:rPr>
          <w:rFonts w:hint="eastAsia"/>
          <w:color w:val="000000" w:themeColor="text1"/>
        </w:rPr>
        <w:t>核算</w:t>
      </w:r>
      <w:r>
        <w:rPr>
          <w:rFonts w:hint="eastAsia" w:hAnsi="宋体"/>
          <w:color w:val="000000" w:themeColor="text1"/>
        </w:rPr>
        <w:t>一览表</w:t>
      </w:r>
    </w:p>
    <w:tbl>
      <w:tblPr>
        <w:tblStyle w:val="42"/>
        <w:tblW w:w="14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98"/>
        <w:gridCol w:w="1357"/>
        <w:gridCol w:w="2040"/>
        <w:gridCol w:w="1547"/>
        <w:gridCol w:w="1561"/>
        <w:gridCol w:w="1701"/>
        <w:gridCol w:w="1701"/>
        <w:gridCol w:w="1544"/>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98" w:type="dxa"/>
            <w:vMerge w:val="restart"/>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种类</w:t>
            </w:r>
          </w:p>
        </w:tc>
        <w:tc>
          <w:tcPr>
            <w:tcW w:w="1357" w:type="dxa"/>
            <w:vMerge w:val="restart"/>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污染物名称</w:t>
            </w:r>
          </w:p>
        </w:tc>
        <w:tc>
          <w:tcPr>
            <w:tcW w:w="2040" w:type="dxa"/>
            <w:vMerge w:val="restart"/>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原有工程排放量（t/a）</w:t>
            </w:r>
          </w:p>
        </w:tc>
        <w:tc>
          <w:tcPr>
            <w:tcW w:w="4809" w:type="dxa"/>
            <w:gridSpan w:val="3"/>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本项目（异地搬迁）</w:t>
            </w:r>
          </w:p>
        </w:tc>
        <w:tc>
          <w:tcPr>
            <w:tcW w:w="1701" w:type="dxa"/>
            <w:vMerge w:val="restart"/>
            <w:tcBorders>
              <w:top w:val="single" w:color="auto" w:sz="4" w:space="0"/>
              <w:left w:val="single" w:color="auto" w:sz="4" w:space="0"/>
              <w:right w:val="single" w:color="auto" w:sz="4" w:space="0"/>
            </w:tcBorders>
          </w:tcPr>
          <w:p>
            <w:pPr>
              <w:pStyle w:val="75"/>
              <w:rPr>
                <w:color w:val="000000" w:themeColor="text1"/>
              </w:rPr>
            </w:pPr>
            <w:r>
              <w:rPr>
                <w:rFonts w:hint="eastAsia"/>
                <w:color w:val="000000" w:themeColor="text1"/>
              </w:rPr>
              <w:t>“以新带老” 削减量（t/a）</w:t>
            </w:r>
          </w:p>
        </w:tc>
        <w:tc>
          <w:tcPr>
            <w:tcW w:w="1544" w:type="dxa"/>
            <w:vMerge w:val="restart"/>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排放总量（t/a）</w:t>
            </w:r>
          </w:p>
        </w:tc>
        <w:tc>
          <w:tcPr>
            <w:tcW w:w="1665" w:type="dxa"/>
            <w:vMerge w:val="restart"/>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全厂排放增减量（t/a）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98" w:type="dxa"/>
            <w:vMerge w:val="continue"/>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p>
        </w:tc>
        <w:tc>
          <w:tcPr>
            <w:tcW w:w="1357" w:type="dxa"/>
            <w:vMerge w:val="continue"/>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p>
        </w:tc>
        <w:tc>
          <w:tcPr>
            <w:tcW w:w="2040" w:type="dxa"/>
            <w:vMerge w:val="continue"/>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p>
        </w:tc>
        <w:tc>
          <w:tcPr>
            <w:tcW w:w="1547"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产生量（t/a）</w:t>
            </w:r>
          </w:p>
        </w:tc>
        <w:tc>
          <w:tcPr>
            <w:tcW w:w="1561"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削减量（t/a）</w:t>
            </w:r>
          </w:p>
        </w:tc>
        <w:tc>
          <w:tcPr>
            <w:tcW w:w="1701"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排放量（t/a）</w:t>
            </w:r>
          </w:p>
        </w:tc>
        <w:tc>
          <w:tcPr>
            <w:tcW w:w="1701" w:type="dxa"/>
            <w:vMerge w:val="continue"/>
            <w:tcBorders>
              <w:left w:val="single" w:color="auto" w:sz="4" w:space="0"/>
              <w:bottom w:val="single" w:color="auto" w:sz="4" w:space="0"/>
              <w:right w:val="single" w:color="auto" w:sz="4" w:space="0"/>
            </w:tcBorders>
          </w:tcPr>
          <w:p>
            <w:pPr>
              <w:pStyle w:val="75"/>
              <w:rPr>
                <w:color w:val="000000" w:themeColor="text1"/>
              </w:rPr>
            </w:pPr>
          </w:p>
        </w:tc>
        <w:tc>
          <w:tcPr>
            <w:tcW w:w="1544" w:type="dxa"/>
            <w:vMerge w:val="continue"/>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p>
        </w:tc>
        <w:tc>
          <w:tcPr>
            <w:tcW w:w="1665" w:type="dxa"/>
            <w:vMerge w:val="continue"/>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98" w:type="dxa"/>
            <w:vMerge w:val="restart"/>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废水</w:t>
            </w:r>
          </w:p>
        </w:tc>
        <w:tc>
          <w:tcPr>
            <w:tcW w:w="1357"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废水量</w:t>
            </w:r>
          </w:p>
        </w:tc>
        <w:tc>
          <w:tcPr>
            <w:tcW w:w="2040"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5897m</w:t>
            </w:r>
            <w:r>
              <w:rPr>
                <w:rFonts w:hint="eastAsia"/>
                <w:color w:val="000000" w:themeColor="text1"/>
                <w:vertAlign w:val="superscript"/>
              </w:rPr>
              <w:t>3</w:t>
            </w:r>
            <w:r>
              <w:rPr>
                <w:rFonts w:hint="eastAsia"/>
                <w:color w:val="000000" w:themeColor="text1"/>
              </w:rPr>
              <w:t>/a</w:t>
            </w:r>
          </w:p>
        </w:tc>
        <w:tc>
          <w:tcPr>
            <w:tcW w:w="1547"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85182.08 m</w:t>
            </w:r>
            <w:r>
              <w:rPr>
                <w:rFonts w:hint="eastAsia"/>
                <w:color w:val="000000" w:themeColor="text1"/>
                <w:vertAlign w:val="superscript"/>
              </w:rPr>
              <w:t>3</w:t>
            </w:r>
            <w:r>
              <w:rPr>
                <w:rFonts w:hint="eastAsia"/>
                <w:color w:val="000000" w:themeColor="text1"/>
              </w:rPr>
              <w:t>/a</w:t>
            </w:r>
          </w:p>
        </w:tc>
        <w:tc>
          <w:tcPr>
            <w:tcW w:w="1561"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w:t>
            </w:r>
          </w:p>
        </w:tc>
        <w:tc>
          <w:tcPr>
            <w:tcW w:w="1701"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85182.08 m</w:t>
            </w:r>
            <w:r>
              <w:rPr>
                <w:rFonts w:hint="eastAsia"/>
                <w:color w:val="000000" w:themeColor="text1"/>
                <w:vertAlign w:val="superscript"/>
              </w:rPr>
              <w:t>3</w:t>
            </w:r>
            <w:r>
              <w:rPr>
                <w:rFonts w:hint="eastAsia"/>
                <w:color w:val="000000" w:themeColor="text1"/>
              </w:rPr>
              <w:t>/a</w:t>
            </w:r>
          </w:p>
        </w:tc>
        <w:tc>
          <w:tcPr>
            <w:tcW w:w="1701"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5897m</w:t>
            </w:r>
            <w:r>
              <w:rPr>
                <w:rFonts w:hint="eastAsia"/>
                <w:color w:val="000000" w:themeColor="text1"/>
                <w:vertAlign w:val="superscript"/>
              </w:rPr>
              <w:t>3</w:t>
            </w:r>
            <w:r>
              <w:rPr>
                <w:rFonts w:hint="eastAsia"/>
                <w:color w:val="000000" w:themeColor="text1"/>
              </w:rPr>
              <w:t>/a</w:t>
            </w:r>
          </w:p>
        </w:tc>
        <w:tc>
          <w:tcPr>
            <w:tcW w:w="1544"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85182.08 m</w:t>
            </w:r>
            <w:r>
              <w:rPr>
                <w:rFonts w:hint="eastAsia"/>
                <w:color w:val="000000" w:themeColor="text1"/>
                <w:vertAlign w:val="superscript"/>
              </w:rPr>
              <w:t>3</w:t>
            </w:r>
            <w:r>
              <w:rPr>
                <w:rFonts w:hint="eastAsia"/>
                <w:color w:val="000000" w:themeColor="text1"/>
              </w:rPr>
              <w:t>/a</w:t>
            </w:r>
          </w:p>
        </w:tc>
        <w:tc>
          <w:tcPr>
            <w:tcW w:w="1665" w:type="dxa"/>
            <w:tcBorders>
              <w:top w:val="single" w:color="auto" w:sz="4" w:space="0"/>
              <w:left w:val="single" w:color="auto" w:sz="4" w:space="0"/>
              <w:bottom w:val="single" w:color="auto" w:sz="4" w:space="0"/>
              <w:right w:val="single" w:color="auto" w:sz="4" w:space="0"/>
            </w:tcBorders>
            <w:vAlign w:val="center"/>
          </w:tcPr>
          <w:p>
            <w:pPr>
              <w:pStyle w:val="75"/>
              <w:rPr>
                <w:rFonts w:ascii="宋体" w:hAnsi="宋体" w:cs="宋体"/>
                <w:color w:val="000000" w:themeColor="text1"/>
              </w:rPr>
            </w:pPr>
            <w:r>
              <w:rPr>
                <w:rFonts w:hint="eastAsia"/>
                <w:color w:val="000000" w:themeColor="text1"/>
              </w:rPr>
              <w:t>79285.08 m</w:t>
            </w:r>
            <w:r>
              <w:rPr>
                <w:rFonts w:hint="eastAsia"/>
                <w:color w:val="000000" w:themeColor="text1"/>
                <w:vertAlign w:val="superscript"/>
              </w:rPr>
              <w:t>3</w:t>
            </w:r>
            <w:r>
              <w:rPr>
                <w:rFonts w:hint="eastAsia"/>
                <w:color w:val="000000" w:themeColor="text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98" w:type="dxa"/>
            <w:vMerge w:val="continue"/>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p>
        </w:tc>
        <w:tc>
          <w:tcPr>
            <w:tcW w:w="1357"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COD</w:t>
            </w:r>
          </w:p>
        </w:tc>
        <w:tc>
          <w:tcPr>
            <w:tcW w:w="2040"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9.079</w:t>
            </w:r>
          </w:p>
        </w:tc>
        <w:tc>
          <w:tcPr>
            <w:tcW w:w="1547"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127.46</w:t>
            </w:r>
          </w:p>
        </w:tc>
        <w:tc>
          <w:tcPr>
            <w:tcW w:w="1561"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color w:val="000000" w:themeColor="text1"/>
              </w:rPr>
              <w:t>122.362</w:t>
            </w:r>
          </w:p>
        </w:tc>
        <w:tc>
          <w:tcPr>
            <w:tcW w:w="1701"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5.098</w:t>
            </w:r>
          </w:p>
        </w:tc>
        <w:tc>
          <w:tcPr>
            <w:tcW w:w="1701"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9.079</w:t>
            </w:r>
          </w:p>
        </w:tc>
        <w:tc>
          <w:tcPr>
            <w:tcW w:w="1544"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5.098</w:t>
            </w:r>
          </w:p>
        </w:tc>
        <w:tc>
          <w:tcPr>
            <w:tcW w:w="1665" w:type="dxa"/>
            <w:tcBorders>
              <w:top w:val="single" w:color="auto" w:sz="4" w:space="0"/>
              <w:left w:val="single" w:color="auto" w:sz="4" w:space="0"/>
              <w:bottom w:val="single" w:color="auto" w:sz="4" w:space="0"/>
              <w:right w:val="single" w:color="auto" w:sz="4" w:space="0"/>
            </w:tcBorders>
            <w:vAlign w:val="center"/>
          </w:tcPr>
          <w:p>
            <w:pPr>
              <w:pStyle w:val="75"/>
              <w:rPr>
                <w:rFonts w:ascii="宋体" w:hAnsi="宋体" w:cs="宋体"/>
                <w:color w:val="000000" w:themeColor="text1"/>
              </w:rPr>
            </w:pPr>
            <w:r>
              <w:rPr>
                <w:rFonts w:hint="eastAsia"/>
                <w:color w:val="000000" w:themeColor="text1"/>
              </w:rPr>
              <w:t>-3.981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98" w:type="dxa"/>
            <w:vMerge w:val="continue"/>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p>
        </w:tc>
        <w:tc>
          <w:tcPr>
            <w:tcW w:w="1357"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BOD</w:t>
            </w:r>
            <w:r>
              <w:rPr>
                <w:rFonts w:hint="eastAsia"/>
                <w:color w:val="000000" w:themeColor="text1"/>
                <w:vertAlign w:val="subscript"/>
              </w:rPr>
              <w:t>5</w:t>
            </w:r>
          </w:p>
        </w:tc>
        <w:tc>
          <w:tcPr>
            <w:tcW w:w="2040"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6.903</w:t>
            </w:r>
          </w:p>
        </w:tc>
        <w:tc>
          <w:tcPr>
            <w:tcW w:w="1547"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63.72</w:t>
            </w:r>
          </w:p>
        </w:tc>
        <w:tc>
          <w:tcPr>
            <w:tcW w:w="1561"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color w:val="000000" w:themeColor="text1"/>
              </w:rPr>
              <w:t>61.471</w:t>
            </w:r>
          </w:p>
        </w:tc>
        <w:tc>
          <w:tcPr>
            <w:tcW w:w="1701"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2.249</w:t>
            </w:r>
          </w:p>
        </w:tc>
        <w:tc>
          <w:tcPr>
            <w:tcW w:w="1701"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6.903</w:t>
            </w:r>
          </w:p>
        </w:tc>
        <w:tc>
          <w:tcPr>
            <w:tcW w:w="1544"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2.249</w:t>
            </w:r>
          </w:p>
        </w:tc>
        <w:tc>
          <w:tcPr>
            <w:tcW w:w="1665" w:type="dxa"/>
            <w:tcBorders>
              <w:top w:val="single" w:color="auto" w:sz="4" w:space="0"/>
              <w:left w:val="single" w:color="auto" w:sz="4" w:space="0"/>
              <w:bottom w:val="single" w:color="auto" w:sz="4" w:space="0"/>
              <w:right w:val="single" w:color="auto" w:sz="4" w:space="0"/>
            </w:tcBorders>
            <w:vAlign w:val="center"/>
          </w:tcPr>
          <w:p>
            <w:pPr>
              <w:pStyle w:val="75"/>
              <w:rPr>
                <w:rFonts w:ascii="宋体" w:hAnsi="宋体" w:cs="宋体"/>
                <w:color w:val="000000" w:themeColor="text1"/>
              </w:rPr>
            </w:pPr>
            <w:r>
              <w:rPr>
                <w:rFonts w:hint="eastAsia"/>
                <w:color w:val="000000" w:themeColor="text1"/>
              </w:rPr>
              <w:t>-4.654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98" w:type="dxa"/>
            <w:vMerge w:val="continue"/>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p>
        </w:tc>
        <w:tc>
          <w:tcPr>
            <w:tcW w:w="1357"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SS</w:t>
            </w:r>
          </w:p>
        </w:tc>
        <w:tc>
          <w:tcPr>
            <w:tcW w:w="2040"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3.183</w:t>
            </w:r>
          </w:p>
        </w:tc>
        <w:tc>
          <w:tcPr>
            <w:tcW w:w="1547"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67.98</w:t>
            </w:r>
          </w:p>
        </w:tc>
        <w:tc>
          <w:tcPr>
            <w:tcW w:w="1561"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color w:val="000000" w:themeColor="text1"/>
              </w:rPr>
              <w:t>61.182</w:t>
            </w:r>
          </w:p>
        </w:tc>
        <w:tc>
          <w:tcPr>
            <w:tcW w:w="1701"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6.798</w:t>
            </w:r>
          </w:p>
        </w:tc>
        <w:tc>
          <w:tcPr>
            <w:tcW w:w="1701"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3.183</w:t>
            </w:r>
          </w:p>
        </w:tc>
        <w:tc>
          <w:tcPr>
            <w:tcW w:w="1544"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6.798</w:t>
            </w:r>
          </w:p>
        </w:tc>
        <w:tc>
          <w:tcPr>
            <w:tcW w:w="1665" w:type="dxa"/>
            <w:tcBorders>
              <w:top w:val="single" w:color="auto" w:sz="4" w:space="0"/>
              <w:left w:val="single" w:color="auto" w:sz="4" w:space="0"/>
              <w:bottom w:val="single" w:color="auto" w:sz="4" w:space="0"/>
              <w:right w:val="single" w:color="auto" w:sz="4" w:space="0"/>
            </w:tcBorders>
            <w:vAlign w:val="center"/>
          </w:tcPr>
          <w:p>
            <w:pPr>
              <w:pStyle w:val="75"/>
              <w:rPr>
                <w:rFonts w:ascii="宋体" w:hAnsi="宋体" w:cs="宋体"/>
                <w:color w:val="000000" w:themeColor="text1"/>
              </w:rPr>
            </w:pPr>
            <w:r>
              <w:rPr>
                <w:rFonts w:hint="eastAsia"/>
                <w:color w:val="000000" w:themeColor="text1"/>
              </w:rPr>
              <w:t>3.615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98" w:type="dxa"/>
            <w:vMerge w:val="continue"/>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p>
        </w:tc>
        <w:tc>
          <w:tcPr>
            <w:tcW w:w="1357"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氨氮</w:t>
            </w:r>
          </w:p>
        </w:tc>
        <w:tc>
          <w:tcPr>
            <w:tcW w:w="2040"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0.689</w:t>
            </w:r>
          </w:p>
        </w:tc>
        <w:tc>
          <w:tcPr>
            <w:tcW w:w="1547"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4.258</w:t>
            </w:r>
          </w:p>
        </w:tc>
        <w:tc>
          <w:tcPr>
            <w:tcW w:w="1561"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color w:val="000000" w:themeColor="text1"/>
              </w:rPr>
              <w:t>3.46</w:t>
            </w:r>
          </w:p>
        </w:tc>
        <w:tc>
          <w:tcPr>
            <w:tcW w:w="1701"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0.798</w:t>
            </w:r>
          </w:p>
        </w:tc>
        <w:tc>
          <w:tcPr>
            <w:tcW w:w="1701"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0.689</w:t>
            </w:r>
          </w:p>
        </w:tc>
        <w:tc>
          <w:tcPr>
            <w:tcW w:w="1544"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0.798</w:t>
            </w:r>
          </w:p>
        </w:tc>
        <w:tc>
          <w:tcPr>
            <w:tcW w:w="1665" w:type="dxa"/>
            <w:tcBorders>
              <w:top w:val="single" w:color="auto" w:sz="4" w:space="0"/>
              <w:left w:val="single" w:color="auto" w:sz="4" w:space="0"/>
              <w:bottom w:val="single" w:color="auto" w:sz="4" w:space="0"/>
              <w:right w:val="single" w:color="auto" w:sz="4" w:space="0"/>
            </w:tcBorders>
            <w:vAlign w:val="center"/>
          </w:tcPr>
          <w:p>
            <w:pPr>
              <w:pStyle w:val="75"/>
              <w:rPr>
                <w:rFonts w:ascii="宋体" w:hAnsi="宋体" w:cs="宋体"/>
                <w:color w:val="000000" w:themeColor="text1"/>
              </w:rPr>
            </w:pPr>
            <w:r>
              <w:rPr>
                <w:rFonts w:hint="eastAsia"/>
                <w:color w:val="000000" w:themeColor="text1"/>
              </w:rPr>
              <w:t>0.109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98" w:type="dxa"/>
            <w:vMerge w:val="continue"/>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p>
        </w:tc>
        <w:tc>
          <w:tcPr>
            <w:tcW w:w="1357"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动植物油</w:t>
            </w:r>
          </w:p>
        </w:tc>
        <w:tc>
          <w:tcPr>
            <w:tcW w:w="2040"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2.478</w:t>
            </w:r>
          </w:p>
        </w:tc>
        <w:tc>
          <w:tcPr>
            <w:tcW w:w="1547"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4.215</w:t>
            </w:r>
          </w:p>
        </w:tc>
        <w:tc>
          <w:tcPr>
            <w:tcW w:w="1561"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color w:val="000000" w:themeColor="text1"/>
              </w:rPr>
              <w:t>3.425</w:t>
            </w:r>
          </w:p>
        </w:tc>
        <w:tc>
          <w:tcPr>
            <w:tcW w:w="1701"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0.79</w:t>
            </w:r>
          </w:p>
        </w:tc>
        <w:tc>
          <w:tcPr>
            <w:tcW w:w="1701"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2.478</w:t>
            </w:r>
          </w:p>
        </w:tc>
        <w:tc>
          <w:tcPr>
            <w:tcW w:w="1544"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0.79</w:t>
            </w:r>
          </w:p>
        </w:tc>
        <w:tc>
          <w:tcPr>
            <w:tcW w:w="1665" w:type="dxa"/>
            <w:tcBorders>
              <w:top w:val="single" w:color="auto" w:sz="4" w:space="0"/>
              <w:left w:val="single" w:color="auto" w:sz="4" w:space="0"/>
              <w:bottom w:val="single" w:color="auto" w:sz="4" w:space="0"/>
              <w:right w:val="single" w:color="auto" w:sz="4" w:space="0"/>
            </w:tcBorders>
            <w:vAlign w:val="center"/>
          </w:tcPr>
          <w:p>
            <w:pPr>
              <w:pStyle w:val="75"/>
              <w:rPr>
                <w:rFonts w:ascii="宋体" w:hAnsi="宋体" w:cs="宋体"/>
                <w:color w:val="000000" w:themeColor="text1"/>
              </w:rPr>
            </w:pPr>
            <w:r>
              <w:rPr>
                <w:rFonts w:hint="eastAsia"/>
                <w:color w:val="000000" w:themeColor="text1"/>
              </w:rPr>
              <w:t>-1.688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98" w:type="dxa"/>
            <w:vMerge w:val="restart"/>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无组织废气</w:t>
            </w:r>
          </w:p>
        </w:tc>
        <w:tc>
          <w:tcPr>
            <w:tcW w:w="1357"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氨</w:t>
            </w:r>
          </w:p>
        </w:tc>
        <w:tc>
          <w:tcPr>
            <w:tcW w:w="2040"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w:t>
            </w:r>
          </w:p>
        </w:tc>
        <w:tc>
          <w:tcPr>
            <w:tcW w:w="1547"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0.3393</w:t>
            </w:r>
          </w:p>
        </w:tc>
        <w:tc>
          <w:tcPr>
            <w:tcW w:w="1561"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0</w:t>
            </w:r>
          </w:p>
        </w:tc>
        <w:tc>
          <w:tcPr>
            <w:tcW w:w="1701"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0.3393</w:t>
            </w:r>
          </w:p>
        </w:tc>
        <w:tc>
          <w:tcPr>
            <w:tcW w:w="1701"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w:t>
            </w:r>
          </w:p>
        </w:tc>
        <w:tc>
          <w:tcPr>
            <w:tcW w:w="1544"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0.3393</w:t>
            </w:r>
          </w:p>
        </w:tc>
        <w:tc>
          <w:tcPr>
            <w:tcW w:w="1665" w:type="dxa"/>
            <w:tcBorders>
              <w:top w:val="single" w:color="auto" w:sz="4" w:space="0"/>
              <w:left w:val="single" w:color="auto" w:sz="4" w:space="0"/>
              <w:bottom w:val="single" w:color="auto" w:sz="4" w:space="0"/>
              <w:right w:val="single" w:color="auto" w:sz="4" w:space="0"/>
            </w:tcBorders>
            <w:vAlign w:val="center"/>
          </w:tcPr>
          <w:p>
            <w:pPr>
              <w:pStyle w:val="75"/>
              <w:rPr>
                <w:rFonts w:ascii="宋体" w:hAnsi="宋体" w:cs="宋体"/>
                <w:color w:val="000000" w:themeColor="text1"/>
              </w:rPr>
            </w:pPr>
            <w:r>
              <w:rPr>
                <w:rFonts w:hint="eastAsia"/>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98" w:type="dxa"/>
            <w:vMerge w:val="continue"/>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p>
        </w:tc>
        <w:tc>
          <w:tcPr>
            <w:tcW w:w="1357"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硫化氢</w:t>
            </w:r>
          </w:p>
        </w:tc>
        <w:tc>
          <w:tcPr>
            <w:tcW w:w="2040"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w:t>
            </w:r>
          </w:p>
        </w:tc>
        <w:tc>
          <w:tcPr>
            <w:tcW w:w="1547"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0.01322</w:t>
            </w:r>
          </w:p>
        </w:tc>
        <w:tc>
          <w:tcPr>
            <w:tcW w:w="1561"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0</w:t>
            </w:r>
          </w:p>
        </w:tc>
        <w:tc>
          <w:tcPr>
            <w:tcW w:w="1701"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0.01322</w:t>
            </w:r>
          </w:p>
        </w:tc>
        <w:tc>
          <w:tcPr>
            <w:tcW w:w="1701"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w:t>
            </w:r>
          </w:p>
        </w:tc>
        <w:tc>
          <w:tcPr>
            <w:tcW w:w="1544"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0.01322</w:t>
            </w:r>
          </w:p>
        </w:tc>
        <w:tc>
          <w:tcPr>
            <w:tcW w:w="1665" w:type="dxa"/>
            <w:tcBorders>
              <w:top w:val="single" w:color="auto" w:sz="4" w:space="0"/>
              <w:left w:val="single" w:color="auto" w:sz="4" w:space="0"/>
              <w:bottom w:val="single" w:color="auto" w:sz="4" w:space="0"/>
              <w:right w:val="single" w:color="auto" w:sz="4" w:space="0"/>
            </w:tcBorders>
            <w:vAlign w:val="center"/>
          </w:tcPr>
          <w:p>
            <w:pPr>
              <w:pStyle w:val="75"/>
              <w:rPr>
                <w:rFonts w:ascii="宋体" w:hAnsi="宋体" w:cs="宋体"/>
                <w:color w:val="000000" w:themeColor="text1"/>
              </w:rPr>
            </w:pPr>
            <w:r>
              <w:rPr>
                <w:rFonts w:hint="eastAsia"/>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98" w:type="dxa"/>
            <w:vMerge w:val="restart"/>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有组织废气</w:t>
            </w:r>
          </w:p>
        </w:tc>
        <w:tc>
          <w:tcPr>
            <w:tcW w:w="135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废气总量</w:t>
            </w:r>
          </w:p>
        </w:tc>
        <w:tc>
          <w:tcPr>
            <w:tcW w:w="2040"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232.8万m</w:t>
            </w:r>
            <w:r>
              <w:rPr>
                <w:rFonts w:hint="eastAsia"/>
                <w:color w:val="000000" w:themeColor="text1"/>
                <w:vertAlign w:val="superscript"/>
              </w:rPr>
              <w:t>3</w:t>
            </w:r>
            <w:r>
              <w:rPr>
                <w:rFonts w:hint="eastAsia"/>
                <w:color w:val="000000" w:themeColor="text1"/>
              </w:rPr>
              <w:t>/a</w:t>
            </w:r>
          </w:p>
        </w:tc>
        <w:tc>
          <w:tcPr>
            <w:tcW w:w="1547"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193.479万m</w:t>
            </w:r>
            <w:r>
              <w:rPr>
                <w:rFonts w:hint="eastAsia"/>
                <w:color w:val="000000" w:themeColor="text1"/>
                <w:vertAlign w:val="superscript"/>
              </w:rPr>
              <w:t>3</w:t>
            </w:r>
            <w:r>
              <w:rPr>
                <w:rFonts w:hint="eastAsia"/>
                <w:color w:val="000000" w:themeColor="text1"/>
              </w:rPr>
              <w:t>/a</w:t>
            </w:r>
          </w:p>
        </w:tc>
        <w:tc>
          <w:tcPr>
            <w:tcW w:w="1561"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w:t>
            </w:r>
          </w:p>
        </w:tc>
        <w:tc>
          <w:tcPr>
            <w:tcW w:w="1701"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193.479万m</w:t>
            </w:r>
            <w:r>
              <w:rPr>
                <w:rFonts w:hint="eastAsia"/>
                <w:color w:val="000000" w:themeColor="text1"/>
                <w:vertAlign w:val="superscript"/>
              </w:rPr>
              <w:t>3</w:t>
            </w:r>
            <w:r>
              <w:rPr>
                <w:rFonts w:hint="eastAsia"/>
                <w:color w:val="000000" w:themeColor="text1"/>
              </w:rPr>
              <w:t>/a</w:t>
            </w:r>
          </w:p>
        </w:tc>
        <w:tc>
          <w:tcPr>
            <w:tcW w:w="1701"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232.8万m</w:t>
            </w:r>
            <w:r>
              <w:rPr>
                <w:rFonts w:hint="eastAsia"/>
                <w:color w:val="000000" w:themeColor="text1"/>
                <w:vertAlign w:val="superscript"/>
              </w:rPr>
              <w:t>3</w:t>
            </w:r>
            <w:r>
              <w:rPr>
                <w:rFonts w:hint="eastAsia"/>
                <w:color w:val="000000" w:themeColor="text1"/>
              </w:rPr>
              <w:t>/a</w:t>
            </w:r>
          </w:p>
        </w:tc>
        <w:tc>
          <w:tcPr>
            <w:tcW w:w="1544"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193.479万m</w:t>
            </w:r>
            <w:r>
              <w:rPr>
                <w:rFonts w:hint="eastAsia"/>
                <w:color w:val="000000" w:themeColor="text1"/>
                <w:vertAlign w:val="superscript"/>
              </w:rPr>
              <w:t>3</w:t>
            </w:r>
            <w:r>
              <w:rPr>
                <w:rFonts w:hint="eastAsia"/>
                <w:color w:val="000000" w:themeColor="text1"/>
              </w:rPr>
              <w:t>/a</w:t>
            </w:r>
          </w:p>
        </w:tc>
        <w:tc>
          <w:tcPr>
            <w:tcW w:w="1665" w:type="dxa"/>
            <w:tcBorders>
              <w:top w:val="single" w:color="auto" w:sz="4" w:space="0"/>
              <w:left w:val="single" w:color="auto" w:sz="4" w:space="0"/>
              <w:bottom w:val="single" w:color="auto" w:sz="4" w:space="0"/>
              <w:right w:val="single" w:color="auto" w:sz="4" w:space="0"/>
            </w:tcBorders>
            <w:vAlign w:val="center"/>
          </w:tcPr>
          <w:p>
            <w:pPr>
              <w:pStyle w:val="75"/>
              <w:rPr>
                <w:rFonts w:ascii="宋体" w:hAnsi="宋体" w:cs="宋体"/>
                <w:color w:val="000000" w:themeColor="text1"/>
              </w:rPr>
            </w:pPr>
            <w:r>
              <w:rPr>
                <w:rFonts w:hint="eastAsia"/>
                <w:color w:val="000000" w:themeColor="text1"/>
              </w:rPr>
              <w:t>-39.321万m</w:t>
            </w:r>
            <w:r>
              <w:rPr>
                <w:rFonts w:hint="eastAsia"/>
                <w:color w:val="000000" w:themeColor="text1"/>
                <w:vertAlign w:val="superscript"/>
              </w:rPr>
              <w:t>3</w:t>
            </w:r>
            <w:r>
              <w:rPr>
                <w:rFonts w:hint="eastAsia"/>
                <w:color w:val="000000" w:themeColor="text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98" w:type="dxa"/>
            <w:vMerge w:val="continue"/>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p>
        </w:tc>
        <w:tc>
          <w:tcPr>
            <w:tcW w:w="135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颗粒物</w:t>
            </w:r>
          </w:p>
        </w:tc>
        <w:tc>
          <w:tcPr>
            <w:tcW w:w="2040"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0.1457</w:t>
            </w:r>
          </w:p>
        </w:tc>
        <w:tc>
          <w:tcPr>
            <w:tcW w:w="1547" w:type="dxa"/>
            <w:tcBorders>
              <w:top w:val="single" w:color="auto" w:sz="4" w:space="0"/>
              <w:left w:val="single" w:color="auto" w:sz="4" w:space="0"/>
              <w:bottom w:val="single" w:color="auto" w:sz="4" w:space="0"/>
              <w:right w:val="single" w:color="auto" w:sz="4" w:space="0"/>
            </w:tcBorders>
            <w:vAlign w:val="center"/>
          </w:tcPr>
          <w:p>
            <w:pPr>
              <w:pStyle w:val="75"/>
              <w:rPr>
                <w:rFonts w:ascii="宋体" w:hAnsi="宋体" w:cs="宋体"/>
                <w:color w:val="000000" w:themeColor="text1"/>
                <w:sz w:val="22"/>
              </w:rPr>
            </w:pPr>
            <w:r>
              <w:rPr>
                <w:rFonts w:hint="eastAsia"/>
                <w:color w:val="000000" w:themeColor="text1"/>
                <w:sz w:val="22"/>
              </w:rPr>
              <w:t>0.52</w:t>
            </w:r>
          </w:p>
        </w:tc>
        <w:tc>
          <w:tcPr>
            <w:tcW w:w="1561" w:type="dxa"/>
            <w:tcBorders>
              <w:top w:val="single" w:color="auto" w:sz="4" w:space="0"/>
              <w:left w:val="single" w:color="auto" w:sz="4" w:space="0"/>
              <w:bottom w:val="single" w:color="auto" w:sz="4" w:space="0"/>
              <w:right w:val="single" w:color="auto" w:sz="4" w:space="0"/>
            </w:tcBorders>
            <w:vAlign w:val="center"/>
          </w:tcPr>
          <w:p>
            <w:pPr>
              <w:pStyle w:val="75"/>
              <w:rPr>
                <w:rFonts w:ascii="宋体" w:hAnsi="宋体" w:cs="宋体"/>
                <w:color w:val="000000" w:themeColor="text1"/>
                <w:sz w:val="22"/>
              </w:rPr>
            </w:pPr>
            <w:r>
              <w:rPr>
                <w:rFonts w:hint="eastAsia"/>
                <w:color w:val="000000" w:themeColor="text1"/>
                <w:sz w:val="22"/>
              </w:rPr>
              <w:t>0.4749</w:t>
            </w:r>
          </w:p>
        </w:tc>
        <w:tc>
          <w:tcPr>
            <w:tcW w:w="1701"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0.0451</w:t>
            </w:r>
          </w:p>
        </w:tc>
        <w:tc>
          <w:tcPr>
            <w:tcW w:w="1701"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0.1457</w:t>
            </w:r>
          </w:p>
        </w:tc>
        <w:tc>
          <w:tcPr>
            <w:tcW w:w="1544"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0.0451</w:t>
            </w:r>
          </w:p>
        </w:tc>
        <w:tc>
          <w:tcPr>
            <w:tcW w:w="1665" w:type="dxa"/>
            <w:tcBorders>
              <w:top w:val="single" w:color="auto" w:sz="4" w:space="0"/>
              <w:left w:val="single" w:color="auto" w:sz="4" w:space="0"/>
              <w:bottom w:val="single" w:color="auto" w:sz="4" w:space="0"/>
              <w:right w:val="single" w:color="auto" w:sz="4" w:space="0"/>
            </w:tcBorders>
            <w:vAlign w:val="center"/>
          </w:tcPr>
          <w:p>
            <w:pPr>
              <w:pStyle w:val="75"/>
              <w:rPr>
                <w:rFonts w:ascii="宋体" w:hAnsi="宋体" w:cs="宋体"/>
                <w:color w:val="000000" w:themeColor="text1"/>
              </w:rPr>
            </w:pPr>
            <w:r>
              <w:rPr>
                <w:rFonts w:hint="eastAsia"/>
                <w:color w:val="000000" w:themeColor="text1"/>
              </w:rPr>
              <w:t>-0.1006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98" w:type="dxa"/>
            <w:vMerge w:val="continue"/>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p>
        </w:tc>
        <w:tc>
          <w:tcPr>
            <w:tcW w:w="135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SO</w:t>
            </w:r>
            <w:r>
              <w:rPr>
                <w:rFonts w:hint="eastAsia"/>
                <w:color w:val="000000" w:themeColor="text1"/>
                <w:vertAlign w:val="subscript"/>
              </w:rPr>
              <w:t>2</w:t>
            </w:r>
          </w:p>
        </w:tc>
        <w:tc>
          <w:tcPr>
            <w:tcW w:w="2040"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0.4402</w:t>
            </w:r>
          </w:p>
        </w:tc>
        <w:tc>
          <w:tcPr>
            <w:tcW w:w="1547" w:type="dxa"/>
            <w:tcBorders>
              <w:top w:val="single" w:color="auto" w:sz="4" w:space="0"/>
              <w:left w:val="single" w:color="auto" w:sz="4" w:space="0"/>
              <w:bottom w:val="single" w:color="auto" w:sz="4" w:space="0"/>
              <w:right w:val="single" w:color="auto" w:sz="4" w:space="0"/>
            </w:tcBorders>
            <w:vAlign w:val="center"/>
          </w:tcPr>
          <w:p>
            <w:pPr>
              <w:pStyle w:val="75"/>
              <w:rPr>
                <w:rFonts w:ascii="宋体" w:hAnsi="宋体" w:cs="宋体"/>
                <w:color w:val="000000" w:themeColor="text1"/>
                <w:sz w:val="22"/>
              </w:rPr>
            </w:pPr>
            <w:r>
              <w:rPr>
                <w:rFonts w:hint="eastAsia"/>
                <w:color w:val="000000" w:themeColor="text1"/>
                <w:sz w:val="22"/>
              </w:rPr>
              <w:t>0.051</w:t>
            </w:r>
          </w:p>
        </w:tc>
        <w:tc>
          <w:tcPr>
            <w:tcW w:w="1561" w:type="dxa"/>
            <w:tcBorders>
              <w:top w:val="single" w:color="auto" w:sz="4" w:space="0"/>
              <w:left w:val="single" w:color="auto" w:sz="4" w:space="0"/>
              <w:bottom w:val="single" w:color="auto" w:sz="4" w:space="0"/>
              <w:right w:val="single" w:color="auto" w:sz="4" w:space="0"/>
            </w:tcBorders>
            <w:vAlign w:val="center"/>
          </w:tcPr>
          <w:p>
            <w:pPr>
              <w:pStyle w:val="75"/>
              <w:rPr>
                <w:rFonts w:ascii="宋体" w:hAnsi="宋体" w:cs="宋体"/>
                <w:color w:val="000000" w:themeColor="text1"/>
                <w:sz w:val="22"/>
              </w:rPr>
            </w:pPr>
            <w:r>
              <w:rPr>
                <w:rFonts w:hint="eastAsia"/>
                <w:color w:val="000000" w:themeColor="text1"/>
                <w:sz w:val="22"/>
              </w:rPr>
              <w:t>0.0055</w:t>
            </w:r>
          </w:p>
        </w:tc>
        <w:tc>
          <w:tcPr>
            <w:tcW w:w="1701"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0.0455</w:t>
            </w:r>
          </w:p>
        </w:tc>
        <w:tc>
          <w:tcPr>
            <w:tcW w:w="1701"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0.4402</w:t>
            </w:r>
          </w:p>
        </w:tc>
        <w:tc>
          <w:tcPr>
            <w:tcW w:w="1544"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0.0455</w:t>
            </w:r>
          </w:p>
        </w:tc>
        <w:tc>
          <w:tcPr>
            <w:tcW w:w="1665" w:type="dxa"/>
            <w:tcBorders>
              <w:top w:val="single" w:color="auto" w:sz="4" w:space="0"/>
              <w:left w:val="single" w:color="auto" w:sz="4" w:space="0"/>
              <w:bottom w:val="single" w:color="auto" w:sz="4" w:space="0"/>
              <w:right w:val="single" w:color="auto" w:sz="4" w:space="0"/>
            </w:tcBorders>
            <w:vAlign w:val="center"/>
          </w:tcPr>
          <w:p>
            <w:pPr>
              <w:pStyle w:val="75"/>
              <w:rPr>
                <w:rFonts w:ascii="宋体" w:hAnsi="宋体" w:cs="宋体"/>
                <w:color w:val="000000" w:themeColor="text1"/>
              </w:rPr>
            </w:pPr>
            <w:r>
              <w:rPr>
                <w:rFonts w:hint="eastAsia"/>
                <w:color w:val="000000" w:themeColor="text1"/>
              </w:rPr>
              <w:t>-0.3947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98" w:type="dxa"/>
            <w:vMerge w:val="continue"/>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p>
        </w:tc>
        <w:tc>
          <w:tcPr>
            <w:tcW w:w="135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NOx</w:t>
            </w:r>
          </w:p>
        </w:tc>
        <w:tc>
          <w:tcPr>
            <w:tcW w:w="2040"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0.1166</w:t>
            </w:r>
          </w:p>
        </w:tc>
        <w:tc>
          <w:tcPr>
            <w:tcW w:w="1547" w:type="dxa"/>
            <w:tcBorders>
              <w:top w:val="single" w:color="auto" w:sz="4" w:space="0"/>
              <w:left w:val="single" w:color="auto" w:sz="4" w:space="0"/>
              <w:bottom w:val="single" w:color="auto" w:sz="4" w:space="0"/>
              <w:right w:val="single" w:color="auto" w:sz="4" w:space="0"/>
            </w:tcBorders>
            <w:vAlign w:val="center"/>
          </w:tcPr>
          <w:p>
            <w:pPr>
              <w:pStyle w:val="75"/>
              <w:rPr>
                <w:rFonts w:ascii="宋体" w:hAnsi="宋体" w:cs="宋体"/>
                <w:color w:val="000000" w:themeColor="text1"/>
                <w:sz w:val="22"/>
              </w:rPr>
            </w:pPr>
            <w:r>
              <w:rPr>
                <w:rFonts w:hint="eastAsia"/>
                <w:color w:val="000000" w:themeColor="text1"/>
                <w:sz w:val="22"/>
              </w:rPr>
              <w:t>0.475</w:t>
            </w:r>
          </w:p>
        </w:tc>
        <w:tc>
          <w:tcPr>
            <w:tcW w:w="1561" w:type="dxa"/>
            <w:tcBorders>
              <w:top w:val="single" w:color="auto" w:sz="4" w:space="0"/>
              <w:left w:val="single" w:color="auto" w:sz="4" w:space="0"/>
              <w:bottom w:val="single" w:color="auto" w:sz="4" w:space="0"/>
              <w:right w:val="single" w:color="auto" w:sz="4" w:space="0"/>
            </w:tcBorders>
            <w:vAlign w:val="center"/>
          </w:tcPr>
          <w:p>
            <w:pPr>
              <w:pStyle w:val="75"/>
              <w:rPr>
                <w:rFonts w:ascii="宋体" w:hAnsi="宋体" w:cs="宋体"/>
                <w:color w:val="000000" w:themeColor="text1"/>
                <w:sz w:val="22"/>
              </w:rPr>
            </w:pPr>
            <w:r>
              <w:rPr>
                <w:rFonts w:hint="eastAsia"/>
                <w:color w:val="000000" w:themeColor="text1"/>
                <w:sz w:val="22"/>
              </w:rPr>
              <w:t>0</w:t>
            </w:r>
          </w:p>
        </w:tc>
        <w:tc>
          <w:tcPr>
            <w:tcW w:w="1701"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0.475</w:t>
            </w:r>
          </w:p>
        </w:tc>
        <w:tc>
          <w:tcPr>
            <w:tcW w:w="1701"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0.1166</w:t>
            </w:r>
          </w:p>
        </w:tc>
        <w:tc>
          <w:tcPr>
            <w:tcW w:w="1544"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0.475</w:t>
            </w:r>
          </w:p>
        </w:tc>
        <w:tc>
          <w:tcPr>
            <w:tcW w:w="1665" w:type="dxa"/>
            <w:tcBorders>
              <w:top w:val="single" w:color="auto" w:sz="4" w:space="0"/>
              <w:left w:val="single" w:color="auto" w:sz="4" w:space="0"/>
              <w:bottom w:val="single" w:color="auto" w:sz="4" w:space="0"/>
              <w:right w:val="single" w:color="auto" w:sz="4" w:space="0"/>
            </w:tcBorders>
            <w:vAlign w:val="center"/>
          </w:tcPr>
          <w:p>
            <w:pPr>
              <w:pStyle w:val="75"/>
              <w:rPr>
                <w:rFonts w:ascii="宋体" w:hAnsi="宋体" w:cs="宋体"/>
                <w:color w:val="000000" w:themeColor="text1"/>
              </w:rPr>
            </w:pPr>
            <w:r>
              <w:rPr>
                <w:rFonts w:hint="eastAsia"/>
                <w:color w:val="000000" w:themeColor="text1"/>
              </w:rPr>
              <w:t>0.3584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固废</w:t>
            </w:r>
          </w:p>
        </w:tc>
        <w:tc>
          <w:tcPr>
            <w:tcW w:w="1357"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固废</w:t>
            </w:r>
          </w:p>
        </w:tc>
        <w:tc>
          <w:tcPr>
            <w:tcW w:w="2040"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0</w:t>
            </w:r>
          </w:p>
        </w:tc>
        <w:tc>
          <w:tcPr>
            <w:tcW w:w="1547"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0</w:t>
            </w:r>
          </w:p>
        </w:tc>
        <w:tc>
          <w:tcPr>
            <w:tcW w:w="1561"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0</w:t>
            </w:r>
          </w:p>
        </w:tc>
        <w:tc>
          <w:tcPr>
            <w:tcW w:w="1701"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0</w:t>
            </w:r>
          </w:p>
        </w:tc>
        <w:tc>
          <w:tcPr>
            <w:tcW w:w="1701"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0</w:t>
            </w:r>
          </w:p>
        </w:tc>
        <w:tc>
          <w:tcPr>
            <w:tcW w:w="1544" w:type="dxa"/>
            <w:tcBorders>
              <w:top w:val="single" w:color="auto" w:sz="4" w:space="0"/>
              <w:left w:val="single" w:color="auto" w:sz="4" w:space="0"/>
              <w:bottom w:val="single" w:color="auto" w:sz="4" w:space="0"/>
              <w:right w:val="single" w:color="auto" w:sz="4" w:space="0"/>
            </w:tcBorders>
            <w:vAlign w:val="center"/>
          </w:tcPr>
          <w:p>
            <w:pPr>
              <w:pStyle w:val="75"/>
              <w:rPr>
                <w:color w:val="000000" w:themeColor="text1"/>
              </w:rPr>
            </w:pPr>
            <w:r>
              <w:rPr>
                <w:rFonts w:hint="eastAsia"/>
                <w:color w:val="000000" w:themeColor="text1"/>
              </w:rPr>
              <w:t>0</w:t>
            </w:r>
          </w:p>
        </w:tc>
        <w:tc>
          <w:tcPr>
            <w:tcW w:w="1665" w:type="dxa"/>
            <w:tcBorders>
              <w:top w:val="single" w:color="auto" w:sz="4" w:space="0"/>
              <w:left w:val="single" w:color="auto" w:sz="4" w:space="0"/>
              <w:bottom w:val="single" w:color="auto" w:sz="4" w:space="0"/>
              <w:right w:val="single" w:color="auto" w:sz="4" w:space="0"/>
            </w:tcBorders>
            <w:vAlign w:val="center"/>
          </w:tcPr>
          <w:p>
            <w:pPr>
              <w:pStyle w:val="75"/>
              <w:rPr>
                <w:rFonts w:ascii="宋体" w:hAnsi="宋体" w:cs="宋体"/>
                <w:color w:val="000000" w:themeColor="text1"/>
              </w:rPr>
            </w:pPr>
            <w:r>
              <w:rPr>
                <w:rFonts w:hint="eastAsia"/>
                <w:color w:val="000000" w:themeColor="text1"/>
              </w:rPr>
              <w:t>0</w:t>
            </w:r>
          </w:p>
        </w:tc>
      </w:tr>
    </w:tbl>
    <w:p>
      <w:pPr>
        <w:ind w:firstLine="480"/>
        <w:rPr>
          <w:color w:val="000000" w:themeColor="text1"/>
        </w:rPr>
      </w:pPr>
    </w:p>
    <w:p>
      <w:pPr>
        <w:ind w:firstLine="480"/>
        <w:rPr>
          <w:color w:val="000000" w:themeColor="text1"/>
        </w:rPr>
      </w:pPr>
    </w:p>
    <w:p>
      <w:pPr>
        <w:pStyle w:val="3"/>
        <w:rPr>
          <w:color w:val="000000" w:themeColor="text1"/>
          <w:kern w:val="0"/>
        </w:rPr>
        <w:sectPr>
          <w:pgSz w:w="16838" w:h="11906" w:orient="landscape"/>
          <w:pgMar w:top="1797" w:right="1440" w:bottom="1797" w:left="1440" w:header="851" w:footer="992" w:gutter="0"/>
          <w:cols w:space="720" w:num="1"/>
          <w:docGrid w:linePitch="326" w:charSpace="0"/>
        </w:sectPr>
      </w:pPr>
    </w:p>
    <w:p>
      <w:pPr>
        <w:pStyle w:val="3"/>
        <w:rPr>
          <w:color w:val="000000" w:themeColor="text1"/>
          <w:kern w:val="0"/>
        </w:rPr>
      </w:pPr>
      <w:bookmarkStart w:id="68" w:name="_Toc47375826"/>
      <w:r>
        <w:rPr>
          <w:rFonts w:hint="eastAsia"/>
          <w:color w:val="000000" w:themeColor="text1"/>
          <w:kern w:val="0"/>
        </w:rPr>
        <w:t>2.11清洁生产分析及循环经济分析</w:t>
      </w:r>
      <w:bookmarkEnd w:id="68"/>
    </w:p>
    <w:p>
      <w:pPr>
        <w:pStyle w:val="38"/>
        <w:ind w:firstLine="281"/>
        <w:rPr>
          <w:color w:val="000000" w:themeColor="text1"/>
        </w:rPr>
      </w:pPr>
      <w:bookmarkStart w:id="69" w:name="_Toc47375827"/>
      <w:r>
        <w:rPr>
          <w:rFonts w:hint="eastAsia"/>
          <w:color w:val="000000" w:themeColor="text1"/>
        </w:rPr>
        <w:t>2.11.1清洁生产的原则</w:t>
      </w:r>
      <w:bookmarkEnd w:id="69"/>
    </w:p>
    <w:p>
      <w:pPr>
        <w:ind w:firstLine="480"/>
        <w:rPr>
          <w:color w:val="000000" w:themeColor="text1"/>
        </w:rPr>
      </w:pPr>
      <w:r>
        <w:rPr>
          <w:rFonts w:hint="eastAsia"/>
          <w:color w:val="000000" w:themeColor="text1"/>
        </w:rPr>
        <w:t>清洁生产是一种新的创造性思想，它将整体预防的环境战略持续应用于生产过程、产品和服务中。2003年1月开始实施的《中华人民共和国清洁生产促进法》中对清洁生产作了如下定义：本法所称清洁生产，是指不断采取改进设计、使用清洁的能源和原料、采用先进的工艺技术与设备、改善管理、综合利用等措施，从源头削减污染、提高资源利用效率，减少或者避免生产、服务和产品使用过程中污染物的产生和排放，以增加生态效率、减轻或者消除对人类健康和环境的危害。第十八条明确规定：新建、改建和扩建项目应当进行环境影响评价，对原料使用、资源消耗、资源综合利用以及污染物产生与处置等进行分析论证，优先采用资源利用率高以及污染物产生量少的清洁生产技术、工艺和设备。</w:t>
      </w:r>
    </w:p>
    <w:p>
      <w:pPr>
        <w:ind w:firstLine="480"/>
        <w:rPr>
          <w:color w:val="000000" w:themeColor="text1"/>
        </w:rPr>
      </w:pPr>
      <w:r>
        <w:rPr>
          <w:rFonts w:hint="eastAsia"/>
          <w:color w:val="000000" w:themeColor="text1"/>
        </w:rPr>
        <w:t>根据国家环保局[环控(1997)232号]“关于印发国家环保局关于推行清洁生产若干意见的通知”的要求。通知明确提出建设项目的环境评价应包括清洁生产的内容。要求：</w:t>
      </w:r>
    </w:p>
    <w:p>
      <w:pPr>
        <w:ind w:firstLine="480"/>
        <w:rPr>
          <w:color w:val="000000" w:themeColor="text1"/>
        </w:rPr>
      </w:pPr>
      <w:r>
        <w:rPr>
          <w:rFonts w:hint="eastAsia"/>
          <w:color w:val="000000" w:themeColor="text1"/>
        </w:rPr>
        <w:t>（1）项目建议书阶段，要对工艺和产品是否符合清洁生产要求提出初评。</w:t>
      </w:r>
    </w:p>
    <w:p>
      <w:pPr>
        <w:ind w:firstLine="480"/>
        <w:rPr>
          <w:color w:val="000000" w:themeColor="text1"/>
        </w:rPr>
      </w:pPr>
      <w:r>
        <w:rPr>
          <w:rFonts w:hint="eastAsia"/>
          <w:color w:val="000000" w:themeColor="text1"/>
        </w:rPr>
        <w:t>（2）项目可行性研究阶段，要对重点原料选用、生产工艺和技术改进、产品等方案进行评价，最大限度地减少技术和产品的环境风险。</w:t>
      </w:r>
    </w:p>
    <w:p>
      <w:pPr>
        <w:ind w:firstLine="480"/>
        <w:rPr>
          <w:color w:val="000000" w:themeColor="text1"/>
        </w:rPr>
      </w:pPr>
      <w:r>
        <w:rPr>
          <w:rFonts w:hint="eastAsia"/>
          <w:color w:val="000000" w:themeColor="text1"/>
        </w:rPr>
        <w:t>（3）对于使用限期淘汰的落后工艺和设备，不符合清洁生产要求的建设项目，环境保护行政主管部门不得批准其项目环境影响报告书。</w:t>
      </w:r>
    </w:p>
    <w:p>
      <w:pPr>
        <w:ind w:firstLine="480"/>
        <w:rPr>
          <w:color w:val="000000" w:themeColor="text1"/>
        </w:rPr>
      </w:pPr>
      <w:r>
        <w:rPr>
          <w:rFonts w:hint="eastAsia"/>
          <w:color w:val="000000" w:themeColor="text1"/>
        </w:rPr>
        <w:t>（4）所提出的清洁生产措施要与主体工程“同时设计，同时施工，同时投产”。将清洁生产的思想引入环评工作，以此强化工程分析，可大大提高环评质量。对于建设项目而言，可以减轻建设项目的末端处理负担，提高建设项目的环境可靠性，提高建设项目的市场竞争力以及降低建设项目的环境责任风险。</w:t>
      </w:r>
    </w:p>
    <w:p>
      <w:pPr>
        <w:pStyle w:val="38"/>
        <w:ind w:firstLine="281"/>
        <w:rPr>
          <w:color w:val="000000" w:themeColor="text1"/>
        </w:rPr>
      </w:pPr>
      <w:bookmarkStart w:id="70" w:name="_Toc47375828"/>
      <w:r>
        <w:rPr>
          <w:rFonts w:hint="eastAsia"/>
          <w:color w:val="000000" w:themeColor="text1"/>
        </w:rPr>
        <w:t>2.11.2清洁生产的目的</w:t>
      </w:r>
      <w:bookmarkEnd w:id="70"/>
    </w:p>
    <w:p>
      <w:pPr>
        <w:ind w:firstLine="480"/>
        <w:rPr>
          <w:color w:val="000000" w:themeColor="text1"/>
        </w:rPr>
      </w:pPr>
      <w:r>
        <w:rPr>
          <w:rFonts w:hint="eastAsia"/>
          <w:color w:val="000000" w:themeColor="text1"/>
        </w:rPr>
        <w:t>（1）环境与经济必须协调发展，走经济和环境可持续发展的道路；</w:t>
      </w:r>
    </w:p>
    <w:p>
      <w:pPr>
        <w:ind w:firstLine="480"/>
        <w:rPr>
          <w:color w:val="000000" w:themeColor="text1"/>
        </w:rPr>
      </w:pPr>
      <w:r>
        <w:rPr>
          <w:rFonts w:hint="eastAsia"/>
          <w:color w:val="000000" w:themeColor="text1"/>
        </w:rPr>
        <w:t>（2）工业环境管理模式必须随着社会主义市场经济的发展而改变，由末端治理转变为实行预防污染和工业生产全过程的控制；</w:t>
      </w:r>
    </w:p>
    <w:p>
      <w:pPr>
        <w:ind w:firstLine="480"/>
        <w:rPr>
          <w:color w:val="000000" w:themeColor="text1"/>
        </w:rPr>
      </w:pPr>
      <w:r>
        <w:rPr>
          <w:rFonts w:hint="eastAsia"/>
          <w:color w:val="000000" w:themeColor="text1"/>
        </w:rPr>
        <w:t>（3）推行清洁生产将会给社会和企业本身带来巨大的社会、经济、环境效益。</w:t>
      </w:r>
    </w:p>
    <w:p>
      <w:pPr>
        <w:pStyle w:val="38"/>
        <w:ind w:firstLine="281"/>
        <w:rPr>
          <w:color w:val="000000" w:themeColor="text1"/>
        </w:rPr>
      </w:pPr>
      <w:bookmarkStart w:id="71" w:name="_Toc47375829"/>
      <w:r>
        <w:rPr>
          <w:rFonts w:hint="eastAsia"/>
          <w:color w:val="000000" w:themeColor="text1"/>
        </w:rPr>
        <w:t>2.11.3本项目清洁生产分析</w:t>
      </w:r>
      <w:bookmarkEnd w:id="71"/>
    </w:p>
    <w:p>
      <w:pPr>
        <w:ind w:firstLine="480"/>
        <w:rPr>
          <w:color w:val="000000" w:themeColor="text1"/>
        </w:rPr>
      </w:pPr>
      <w:r>
        <w:rPr>
          <w:rFonts w:hint="eastAsia"/>
          <w:color w:val="000000" w:themeColor="text1"/>
        </w:rPr>
        <w:t>项目的清洁生产主要包括三个方面的内容：清洁的能源、清洁的生产过程、清洁的产品。概括地说，清洁生产是一种新的污染防治策略。它是将整体预防的。环境战略持续应用于生产过程，产品和服务中。以增加生态效率和减少人类环境的风险，清洁生产的实质就是在生产过程中坚持采用新工艺，新技术，综合利用原材料和能源，最大限度的把原料转化为产品，减少所有废弃物的数量和毒性，从而达到节能、降耗、减污、增效的目的，实现经济建设与环境保护的协调发展。</w:t>
      </w:r>
    </w:p>
    <w:p>
      <w:pPr>
        <w:ind w:firstLine="480"/>
        <w:rPr>
          <w:color w:val="000000" w:themeColor="text1"/>
        </w:rPr>
      </w:pPr>
      <w:r>
        <w:rPr>
          <w:rFonts w:hint="eastAsia"/>
          <w:color w:val="000000" w:themeColor="text1"/>
        </w:rPr>
        <w:t>根据清洁生产的基本原则，本次环评从该项目生产工艺、产品、能耗及物耗、三排放等方面进行综合分析。</w:t>
      </w:r>
    </w:p>
    <w:p>
      <w:pPr>
        <w:pStyle w:val="57"/>
        <w:ind w:firstLine="482"/>
        <w:rPr>
          <w:color w:val="000000" w:themeColor="text1"/>
        </w:rPr>
      </w:pPr>
      <w:r>
        <w:rPr>
          <w:rFonts w:hint="eastAsia"/>
          <w:color w:val="000000" w:themeColor="text1"/>
        </w:rPr>
        <w:t>2.11.3.1产品的先进性分析</w:t>
      </w:r>
    </w:p>
    <w:p>
      <w:pPr>
        <w:ind w:firstLine="480"/>
        <w:rPr>
          <w:color w:val="000000" w:themeColor="text1"/>
        </w:rPr>
      </w:pPr>
      <w:r>
        <w:rPr>
          <w:rFonts w:hint="eastAsia"/>
          <w:color w:val="000000" w:themeColor="text1"/>
        </w:rPr>
        <w:t>该项目采用高新技术加工绿色生猪、生鸡，其关键的宰杀生产线采用先进生产线，工艺流程的设计力求物流、气流、人流合理有序，以达到最大程度的节能降耗，同时可避免产生交叉污染情况的发生。项目有专用绿色食品屠宰、冷藏车间，同时制定了严格的检验制度，项目生产用水水质能够满足相关要求，产品的包装、运输和冷藏设计符合相应的标准和规范要求，最终产品质量可以得到很好的保证。</w:t>
      </w:r>
    </w:p>
    <w:p>
      <w:pPr>
        <w:pStyle w:val="57"/>
        <w:ind w:firstLine="482"/>
        <w:rPr>
          <w:color w:val="000000" w:themeColor="text1"/>
        </w:rPr>
      </w:pPr>
      <w:r>
        <w:rPr>
          <w:rFonts w:hint="eastAsia"/>
          <w:color w:val="000000" w:themeColor="text1"/>
        </w:rPr>
        <w:t>2.11.3.2资源能源利用指标分析</w:t>
      </w:r>
    </w:p>
    <w:p>
      <w:pPr>
        <w:ind w:firstLine="480"/>
        <w:rPr>
          <w:color w:val="000000" w:themeColor="text1"/>
        </w:rPr>
      </w:pPr>
      <w:r>
        <w:rPr>
          <w:rFonts w:hint="eastAsia"/>
          <w:color w:val="000000" w:themeColor="text1"/>
        </w:rPr>
        <w:t>目前国内尚无专门的屠宰行业的清洁生产标准，因此，本次清洁生产指标分析，主要结合本项目生产单位产品的物耗、水耗、能耗等指标，评价本工程的能耗、物耗的清洁生产水平。本项目产品的生产由于工艺先进、成熟、易于操作控制，因而每吨产品原料的消耗指标都较低。</w:t>
      </w:r>
    </w:p>
    <w:p>
      <w:pPr>
        <w:ind w:firstLine="480"/>
        <w:rPr>
          <w:color w:val="000000" w:themeColor="text1"/>
        </w:rPr>
      </w:pPr>
      <w:r>
        <w:rPr>
          <w:rFonts w:hint="eastAsia"/>
          <w:color w:val="000000" w:themeColor="text1"/>
        </w:rPr>
        <w:t>1、节能措施</w:t>
      </w:r>
    </w:p>
    <w:p>
      <w:pPr>
        <w:ind w:firstLine="480"/>
        <w:rPr>
          <w:color w:val="000000" w:themeColor="text1"/>
        </w:rPr>
      </w:pPr>
      <w:r>
        <w:rPr>
          <w:rFonts w:hint="eastAsia"/>
          <w:color w:val="000000" w:themeColor="text1"/>
        </w:rPr>
        <w:t>根据拟建项目生产的特点，设备选型尽量考虑低能耗设备，严格控制系统补水量，防止新水溢流外排。</w:t>
      </w:r>
    </w:p>
    <w:p>
      <w:pPr>
        <w:ind w:firstLine="480"/>
        <w:rPr>
          <w:color w:val="000000" w:themeColor="text1"/>
        </w:rPr>
      </w:pPr>
      <w:r>
        <w:rPr>
          <w:rFonts w:hint="eastAsia"/>
          <w:color w:val="000000" w:themeColor="text1"/>
        </w:rPr>
        <w:t>为了节约能源，保护环境，拟建项目在设计上主要采取以下节能措施：</w:t>
      </w:r>
    </w:p>
    <w:p>
      <w:pPr>
        <w:ind w:firstLine="480"/>
        <w:rPr>
          <w:color w:val="000000" w:themeColor="text1"/>
        </w:rPr>
      </w:pPr>
      <w:r>
        <w:rPr>
          <w:rFonts w:hint="eastAsia"/>
          <w:color w:val="000000" w:themeColor="text1"/>
        </w:rPr>
        <w:t>拟建项目生产中用热主要由太阳能加热设备提供，只在天气恶劣或冬季时使用生物质蒸汽锅炉进行供热，大大减少了能源消耗；拟建项目所有设备均采用国家推荐的节能型电气系统产品，最大限度节约能源。</w:t>
      </w:r>
    </w:p>
    <w:p>
      <w:pPr>
        <w:ind w:firstLine="480"/>
        <w:rPr>
          <w:color w:val="000000" w:themeColor="text1"/>
        </w:rPr>
      </w:pPr>
      <w:r>
        <w:rPr>
          <w:rFonts w:hint="eastAsia"/>
          <w:color w:val="000000" w:themeColor="text1"/>
        </w:rPr>
        <w:t>2、节水措施</w:t>
      </w:r>
    </w:p>
    <w:p>
      <w:pPr>
        <w:ind w:firstLine="480"/>
        <w:rPr>
          <w:color w:val="000000" w:themeColor="text1"/>
        </w:rPr>
      </w:pPr>
      <w:r>
        <w:rPr>
          <w:rFonts w:hint="eastAsia"/>
          <w:color w:val="000000" w:themeColor="text1"/>
        </w:rPr>
        <w:t>拟建项目制定严格的节水制度，加强巡检，杜绝跑冒滴漏现象；在设备的选择上采用节水型设备，减少用水量；在员工中开展节水教育，使职工树立节约用水意识等措施，能够有效减少项目的水耗。</w:t>
      </w:r>
    </w:p>
    <w:p>
      <w:pPr>
        <w:ind w:firstLine="480"/>
        <w:rPr>
          <w:color w:val="000000" w:themeColor="text1"/>
        </w:rPr>
      </w:pPr>
      <w:r>
        <w:rPr>
          <w:rFonts w:hint="eastAsia"/>
          <w:color w:val="000000" w:themeColor="text1"/>
        </w:rPr>
        <w:t>3、能耗指标分析</w:t>
      </w:r>
    </w:p>
    <w:p>
      <w:pPr>
        <w:ind w:firstLine="480"/>
        <w:rPr>
          <w:color w:val="000000" w:themeColor="text1"/>
        </w:rPr>
      </w:pPr>
      <w:r>
        <w:rPr>
          <w:rFonts w:hint="eastAsia"/>
          <w:color w:val="000000" w:themeColor="text1"/>
        </w:rPr>
        <w:t>拟建项目生产工艺耗能及动力主要有：新鲜水、热水、电能、太阳能、生物质燃料等。根据直接能源的产出情况来看，新鲜水由砚山县供水管网提供，热水主要由太阳能加热设备提供，只在天气恶劣或冬季时使用生物质蒸汽锅炉进行供热，各生产设备运转等主要由电能供给。在选择车间工艺设备时，拟建项目生产过程中引入先进的一体化生产设备，降低能源消耗；同时需要保冷或保温的设备及管道，用保温材料隔热，减少能耗。通过以上措施，拟建项目有效地减少了能量的损失，降低了能耗。</w:t>
      </w:r>
    </w:p>
    <w:p>
      <w:pPr>
        <w:ind w:firstLine="480"/>
        <w:rPr>
          <w:color w:val="000000" w:themeColor="text1"/>
        </w:rPr>
      </w:pPr>
      <w:r>
        <w:rPr>
          <w:rFonts w:hint="eastAsia"/>
          <w:color w:val="000000" w:themeColor="text1"/>
        </w:rPr>
        <w:t>通过以上分析可见，拟建项目工艺先进，原辅材料单耗较低；优化了用水方案，实现了水的合理利用。拟建项目在资源能源利用上符合清洁生产的要求。</w:t>
      </w:r>
    </w:p>
    <w:p>
      <w:pPr>
        <w:ind w:firstLine="480"/>
        <w:rPr>
          <w:color w:val="000000" w:themeColor="text1"/>
        </w:rPr>
      </w:pPr>
      <w:r>
        <w:rPr>
          <w:rFonts w:hint="eastAsia"/>
          <w:color w:val="000000" w:themeColor="text1"/>
        </w:rPr>
        <w:t>4、与规范标准要求对比分析</w:t>
      </w:r>
    </w:p>
    <w:p>
      <w:pPr>
        <w:ind w:firstLine="480"/>
        <w:rPr>
          <w:color w:val="000000" w:themeColor="text1"/>
        </w:rPr>
      </w:pPr>
      <w:r>
        <w:rPr>
          <w:rFonts w:hint="eastAsia"/>
          <w:color w:val="000000" w:themeColor="text1"/>
        </w:rPr>
        <w:t>根据本项目现有工程实际用水量，并类比同类项目后，本改扩建工程废水量按照0.5m</w:t>
      </w:r>
      <w:r>
        <w:rPr>
          <w:rFonts w:hint="eastAsia"/>
          <w:color w:val="000000" w:themeColor="text1"/>
          <w:vertAlign w:val="superscript"/>
        </w:rPr>
        <w:t>3</w:t>
      </w:r>
      <w:r>
        <w:rPr>
          <w:rFonts w:hint="eastAsia"/>
          <w:color w:val="000000" w:themeColor="text1"/>
        </w:rPr>
        <w:t>/头计算。根据《屠宰与肉类加工废水治理工程技术规范》(HJ2004-2010)的规定，屠宰单位猪废水产生量为0.5-0.7m</w:t>
      </w:r>
      <w:r>
        <w:rPr>
          <w:rFonts w:hint="eastAsia"/>
          <w:color w:val="000000" w:themeColor="text1"/>
          <w:vertAlign w:val="superscript"/>
        </w:rPr>
        <w:t>3</w:t>
      </w:r>
      <w:r>
        <w:rPr>
          <w:rFonts w:hint="eastAsia"/>
          <w:color w:val="000000" w:themeColor="text1"/>
        </w:rPr>
        <w:t>/头，由此分析，本项目废水产生量满足HJ2004-2010要求，属于低耗水、低废水产生水平。</w:t>
      </w:r>
    </w:p>
    <w:p>
      <w:pPr>
        <w:ind w:firstLine="480"/>
        <w:rPr>
          <w:color w:val="000000" w:themeColor="text1"/>
        </w:rPr>
      </w:pPr>
      <w:r>
        <w:rPr>
          <w:rFonts w:hint="eastAsia"/>
          <w:color w:val="000000" w:themeColor="text1"/>
        </w:rPr>
        <w:t>通过以上分析可见，本项目工艺先进，原辅材料单耗较低，本项目在资源能源利用上符合清洁生产的要求。</w:t>
      </w:r>
    </w:p>
    <w:p>
      <w:pPr>
        <w:pStyle w:val="57"/>
        <w:ind w:firstLine="482"/>
        <w:rPr>
          <w:color w:val="000000" w:themeColor="text1"/>
        </w:rPr>
      </w:pPr>
      <w:r>
        <w:rPr>
          <w:rFonts w:hint="eastAsia"/>
          <w:color w:val="000000" w:themeColor="text1"/>
        </w:rPr>
        <w:t>2.11.3.3生产工艺及设备分析</w:t>
      </w:r>
    </w:p>
    <w:p>
      <w:pPr>
        <w:ind w:firstLine="480"/>
        <w:rPr>
          <w:color w:val="000000" w:themeColor="text1"/>
        </w:rPr>
      </w:pPr>
      <w:r>
        <w:rPr>
          <w:rFonts w:hint="eastAsia"/>
          <w:color w:val="000000" w:themeColor="text1"/>
        </w:rPr>
        <w:t>（1）建设项目生产工艺采用的是国内成熟的屠宰工艺，屠宰加工工艺采用机械与手工流线操作方案，项目待宰区与冲淋、屠宰车间的放血等工序与后续工艺分开，防止产品交叉感染。</w:t>
      </w:r>
    </w:p>
    <w:p>
      <w:pPr>
        <w:ind w:firstLine="480"/>
        <w:rPr>
          <w:color w:val="000000" w:themeColor="text1"/>
        </w:rPr>
      </w:pPr>
      <w:r>
        <w:rPr>
          <w:rFonts w:hint="eastAsia"/>
          <w:color w:val="000000" w:themeColor="text1"/>
        </w:rPr>
        <w:t>（2）流水线传输系统均实现悬空作业，避免屠宰后的二次污染。胴体、内脏同步检验，确保肉制品质量。</w:t>
      </w:r>
    </w:p>
    <w:p>
      <w:pPr>
        <w:ind w:firstLine="480"/>
        <w:rPr>
          <w:color w:val="000000" w:themeColor="text1"/>
        </w:rPr>
      </w:pPr>
      <w:r>
        <w:rPr>
          <w:rFonts w:hint="eastAsia"/>
          <w:color w:val="000000" w:themeColor="text1"/>
        </w:rPr>
        <w:t>（3）流水线采用高压喷淋淋浴、低压高频电击晕、真空采血、热水烫毛等一系列先进工艺和技术，确保最终产品的高质量、高标准、高附加值。真空采血采集血量占总血量的94%，大于标准中血液回收率80%的要求，达到了节能要求，同时降低了废水的污染负荷，减轻污水处理负担。</w:t>
      </w:r>
    </w:p>
    <w:p>
      <w:pPr>
        <w:ind w:firstLine="480"/>
        <w:rPr>
          <w:color w:val="000000" w:themeColor="text1"/>
        </w:rPr>
      </w:pPr>
      <w:r>
        <w:rPr>
          <w:rFonts w:hint="eastAsia"/>
          <w:color w:val="000000" w:themeColor="text1"/>
        </w:rPr>
        <w:t>（4）热水主要由太阳能加热设备提供，只在天气恶劣或冬季时使用生物质蒸汽锅炉进行供热，减少了污染物产生。</w:t>
      </w:r>
    </w:p>
    <w:p>
      <w:pPr>
        <w:ind w:firstLine="480"/>
        <w:rPr>
          <w:color w:val="000000" w:themeColor="text1"/>
        </w:rPr>
      </w:pPr>
      <w:r>
        <w:rPr>
          <w:rFonts w:hint="eastAsia"/>
          <w:color w:val="000000" w:themeColor="text1"/>
        </w:rPr>
        <w:t>因此，本项目在生产工艺和装备上符合清洁生产的要求。</w:t>
      </w:r>
    </w:p>
    <w:p>
      <w:pPr>
        <w:pStyle w:val="57"/>
        <w:ind w:firstLine="482"/>
        <w:rPr>
          <w:color w:val="000000" w:themeColor="text1"/>
        </w:rPr>
      </w:pPr>
      <w:r>
        <w:rPr>
          <w:rFonts w:hint="eastAsia"/>
          <w:color w:val="000000" w:themeColor="text1"/>
        </w:rPr>
        <w:t>2.11.3.4综合回收利用情况分析</w:t>
      </w:r>
    </w:p>
    <w:p>
      <w:pPr>
        <w:ind w:firstLine="480"/>
        <w:rPr>
          <w:color w:val="000000" w:themeColor="text1"/>
        </w:rPr>
      </w:pPr>
      <w:r>
        <w:rPr>
          <w:rFonts w:hint="eastAsia"/>
          <w:color w:val="000000" w:themeColor="text1"/>
        </w:rPr>
        <w:t>本项目生活垃圾由环卫部门统一收集处理，日产日清；暂养过程中产生的死猪（死鸡）、不可食用内脏、不合格产品、碎肉等使用焚烧炉进行无害化处理；粪便等由附近的农户运走用作农肥；本项目厂区废水经内部污水站处理达标后再排入砚山县污水处理厂进一步处理，污染物均得到了合理处置，符合清洁生产的要求。</w:t>
      </w:r>
    </w:p>
    <w:p>
      <w:pPr>
        <w:pStyle w:val="57"/>
        <w:ind w:firstLine="482"/>
        <w:rPr>
          <w:color w:val="000000" w:themeColor="text1"/>
        </w:rPr>
      </w:pPr>
      <w:r>
        <w:rPr>
          <w:rFonts w:hint="eastAsia"/>
          <w:color w:val="000000" w:themeColor="text1"/>
        </w:rPr>
        <w:t>2.11.3.5污染物排放情况分析</w:t>
      </w:r>
    </w:p>
    <w:p>
      <w:pPr>
        <w:ind w:firstLine="480"/>
        <w:rPr>
          <w:color w:val="000000" w:themeColor="text1"/>
        </w:rPr>
      </w:pPr>
      <w:r>
        <w:rPr>
          <w:rFonts w:hint="eastAsia"/>
          <w:color w:val="000000" w:themeColor="text1"/>
        </w:rPr>
        <w:t>本项目采用一系列先进技术和工艺，不仅节约了资源、能源，增加了经济效益，同时减少了污染物的排放，保护了环境。</w:t>
      </w:r>
    </w:p>
    <w:p>
      <w:pPr>
        <w:ind w:firstLine="480"/>
        <w:rPr>
          <w:color w:val="000000" w:themeColor="text1"/>
        </w:rPr>
      </w:pPr>
      <w:r>
        <w:rPr>
          <w:rFonts w:hint="eastAsia"/>
          <w:color w:val="000000" w:themeColor="text1"/>
        </w:rPr>
        <w:t>本项目污水处理站设置为地埋式，顶部覆盖绿化，恶臭气体可得到有效稀释；采用对固废及时清理，对场地定期清洗消毒，喷洒除臭剂；定期喷洒药剂预防蚊虫滋生；加强绿化等措施处理恶臭，降低对环境的影响。</w:t>
      </w:r>
    </w:p>
    <w:p>
      <w:pPr>
        <w:ind w:firstLine="480"/>
        <w:rPr>
          <w:color w:val="000000" w:themeColor="text1"/>
        </w:rPr>
      </w:pPr>
      <w:r>
        <w:rPr>
          <w:rFonts w:hint="eastAsia"/>
          <w:color w:val="000000" w:themeColor="text1"/>
        </w:rPr>
        <w:t>项目污水污水站采用采取“隔油沉砂</w:t>
      </w:r>
      <w:r>
        <w:rPr>
          <w:color w:val="000000" w:themeColor="text1"/>
        </w:rPr>
        <w:t>+</w:t>
      </w:r>
      <w:r>
        <w:rPr>
          <w:rFonts w:hint="eastAsia"/>
          <w:color w:val="000000" w:themeColor="text1"/>
        </w:rPr>
        <w:t>调节</w:t>
      </w:r>
      <w:r>
        <w:rPr>
          <w:color w:val="000000" w:themeColor="text1"/>
        </w:rPr>
        <w:t>+</w:t>
      </w:r>
      <w:r>
        <w:rPr>
          <w:rFonts w:hint="eastAsia"/>
          <w:color w:val="000000" w:themeColor="text1"/>
        </w:rPr>
        <w:t>气浮</w:t>
      </w:r>
      <w:r>
        <w:rPr>
          <w:color w:val="000000" w:themeColor="text1"/>
        </w:rPr>
        <w:t>+</w:t>
      </w:r>
      <w:r>
        <w:rPr>
          <w:rFonts w:hint="eastAsia"/>
          <w:color w:val="000000" w:themeColor="text1"/>
        </w:rPr>
        <w:t>厌氧</w:t>
      </w:r>
      <w:r>
        <w:rPr>
          <w:color w:val="000000" w:themeColor="text1"/>
        </w:rPr>
        <w:t>+</w:t>
      </w:r>
      <w:r>
        <w:rPr>
          <w:rFonts w:hint="eastAsia"/>
          <w:color w:val="000000" w:themeColor="text1"/>
        </w:rPr>
        <w:t>接触氧化</w:t>
      </w:r>
      <w:r>
        <w:rPr>
          <w:color w:val="000000" w:themeColor="text1"/>
        </w:rPr>
        <w:t>+</w:t>
      </w:r>
      <w:r>
        <w:rPr>
          <w:rFonts w:hint="eastAsia"/>
          <w:color w:val="000000" w:themeColor="text1"/>
        </w:rPr>
        <w:t>沉淀消毒”工艺处理废水，污废水经车间收集系统收集后导排入厂区污废水输送管网，经管网汇集后流入厂内污水处理站，最终汇入砚山县污水处理厂进一步深度处理。本项目固废均得到妥善处理，做到零排放。</w:t>
      </w:r>
    </w:p>
    <w:p>
      <w:pPr>
        <w:ind w:firstLine="480"/>
        <w:rPr>
          <w:color w:val="000000" w:themeColor="text1"/>
        </w:rPr>
      </w:pPr>
      <w:r>
        <w:rPr>
          <w:rFonts w:hint="eastAsia"/>
          <w:color w:val="000000" w:themeColor="text1"/>
        </w:rPr>
        <w:t>由此分析，本项目污染物排放情况符合清洁生产要求。</w:t>
      </w:r>
    </w:p>
    <w:p>
      <w:pPr>
        <w:pStyle w:val="57"/>
        <w:ind w:firstLine="482"/>
        <w:rPr>
          <w:color w:val="000000" w:themeColor="text1"/>
        </w:rPr>
      </w:pPr>
      <w:r>
        <w:rPr>
          <w:rFonts w:hint="eastAsia"/>
          <w:color w:val="000000" w:themeColor="text1"/>
        </w:rPr>
        <w:t>2.11.3.6环境管理要求</w:t>
      </w:r>
    </w:p>
    <w:p>
      <w:pPr>
        <w:ind w:firstLine="480"/>
        <w:rPr>
          <w:color w:val="000000" w:themeColor="text1"/>
        </w:rPr>
      </w:pPr>
      <w:r>
        <w:rPr>
          <w:rFonts w:hint="eastAsia"/>
          <w:color w:val="000000" w:themeColor="text1"/>
        </w:rPr>
        <w:t>项目建成后企业将设立健全的环境管理机构和专职管理人员，制订较完善环境管理制度，严格控制各种污染物的产生及排放，严格控制风险事故的发生。项目将配备必要的专业人员，配合当地环境保护管理部门做好本厂的环境保护工作。</w:t>
      </w:r>
    </w:p>
    <w:p>
      <w:pPr>
        <w:ind w:firstLine="480"/>
        <w:rPr>
          <w:color w:val="000000" w:themeColor="text1"/>
        </w:rPr>
      </w:pPr>
      <w:r>
        <w:rPr>
          <w:rFonts w:hint="eastAsia"/>
          <w:color w:val="000000" w:themeColor="text1"/>
        </w:rPr>
        <w:t>综上所述，项目在环境管理方面能够满足清洁生产的要求。</w:t>
      </w:r>
    </w:p>
    <w:p>
      <w:pPr>
        <w:pStyle w:val="38"/>
        <w:ind w:firstLine="281"/>
        <w:rPr>
          <w:color w:val="000000" w:themeColor="text1"/>
        </w:rPr>
      </w:pPr>
      <w:bookmarkStart w:id="72" w:name="_Toc47375830"/>
      <w:r>
        <w:rPr>
          <w:rFonts w:hint="eastAsia"/>
          <w:color w:val="000000" w:themeColor="text1"/>
        </w:rPr>
        <w:t>2.11.4清洁生产建议</w:t>
      </w:r>
      <w:bookmarkEnd w:id="72"/>
    </w:p>
    <w:p>
      <w:pPr>
        <w:ind w:firstLine="480"/>
        <w:rPr>
          <w:color w:val="000000" w:themeColor="text1"/>
        </w:rPr>
      </w:pPr>
      <w:r>
        <w:rPr>
          <w:rFonts w:hint="eastAsia"/>
          <w:color w:val="000000" w:themeColor="text1"/>
        </w:rPr>
        <w:t>本次评价，要求项目单位在生产中，加强管理，对项目生产过程中产生的污染物从源头治理，为此，建议项目单位采取以下的清洁生产措施。</w:t>
      </w:r>
    </w:p>
    <w:p>
      <w:pPr>
        <w:ind w:firstLine="480"/>
        <w:rPr>
          <w:color w:val="000000" w:themeColor="text1"/>
        </w:rPr>
      </w:pPr>
      <w:r>
        <w:rPr>
          <w:rFonts w:hint="eastAsia"/>
          <w:color w:val="000000" w:themeColor="text1"/>
        </w:rPr>
        <w:t>（1）加强员工环境保护的宣传意识，加强设备的维修和保养工作，进一步完善企业能源管理制度和机构，并明确管理责任，防止跑、冒、滴、漏。</w:t>
      </w:r>
    </w:p>
    <w:p>
      <w:pPr>
        <w:ind w:firstLine="480"/>
        <w:rPr>
          <w:color w:val="000000" w:themeColor="text1"/>
        </w:rPr>
      </w:pPr>
      <w:r>
        <w:rPr>
          <w:rFonts w:hint="eastAsia"/>
          <w:color w:val="000000" w:themeColor="text1"/>
        </w:rPr>
        <w:t>（2）加强污水站的防漏工作，加强污水处理的工艺设备检查，确保污水达标处理排放。</w:t>
      </w:r>
    </w:p>
    <w:p>
      <w:pPr>
        <w:ind w:firstLine="480"/>
        <w:rPr>
          <w:color w:val="000000" w:themeColor="text1"/>
        </w:rPr>
      </w:pPr>
      <w:r>
        <w:rPr>
          <w:rFonts w:hint="eastAsia"/>
          <w:color w:val="000000" w:themeColor="text1"/>
        </w:rPr>
        <w:t>（3）通风设备、照明尽量灵活控制，根据需要起停，节约电能。</w:t>
      </w:r>
    </w:p>
    <w:p>
      <w:pPr>
        <w:ind w:firstLine="480"/>
        <w:rPr>
          <w:color w:val="000000" w:themeColor="text1"/>
        </w:rPr>
      </w:pPr>
      <w:r>
        <w:rPr>
          <w:rFonts w:hint="eastAsia"/>
          <w:color w:val="000000" w:themeColor="text1"/>
        </w:rPr>
        <w:t>（4）待宰圈严格执行科学的兽医卫生防疫措施，有效地预防和控制传染病和普通病的发生。对装载生猪、生鸡的运输车辆进行严格消毒。</w:t>
      </w:r>
    </w:p>
    <w:p>
      <w:pPr>
        <w:pStyle w:val="38"/>
        <w:ind w:firstLine="281"/>
        <w:rPr>
          <w:color w:val="000000" w:themeColor="text1"/>
        </w:rPr>
      </w:pPr>
      <w:bookmarkStart w:id="73" w:name="_Toc47375831"/>
      <w:r>
        <w:rPr>
          <w:rFonts w:hint="eastAsia"/>
          <w:color w:val="000000" w:themeColor="text1"/>
        </w:rPr>
        <w:t>2.11.5清洁生产小结</w:t>
      </w:r>
      <w:bookmarkEnd w:id="73"/>
    </w:p>
    <w:p>
      <w:pPr>
        <w:ind w:firstLine="480"/>
        <w:rPr>
          <w:color w:val="000000" w:themeColor="text1"/>
        </w:rPr>
      </w:pPr>
      <w:r>
        <w:rPr>
          <w:rFonts w:hint="eastAsia"/>
          <w:color w:val="000000" w:themeColor="text1"/>
        </w:rPr>
        <w:t>综上所述，拟建项目选用的生产工艺、设备、能源、污染物的处理方式等均可达到节能降耗的目的，原辅料和产品符合清洁生产的要求，生产过程中采取的节能降耗措施可行，“三废”均进行了有效治理，且排放量较少，均处于国内先进水平，所以本项目的清洁生产总体水平上讲处于国内先进水平。</w:t>
      </w:r>
    </w:p>
    <w:p>
      <w:pPr>
        <w:pStyle w:val="38"/>
        <w:ind w:firstLine="281"/>
        <w:rPr>
          <w:color w:val="000000" w:themeColor="text1"/>
        </w:rPr>
      </w:pPr>
      <w:bookmarkStart w:id="74" w:name="_Toc47375832"/>
      <w:r>
        <w:rPr>
          <w:rFonts w:hint="eastAsia"/>
          <w:color w:val="000000" w:themeColor="text1"/>
        </w:rPr>
        <w:t>2.11.6循环经济分析</w:t>
      </w:r>
      <w:bookmarkEnd w:id="74"/>
    </w:p>
    <w:p>
      <w:pPr>
        <w:ind w:firstLine="480"/>
        <w:rPr>
          <w:color w:val="000000" w:themeColor="text1"/>
        </w:rPr>
      </w:pPr>
      <w:r>
        <w:rPr>
          <w:rFonts w:hint="eastAsia"/>
          <w:color w:val="000000" w:themeColor="text1"/>
        </w:rPr>
        <w:t>本项目在循环经济方面主要体现在以下方面：</w:t>
      </w:r>
    </w:p>
    <w:p>
      <w:pPr>
        <w:ind w:firstLine="480"/>
        <w:rPr>
          <w:color w:val="000000" w:themeColor="text1"/>
        </w:rPr>
      </w:pPr>
      <w:r>
        <w:rPr>
          <w:rFonts w:hint="eastAsia"/>
          <w:color w:val="000000" w:themeColor="text1"/>
        </w:rPr>
        <w:t>（1）猪（鸡）内脏、猪（鸡）血、猪头、猪蹄、猪尾、猪（鸡）毛等副产品外售；</w:t>
      </w:r>
    </w:p>
    <w:p>
      <w:pPr>
        <w:ind w:firstLine="480"/>
        <w:rPr>
          <w:color w:val="000000" w:themeColor="text1"/>
        </w:rPr>
      </w:pPr>
      <w:r>
        <w:rPr>
          <w:rFonts w:hint="eastAsia"/>
          <w:color w:val="000000" w:themeColor="text1"/>
        </w:rPr>
        <w:t>（2）肠胃容物、粪便等固废由附近的农户清理用作农肥。经采取相关措施处理后，项目有价物质绝大部分进行了回收和综合利用，最大限度地减少了污染物的排放，符合循环经济理念。</w:t>
      </w:r>
      <w:r>
        <w:rPr>
          <w:color w:val="000000" w:themeColor="text1"/>
        </w:rPr>
        <w:br w:type="page"/>
      </w:r>
    </w:p>
    <w:p>
      <w:pPr>
        <w:pStyle w:val="2"/>
        <w:spacing w:before="192" w:after="192"/>
        <w:rPr>
          <w:color w:val="000000" w:themeColor="text1"/>
        </w:rPr>
      </w:pPr>
      <w:bookmarkStart w:id="75" w:name="_Toc47375833"/>
      <w:r>
        <w:rPr>
          <w:rFonts w:hint="eastAsia"/>
          <w:color w:val="000000" w:themeColor="text1"/>
        </w:rPr>
        <w:t>3.区域环境概况</w:t>
      </w:r>
      <w:bookmarkEnd w:id="75"/>
    </w:p>
    <w:p>
      <w:pPr>
        <w:pStyle w:val="3"/>
        <w:rPr>
          <w:color w:val="000000" w:themeColor="text1"/>
        </w:rPr>
      </w:pPr>
      <w:bookmarkStart w:id="76" w:name="_Toc47375834"/>
      <w:r>
        <w:rPr>
          <w:rFonts w:hint="eastAsia"/>
          <w:color w:val="000000" w:themeColor="text1"/>
        </w:rPr>
        <w:t>3.1自然环境概况</w:t>
      </w:r>
      <w:bookmarkEnd w:id="76"/>
    </w:p>
    <w:p>
      <w:pPr>
        <w:ind w:firstLine="480"/>
        <w:rPr>
          <w:rFonts w:cs="Times New Roman"/>
          <w:color w:val="000000" w:themeColor="text1"/>
          <w:kern w:val="0"/>
          <w:szCs w:val="24"/>
        </w:rPr>
      </w:pPr>
      <w:r>
        <w:rPr>
          <w:rFonts w:hint="eastAsia"/>
          <w:color w:val="000000" w:themeColor="text1"/>
          <w:kern w:val="0"/>
        </w:rPr>
        <w:t>砚山县位于云南省东南部，文山州中西部，北回归线以北，地跨经</w:t>
      </w:r>
      <w:r>
        <w:rPr>
          <w:color w:val="000000" w:themeColor="text1"/>
          <w:kern w:val="0"/>
        </w:rPr>
        <w:t>103°35′</w:t>
      </w:r>
      <w:r>
        <w:rPr>
          <w:rFonts w:hint="eastAsia"/>
          <w:color w:val="000000" w:themeColor="text1"/>
          <w:kern w:val="0"/>
        </w:rPr>
        <w:t>～</w:t>
      </w:r>
      <w:r>
        <w:rPr>
          <w:color w:val="000000" w:themeColor="text1"/>
          <w:kern w:val="0"/>
        </w:rPr>
        <w:t>104°14′</w:t>
      </w:r>
      <w:r>
        <w:rPr>
          <w:rFonts w:hint="eastAsia"/>
          <w:color w:val="000000" w:themeColor="text1"/>
          <w:kern w:val="0"/>
        </w:rPr>
        <w:t>，北纬</w:t>
      </w:r>
      <w:r>
        <w:rPr>
          <w:color w:val="000000" w:themeColor="text1"/>
          <w:kern w:val="0"/>
        </w:rPr>
        <w:t>23°19′</w:t>
      </w:r>
      <w:r>
        <w:rPr>
          <w:rFonts w:hint="eastAsia"/>
          <w:color w:val="000000" w:themeColor="text1"/>
          <w:kern w:val="0"/>
        </w:rPr>
        <w:t>～</w:t>
      </w:r>
      <w:r>
        <w:rPr>
          <w:color w:val="000000" w:themeColor="text1"/>
          <w:kern w:val="0"/>
        </w:rPr>
        <w:t>23°59′</w:t>
      </w:r>
      <w:r>
        <w:rPr>
          <w:rFonts w:hint="eastAsia"/>
          <w:color w:val="000000" w:themeColor="text1"/>
          <w:kern w:val="0"/>
        </w:rPr>
        <w:t>之间，处于珠江水系、红河水系的分水岭地带，东于广南县相连，南与西畴县、文山市接壤，西与红河州的开远市、蒙自市毗邻，</w:t>
      </w:r>
      <w:r>
        <w:rPr>
          <w:rFonts w:cs="Times New Roman"/>
          <w:color w:val="000000" w:themeColor="text1"/>
          <w:kern w:val="0"/>
          <w:szCs w:val="24"/>
        </w:rPr>
        <w:t>北连丘北县。全境最大横距107km，最大纵距70km。全县土地总面积3826.57km</w:t>
      </w:r>
      <w:r>
        <w:rPr>
          <w:rFonts w:cs="Times New Roman"/>
          <w:color w:val="000000" w:themeColor="text1"/>
          <w:kern w:val="0"/>
          <w:szCs w:val="24"/>
          <w:vertAlign w:val="superscript"/>
        </w:rPr>
        <w:t>2</w:t>
      </w:r>
      <w:r>
        <w:rPr>
          <w:rFonts w:cs="Times New Roman"/>
          <w:color w:val="000000" w:themeColor="text1"/>
          <w:kern w:val="0"/>
          <w:szCs w:val="24"/>
        </w:rPr>
        <w:t>。</w:t>
      </w:r>
    </w:p>
    <w:p>
      <w:pPr>
        <w:ind w:firstLine="480"/>
        <w:rPr>
          <w:color w:val="000000" w:themeColor="text1"/>
        </w:rPr>
      </w:pPr>
      <w:r>
        <w:rPr>
          <w:color w:val="000000" w:themeColor="text1"/>
        </w:rPr>
        <w:t>干河乡位于砚山县中部偏东北，距县城15公里，地处东经104°15′-104°18′,北纬23°39′-23°51′之间，东南与者腊乡相连，西南邻江那镇，东北部接</w:t>
      </w:r>
      <w:r>
        <w:rPr>
          <w:rFonts w:hint="eastAsia"/>
          <w:color w:val="000000" w:themeColor="text1"/>
        </w:rPr>
        <w:t>阿猛镇</w:t>
      </w:r>
      <w:r>
        <w:rPr>
          <w:color w:val="000000" w:themeColor="text1"/>
        </w:rPr>
        <w:t>，西接维摩乡，东西最大横距10.375公里，南北最大纵距23.25公里，国土面积237.1平方公里。</w:t>
      </w:r>
    </w:p>
    <w:p>
      <w:pPr>
        <w:ind w:firstLine="480"/>
        <w:rPr>
          <w:color w:val="000000" w:themeColor="text1"/>
          <w:kern w:val="0"/>
        </w:rPr>
      </w:pPr>
      <w:r>
        <w:rPr>
          <w:rFonts w:hint="eastAsia"/>
          <w:color w:val="000000" w:themeColor="text1"/>
          <w:kern w:val="0"/>
        </w:rPr>
        <w:t>本项目建设地点在</w:t>
      </w:r>
      <w:r>
        <w:rPr>
          <w:rStyle w:val="52"/>
          <w:rFonts w:hint="eastAsia"/>
          <w:b w:val="0"/>
          <w:bCs w:val="0"/>
          <w:i w:val="0"/>
          <w:iCs w:val="0"/>
          <w:color w:val="000000" w:themeColor="text1"/>
          <w:szCs w:val="24"/>
        </w:rPr>
        <w:t>砚山县干河乡小龙白村西北侧500m处</w:t>
      </w:r>
      <w:r>
        <w:rPr>
          <w:rFonts w:hint="eastAsia"/>
          <w:color w:val="000000" w:themeColor="text1"/>
          <w:kern w:val="0"/>
        </w:rPr>
        <w:t>，项目中心地理坐标：北纬</w:t>
      </w:r>
      <w:r>
        <w:rPr>
          <w:color w:val="000000" w:themeColor="text1"/>
          <w:kern w:val="0"/>
        </w:rPr>
        <w:t>23°40'15.40"</w:t>
      </w:r>
      <w:r>
        <w:rPr>
          <w:rFonts w:hint="eastAsia"/>
          <w:color w:val="000000" w:themeColor="text1"/>
          <w:kern w:val="0"/>
        </w:rPr>
        <w:t>、东经</w:t>
      </w:r>
      <w:r>
        <w:rPr>
          <w:color w:val="000000" w:themeColor="text1"/>
          <w:kern w:val="0"/>
        </w:rPr>
        <w:t>104°19'59.93"</w:t>
      </w:r>
      <w:r>
        <w:rPr>
          <w:rFonts w:hint="eastAsia"/>
          <w:color w:val="000000" w:themeColor="text1"/>
          <w:kern w:val="0"/>
        </w:rPr>
        <w:t>。详细地理位置见附图</w:t>
      </w:r>
      <w:r>
        <w:rPr>
          <w:color w:val="000000" w:themeColor="text1"/>
          <w:kern w:val="0"/>
        </w:rPr>
        <w:t>1</w:t>
      </w:r>
      <w:r>
        <w:rPr>
          <w:rFonts w:hint="eastAsia"/>
          <w:color w:val="000000" w:themeColor="text1"/>
          <w:kern w:val="0"/>
        </w:rPr>
        <w:t>。</w:t>
      </w:r>
    </w:p>
    <w:p>
      <w:pPr>
        <w:pStyle w:val="38"/>
        <w:ind w:firstLine="281"/>
        <w:rPr>
          <w:color w:val="000000" w:themeColor="text1"/>
        </w:rPr>
      </w:pPr>
      <w:bookmarkStart w:id="77" w:name="_Toc401477717"/>
      <w:bookmarkStart w:id="78" w:name="_Toc30555"/>
      <w:bookmarkStart w:id="79" w:name="_Toc47375835"/>
      <w:r>
        <w:rPr>
          <w:color w:val="000000" w:themeColor="text1"/>
        </w:rPr>
        <w:t>3.1.2</w:t>
      </w:r>
      <w:r>
        <w:rPr>
          <w:rFonts w:hint="eastAsia"/>
          <w:color w:val="000000" w:themeColor="text1"/>
        </w:rPr>
        <w:t>地形、地貌</w:t>
      </w:r>
      <w:bookmarkEnd w:id="77"/>
      <w:r>
        <w:rPr>
          <w:rFonts w:hint="eastAsia"/>
          <w:color w:val="000000" w:themeColor="text1"/>
        </w:rPr>
        <w:t>、地质</w:t>
      </w:r>
      <w:bookmarkEnd w:id="78"/>
      <w:bookmarkEnd w:id="79"/>
    </w:p>
    <w:p>
      <w:pPr>
        <w:ind w:firstLine="480"/>
        <w:rPr>
          <w:color w:val="000000" w:themeColor="text1"/>
          <w:kern w:val="0"/>
        </w:rPr>
      </w:pPr>
      <w:bookmarkStart w:id="80" w:name="_Toc401477718"/>
      <w:r>
        <w:rPr>
          <w:color w:val="000000" w:themeColor="text1"/>
          <w:kern w:val="0"/>
        </w:rPr>
        <w:t>1</w:t>
      </w:r>
      <w:r>
        <w:rPr>
          <w:rFonts w:hint="eastAsia"/>
          <w:color w:val="000000" w:themeColor="text1"/>
          <w:kern w:val="0"/>
        </w:rPr>
        <w:t>、地形地貌</w:t>
      </w:r>
    </w:p>
    <w:p>
      <w:pPr>
        <w:ind w:firstLine="480"/>
        <w:rPr>
          <w:color w:val="000000" w:themeColor="text1"/>
          <w:kern w:val="0"/>
        </w:rPr>
      </w:pPr>
      <w:r>
        <w:rPr>
          <w:rFonts w:hint="eastAsia"/>
          <w:color w:val="000000" w:themeColor="text1"/>
          <w:kern w:val="0"/>
        </w:rPr>
        <w:t>砚山县属滇东南岩溶丘原地貌，境内六诏山脉横贯其中，山脉走向较规则地由东向西延伸，形成中山河谷。地形从西北的最高点（鲁都克马吊陡坡海拔</w:t>
      </w:r>
      <w:r>
        <w:rPr>
          <w:color w:val="000000" w:themeColor="text1"/>
          <w:kern w:val="0"/>
        </w:rPr>
        <w:t xml:space="preserve"> 2263.30m</w:t>
      </w:r>
      <w:r>
        <w:rPr>
          <w:rFonts w:hint="eastAsia"/>
          <w:color w:val="000000" w:themeColor="text1"/>
          <w:kern w:val="0"/>
        </w:rPr>
        <w:t>）逐步向东南方向的最低点（八嘎三岔河海拔</w:t>
      </w:r>
      <w:r>
        <w:rPr>
          <w:color w:val="000000" w:themeColor="text1"/>
          <w:kern w:val="0"/>
        </w:rPr>
        <w:t>1080.00m</w:t>
      </w:r>
      <w:r>
        <w:rPr>
          <w:rFonts w:hint="eastAsia"/>
          <w:color w:val="000000" w:themeColor="text1"/>
          <w:kern w:val="0"/>
        </w:rPr>
        <w:t>）倾斜，形成西北高、东南低的倾斜地势，地形地貌十分复杂。砚山县处于珠江水系和红河水系分水岭，全县地形由西向东南呈阶梯式下降，形成高、中、低三层，以海拔</w:t>
      </w:r>
      <w:r>
        <w:rPr>
          <w:color w:val="000000" w:themeColor="text1"/>
          <w:kern w:val="0"/>
        </w:rPr>
        <w:t>1400</w:t>
      </w:r>
      <w:r>
        <w:rPr>
          <w:rFonts w:hint="eastAsia"/>
          <w:color w:val="000000" w:themeColor="text1"/>
          <w:kern w:val="0"/>
        </w:rPr>
        <w:t>～</w:t>
      </w:r>
      <w:r>
        <w:rPr>
          <w:color w:val="000000" w:themeColor="text1"/>
          <w:kern w:val="0"/>
        </w:rPr>
        <w:t xml:space="preserve">1600 </w:t>
      </w:r>
      <w:r>
        <w:rPr>
          <w:rFonts w:hint="eastAsia"/>
          <w:color w:val="000000" w:themeColor="text1"/>
          <w:kern w:val="0"/>
        </w:rPr>
        <w:t>米的中层为主。砚山处于珠江水系和红河水系之分水岭。全县小河流分布众多，河流短，河床窄，境内总长</w:t>
      </w:r>
      <w:r>
        <w:rPr>
          <w:color w:val="000000" w:themeColor="text1"/>
          <w:kern w:val="0"/>
        </w:rPr>
        <w:t>198.4km</w:t>
      </w:r>
      <w:r>
        <w:rPr>
          <w:rFonts w:hint="eastAsia"/>
          <w:color w:val="000000" w:themeColor="text1"/>
          <w:kern w:val="0"/>
        </w:rPr>
        <w:t>。全县境内湖泊星罗棋布，较大湖泊有两个，即海子边海和差黑海，总面积</w:t>
      </w:r>
      <w:r>
        <w:rPr>
          <w:color w:val="000000" w:themeColor="text1"/>
          <w:kern w:val="0"/>
        </w:rPr>
        <w:t>7566</w:t>
      </w:r>
      <w:r>
        <w:rPr>
          <w:rFonts w:hint="eastAsia"/>
          <w:color w:val="000000" w:themeColor="text1"/>
          <w:kern w:val="0"/>
        </w:rPr>
        <w:t>亩。有</w:t>
      </w:r>
      <w:r>
        <w:rPr>
          <w:color w:val="000000" w:themeColor="text1"/>
          <w:kern w:val="0"/>
        </w:rPr>
        <w:t>3000</w:t>
      </w:r>
      <w:r>
        <w:rPr>
          <w:rFonts w:hint="eastAsia"/>
          <w:color w:val="000000" w:themeColor="text1"/>
          <w:kern w:val="0"/>
        </w:rPr>
        <w:t>亩以上的坝子</w:t>
      </w:r>
      <w:r>
        <w:rPr>
          <w:color w:val="000000" w:themeColor="text1"/>
          <w:kern w:val="0"/>
        </w:rPr>
        <w:t xml:space="preserve"> 35 </w:t>
      </w:r>
      <w:r>
        <w:rPr>
          <w:rFonts w:hint="eastAsia"/>
          <w:color w:val="000000" w:themeColor="text1"/>
          <w:kern w:val="0"/>
        </w:rPr>
        <w:t>个，其中平远坝子为全省八大坝子之一。全县土地总面积</w:t>
      </w:r>
      <w:r>
        <w:rPr>
          <w:color w:val="000000" w:themeColor="text1"/>
          <w:kern w:val="0"/>
        </w:rPr>
        <w:t>3822km</w:t>
      </w:r>
      <w:r>
        <w:rPr>
          <w:color w:val="000000" w:themeColor="text1"/>
          <w:kern w:val="0"/>
          <w:vertAlign w:val="superscript"/>
        </w:rPr>
        <w:t>2</w:t>
      </w:r>
      <w:r>
        <w:rPr>
          <w:rFonts w:hint="eastAsia"/>
          <w:color w:val="000000" w:themeColor="text1"/>
          <w:kern w:val="0"/>
        </w:rPr>
        <w:t>，其中山地面积占</w:t>
      </w:r>
      <w:r>
        <w:rPr>
          <w:color w:val="000000" w:themeColor="text1"/>
          <w:kern w:val="0"/>
        </w:rPr>
        <w:t xml:space="preserve"> 56</w:t>
      </w:r>
      <w:r>
        <w:rPr>
          <w:rFonts w:hint="eastAsia"/>
          <w:color w:val="000000" w:themeColor="text1"/>
          <w:kern w:val="0"/>
        </w:rPr>
        <w:t>％，丘陵面积占</w:t>
      </w:r>
      <w:r>
        <w:rPr>
          <w:color w:val="000000" w:themeColor="text1"/>
          <w:kern w:val="0"/>
        </w:rPr>
        <w:t xml:space="preserve"> 29</w:t>
      </w:r>
      <w:r>
        <w:rPr>
          <w:rFonts w:hint="eastAsia"/>
          <w:color w:val="000000" w:themeColor="text1"/>
          <w:kern w:val="0"/>
        </w:rPr>
        <w:t>％，盆地面积占</w:t>
      </w:r>
      <w:r>
        <w:rPr>
          <w:color w:val="000000" w:themeColor="text1"/>
          <w:kern w:val="0"/>
        </w:rPr>
        <w:t xml:space="preserve"> 15</w:t>
      </w:r>
      <w:r>
        <w:rPr>
          <w:rFonts w:hint="eastAsia"/>
          <w:color w:val="000000" w:themeColor="text1"/>
          <w:kern w:val="0"/>
        </w:rPr>
        <w:t>％。</w:t>
      </w:r>
    </w:p>
    <w:p>
      <w:pPr>
        <w:ind w:firstLine="480"/>
        <w:rPr>
          <w:color w:val="000000" w:themeColor="text1"/>
        </w:rPr>
      </w:pPr>
      <w:r>
        <w:rPr>
          <w:rFonts w:hint="eastAsia"/>
          <w:color w:val="000000" w:themeColor="text1"/>
        </w:rPr>
        <w:t>砚山县地貌大体可分为构造侵蚀地貌、岩溶（喀斯特）地貌和断陷沉积盆地地貌，构造侵蚀地貌主要分布于砚山县八嘎、蚌峨；岩溶（喀斯特）地貌是主要分布于砚山县城、维摩、平远、稼依等；断陷沉积盆地主要分布于砚山县城所在地。剥蚀地貌和堆积地貌等零星出露，分布面积有限。</w:t>
      </w:r>
    </w:p>
    <w:p>
      <w:pPr>
        <w:ind w:firstLine="480"/>
        <w:rPr>
          <w:color w:val="000000" w:themeColor="text1"/>
        </w:rPr>
      </w:pPr>
      <w:r>
        <w:rPr>
          <w:rFonts w:hint="eastAsia"/>
          <w:color w:val="000000" w:themeColor="text1"/>
        </w:rPr>
        <w:t>项目区地貌类型属构造侵蚀中低山地貌、岩溶峰丛谷地地貌。构造侵蚀中低山地层主要有泥盆系下统翠峰山组</w:t>
      </w:r>
      <w:r>
        <w:rPr>
          <w:color w:val="000000" w:themeColor="text1"/>
        </w:rPr>
        <w:t>(D</w:t>
      </w:r>
      <w:r>
        <w:rPr>
          <w:color w:val="000000" w:themeColor="text1"/>
          <w:vertAlign w:val="subscript"/>
        </w:rPr>
        <w:t>1</w:t>
      </w:r>
      <w:r>
        <w:rPr>
          <w:color w:val="000000" w:themeColor="text1"/>
        </w:rPr>
        <w:t>c) </w:t>
      </w:r>
      <w:r>
        <w:rPr>
          <w:rFonts w:hint="eastAsia"/>
          <w:color w:val="000000" w:themeColor="text1"/>
        </w:rPr>
        <w:t>砂岩、泥岩、页岩和坡脚组</w:t>
      </w:r>
      <w:r>
        <w:rPr>
          <w:color w:val="000000" w:themeColor="text1"/>
        </w:rPr>
        <w:t>(D</w:t>
      </w:r>
      <w:r>
        <w:rPr>
          <w:color w:val="000000" w:themeColor="text1"/>
          <w:vertAlign w:val="subscript"/>
        </w:rPr>
        <w:t>1</w:t>
      </w:r>
      <w:r>
        <w:rPr>
          <w:color w:val="000000" w:themeColor="text1"/>
        </w:rPr>
        <w:t>p)</w:t>
      </w:r>
      <w:r>
        <w:rPr>
          <w:rFonts w:hint="eastAsia"/>
          <w:color w:val="000000" w:themeColor="text1"/>
        </w:rPr>
        <w:t>泥岩、细砂岩、页岩。岩溶峰丛谷地地层出露第四系残积</w:t>
      </w:r>
      <w:r>
        <w:rPr>
          <w:color w:val="000000" w:themeColor="text1"/>
        </w:rPr>
        <w:t>(Q</w:t>
      </w:r>
      <w:r>
        <w:rPr>
          <w:color w:val="000000" w:themeColor="text1"/>
          <w:vertAlign w:val="superscript"/>
        </w:rPr>
        <w:t>el</w:t>
      </w:r>
      <w:r>
        <w:rPr>
          <w:color w:val="000000" w:themeColor="text1"/>
        </w:rPr>
        <w:t>)</w:t>
      </w:r>
      <w:r>
        <w:rPr>
          <w:rFonts w:hint="eastAsia"/>
          <w:color w:val="000000" w:themeColor="text1"/>
        </w:rPr>
        <w:t>碎石土、红粘土，泥盆系中统古木组</w:t>
      </w:r>
      <w:r>
        <w:rPr>
          <w:color w:val="000000" w:themeColor="text1"/>
        </w:rPr>
        <w:t>(D</w:t>
      </w:r>
      <w:r>
        <w:rPr>
          <w:color w:val="000000" w:themeColor="text1"/>
          <w:vertAlign w:val="subscript"/>
        </w:rPr>
        <w:t>2</w:t>
      </w:r>
      <w:r>
        <w:rPr>
          <w:color w:val="000000" w:themeColor="text1"/>
        </w:rPr>
        <w:t>g)</w:t>
      </w:r>
      <w:r>
        <w:rPr>
          <w:rFonts w:hint="eastAsia"/>
          <w:color w:val="000000" w:themeColor="text1"/>
        </w:rPr>
        <w:t>泥质灰岩、白云岩、白云质灰岩和东岗岭组</w:t>
      </w:r>
      <w:r>
        <w:rPr>
          <w:color w:val="000000" w:themeColor="text1"/>
        </w:rPr>
        <w:t>(D</w:t>
      </w:r>
      <w:r>
        <w:rPr>
          <w:color w:val="000000" w:themeColor="text1"/>
          <w:vertAlign w:val="subscript"/>
        </w:rPr>
        <w:t>2</w:t>
      </w:r>
      <w:r>
        <w:rPr>
          <w:color w:val="000000" w:themeColor="text1"/>
        </w:rPr>
        <w:t>d) </w:t>
      </w:r>
      <w:r>
        <w:rPr>
          <w:rFonts w:hint="eastAsia"/>
          <w:color w:val="000000" w:themeColor="text1"/>
        </w:rPr>
        <w:t>灰岩、白云岩等。</w:t>
      </w:r>
    </w:p>
    <w:p>
      <w:pPr>
        <w:ind w:firstLine="480"/>
        <w:rPr>
          <w:color w:val="000000" w:themeColor="text1"/>
        </w:rPr>
      </w:pPr>
      <w:r>
        <w:rPr>
          <w:rFonts w:hint="eastAsia"/>
          <w:color w:val="000000" w:themeColor="text1"/>
        </w:rPr>
        <w:t>砚山县境内不良物理地质现象主要表现为滑坡、塌坍、泥石流和塌陷等。滑坡主要分布于沿河两岸斜坡地带和新修公路两侧，以中小型浅层滑坡为主。塌坍多发生在陡崖区附近。泥石流主要发育于人为破坏较为严重，地表风化强烈的碎屑岩区，影响程度轻微～中等。塌陷包括矿山开采地表塌陷和碳酸盐岩区的地表岩溶塌陷。总体上区内不良物理地质现象规模一般不大，影响范围有限。</w:t>
      </w:r>
      <w:r>
        <w:rPr>
          <w:color w:val="000000" w:themeColor="text1"/>
        </w:rPr>
        <w:t xml:space="preserve"> </w:t>
      </w:r>
    </w:p>
    <w:p>
      <w:pPr>
        <w:ind w:firstLine="480"/>
        <w:rPr>
          <w:color w:val="000000" w:themeColor="text1"/>
        </w:rPr>
      </w:pPr>
      <w:r>
        <w:rPr>
          <w:rFonts w:hint="eastAsia"/>
          <w:color w:val="000000" w:themeColor="text1"/>
        </w:rPr>
        <w:t>全境以岩溶盆地为主要地貌特征，有</w:t>
      </w:r>
      <w:r>
        <w:rPr>
          <w:color w:val="000000" w:themeColor="text1"/>
        </w:rPr>
        <w:t>1</w:t>
      </w:r>
      <w:r>
        <w:rPr>
          <w:rFonts w:hint="eastAsia"/>
          <w:color w:val="000000" w:themeColor="text1"/>
        </w:rPr>
        <w:t>平方公里以上的岩溶坝子</w:t>
      </w:r>
      <w:r>
        <w:rPr>
          <w:color w:val="000000" w:themeColor="text1"/>
        </w:rPr>
        <w:t>35</w:t>
      </w:r>
      <w:r>
        <w:rPr>
          <w:rFonts w:hint="eastAsia"/>
          <w:color w:val="000000" w:themeColor="text1"/>
        </w:rPr>
        <w:t>个（</w:t>
      </w:r>
      <w:r>
        <w:rPr>
          <w:color w:val="000000" w:themeColor="text1"/>
        </w:rPr>
        <w:t>106.49</w:t>
      </w:r>
      <w:r>
        <w:rPr>
          <w:rFonts w:hint="eastAsia"/>
          <w:color w:val="000000" w:themeColor="text1"/>
        </w:rPr>
        <w:t>万亩，占全县总土地面积的</w:t>
      </w:r>
      <w:r>
        <w:rPr>
          <w:color w:val="000000" w:themeColor="text1"/>
        </w:rPr>
        <w:t xml:space="preserve"> 27</w:t>
      </w:r>
      <w:r>
        <w:rPr>
          <w:rFonts w:hint="eastAsia"/>
          <w:color w:val="000000" w:themeColor="text1"/>
        </w:rPr>
        <w:t>％），以平远、稼依坝子为大（</w:t>
      </w:r>
      <w:r>
        <w:rPr>
          <w:color w:val="000000" w:themeColor="text1"/>
        </w:rPr>
        <w:t>61</w:t>
      </w:r>
      <w:r>
        <w:rPr>
          <w:rFonts w:hint="eastAsia"/>
          <w:color w:val="000000" w:themeColor="text1"/>
        </w:rPr>
        <w:t>万亩）；其次为砚山坝子（</w:t>
      </w:r>
      <w:r>
        <w:rPr>
          <w:color w:val="000000" w:themeColor="text1"/>
        </w:rPr>
        <w:t>12.64</w:t>
      </w:r>
      <w:r>
        <w:rPr>
          <w:rFonts w:hint="eastAsia"/>
          <w:color w:val="000000" w:themeColor="text1"/>
        </w:rPr>
        <w:t>万亩），红舍克坝子（</w:t>
      </w:r>
      <w:r>
        <w:rPr>
          <w:color w:val="000000" w:themeColor="text1"/>
        </w:rPr>
        <w:t>5.99</w:t>
      </w:r>
      <w:r>
        <w:rPr>
          <w:rFonts w:hint="eastAsia"/>
          <w:color w:val="000000" w:themeColor="text1"/>
        </w:rPr>
        <w:t>万亩）。全境地形起伏不平，</w:t>
      </w:r>
      <w:r>
        <w:rPr>
          <w:color w:val="000000" w:themeColor="text1"/>
        </w:rPr>
        <w:t>200</w:t>
      </w:r>
      <w:r>
        <w:rPr>
          <w:rFonts w:hint="eastAsia"/>
          <w:color w:val="000000" w:themeColor="text1"/>
        </w:rPr>
        <w:t>多座岩溶石山散布其间。整个地貌复杂多样，西部阿舍乡的阿基、地者恩、鲁都克一带，以中高山地</w:t>
      </w:r>
      <w:r>
        <w:rPr>
          <w:color w:val="000000" w:themeColor="text1"/>
        </w:rPr>
        <w:t xml:space="preserve"> </w:t>
      </w:r>
      <w:r>
        <w:rPr>
          <w:rFonts w:hint="eastAsia"/>
          <w:color w:val="000000" w:themeColor="text1"/>
        </w:rPr>
        <w:t>貌为主；南面和北面，西北面和东北面则以典型的喀斯特地貌为主；南面则为突出的中山河谷地貌。</w:t>
      </w:r>
    </w:p>
    <w:p>
      <w:pPr>
        <w:ind w:firstLine="480"/>
        <w:rPr>
          <w:color w:val="000000" w:themeColor="text1"/>
        </w:rPr>
      </w:pPr>
      <w:r>
        <w:rPr>
          <w:color w:val="000000" w:themeColor="text1"/>
        </w:rPr>
        <w:t>2</w:t>
      </w:r>
      <w:r>
        <w:rPr>
          <w:rFonts w:hint="eastAsia"/>
          <w:color w:val="000000" w:themeColor="text1"/>
        </w:rPr>
        <w:t>、地质构造</w:t>
      </w:r>
    </w:p>
    <w:p>
      <w:pPr>
        <w:ind w:firstLine="480"/>
        <w:rPr>
          <w:color w:val="000000" w:themeColor="text1"/>
        </w:rPr>
      </w:pPr>
      <w:r>
        <w:rPr>
          <w:rFonts w:hint="eastAsia"/>
          <w:color w:val="000000" w:themeColor="text1"/>
        </w:rPr>
        <w:t>砚山县地质构造属华南加里东褶皱带云南弧形构造单元。经历多期次构造变动，褶皱和断裂发育且分布广泛，东部地质构造较西部复杂。主体构造线以北东向为主，东西向、北西向等次之。断裂构造以压扭性断裂为主。主要构造有龙所～蚌峨褶皱带、老鹰山～阿猛褶皱带、长岭街～倮基黑褶皱带。</w:t>
      </w:r>
    </w:p>
    <w:p>
      <w:pPr>
        <w:ind w:firstLine="480"/>
        <w:rPr>
          <w:color w:val="000000" w:themeColor="text1"/>
        </w:rPr>
      </w:pPr>
      <w:r>
        <w:rPr>
          <w:color w:val="000000" w:themeColor="text1"/>
        </w:rPr>
        <w:t>3</w:t>
      </w:r>
      <w:r>
        <w:rPr>
          <w:rFonts w:hint="eastAsia"/>
          <w:color w:val="000000" w:themeColor="text1"/>
        </w:rPr>
        <w:t>、地震</w:t>
      </w:r>
    </w:p>
    <w:p>
      <w:pPr>
        <w:ind w:firstLine="480"/>
        <w:rPr>
          <w:color w:val="000000" w:themeColor="text1"/>
        </w:rPr>
      </w:pPr>
      <w:r>
        <w:rPr>
          <w:rFonts w:hint="eastAsia"/>
          <w:color w:val="000000" w:themeColor="text1"/>
        </w:rPr>
        <w:t>根据《建筑抗震设计规范》（</w:t>
      </w:r>
      <w:r>
        <w:rPr>
          <w:color w:val="000000" w:themeColor="text1"/>
        </w:rPr>
        <w:t>GB50011-2010</w:t>
      </w:r>
      <w:r>
        <w:rPr>
          <w:rFonts w:hint="eastAsia"/>
          <w:color w:val="000000" w:themeColor="text1"/>
        </w:rPr>
        <w:t>）附录</w:t>
      </w:r>
      <w:r>
        <w:rPr>
          <w:color w:val="000000" w:themeColor="text1"/>
        </w:rPr>
        <w:t xml:space="preserve"> A.0.22 </w:t>
      </w:r>
      <w:r>
        <w:rPr>
          <w:rFonts w:hint="eastAsia"/>
          <w:color w:val="000000" w:themeColor="text1"/>
        </w:rPr>
        <w:t>划分，砚山县地震基本烈度为</w:t>
      </w:r>
      <w:r>
        <w:rPr>
          <w:color w:val="000000" w:themeColor="text1"/>
        </w:rPr>
        <w:t xml:space="preserve"> 6 </w:t>
      </w:r>
      <w:r>
        <w:rPr>
          <w:rFonts w:hint="eastAsia"/>
          <w:color w:val="000000" w:themeColor="text1"/>
        </w:rPr>
        <w:t>度，设计基本地震加速度值</w:t>
      </w:r>
      <w:r>
        <w:rPr>
          <w:color w:val="000000" w:themeColor="text1"/>
        </w:rPr>
        <w:t>0.05g</w:t>
      </w:r>
      <w:r>
        <w:rPr>
          <w:rFonts w:hint="eastAsia"/>
          <w:color w:val="000000" w:themeColor="text1"/>
        </w:rPr>
        <w:t>，所属设计地震分组为第二组。</w:t>
      </w:r>
      <w:r>
        <w:rPr>
          <w:color w:val="000000" w:themeColor="text1"/>
        </w:rPr>
        <w:t xml:space="preserve"> </w:t>
      </w:r>
    </w:p>
    <w:p>
      <w:pPr>
        <w:ind w:firstLine="480"/>
        <w:rPr>
          <w:color w:val="000000" w:themeColor="text1"/>
        </w:rPr>
      </w:pPr>
      <w:r>
        <w:rPr>
          <w:rFonts w:hint="eastAsia"/>
          <w:color w:val="000000" w:themeColor="text1"/>
        </w:rPr>
        <w:t>根据《云南地质构造及区域稳定性遥感综合调查报告》，砚山县域区属罗平～广南～</w:t>
      </w:r>
      <w:r>
        <w:rPr>
          <w:color w:val="000000" w:themeColor="text1"/>
        </w:rPr>
        <w:t xml:space="preserve"> </w:t>
      </w:r>
      <w:r>
        <w:rPr>
          <w:rFonts w:hint="eastAsia"/>
          <w:color w:val="000000" w:themeColor="text1"/>
        </w:rPr>
        <w:t>文山地壳稳定区。</w:t>
      </w:r>
    </w:p>
    <w:p>
      <w:pPr>
        <w:pStyle w:val="38"/>
        <w:ind w:firstLine="281"/>
        <w:rPr>
          <w:color w:val="000000" w:themeColor="text1"/>
          <w:szCs w:val="21"/>
        </w:rPr>
      </w:pPr>
      <w:bookmarkStart w:id="81" w:name="_Toc20876"/>
      <w:bookmarkStart w:id="82" w:name="_Toc47375836"/>
      <w:r>
        <w:rPr>
          <w:color w:val="000000" w:themeColor="text1"/>
        </w:rPr>
        <w:t>3.1.3</w:t>
      </w:r>
      <w:r>
        <w:rPr>
          <w:rFonts w:hint="eastAsia"/>
          <w:color w:val="000000" w:themeColor="text1"/>
        </w:rPr>
        <w:t>气象、气候</w:t>
      </w:r>
      <w:bookmarkEnd w:id="80"/>
      <w:bookmarkEnd w:id="81"/>
      <w:bookmarkEnd w:id="82"/>
    </w:p>
    <w:p>
      <w:pPr>
        <w:ind w:firstLine="480"/>
        <w:rPr>
          <w:color w:val="000000" w:themeColor="text1"/>
          <w:kern w:val="0"/>
        </w:rPr>
      </w:pPr>
      <w:r>
        <w:rPr>
          <w:rFonts w:hint="eastAsia"/>
          <w:color w:val="000000" w:themeColor="text1"/>
          <w:kern w:val="0"/>
        </w:rPr>
        <w:t>砚山县地处北回归线附近低纬高原地带，属亚热带大陆性季风气候区，随着海拔高度的不同，呈现亚热带高原立体气候和季风气候的特点。全年平均气温为</w:t>
      </w:r>
      <w:r>
        <w:rPr>
          <w:color w:val="000000" w:themeColor="text1"/>
          <w:kern w:val="0"/>
        </w:rPr>
        <w:t>16.1℃</w:t>
      </w:r>
      <w:r>
        <w:rPr>
          <w:rFonts w:hint="eastAsia"/>
          <w:color w:val="000000" w:themeColor="text1"/>
          <w:kern w:val="0"/>
        </w:rPr>
        <w:t>，最冷月（</w:t>
      </w:r>
      <w:r>
        <w:rPr>
          <w:color w:val="000000" w:themeColor="text1"/>
          <w:kern w:val="0"/>
        </w:rPr>
        <w:t>1</w:t>
      </w:r>
      <w:r>
        <w:rPr>
          <w:rFonts w:hint="eastAsia"/>
          <w:color w:val="000000" w:themeColor="text1"/>
          <w:kern w:val="0"/>
        </w:rPr>
        <w:t>月）平均气温</w:t>
      </w:r>
      <w:r>
        <w:rPr>
          <w:color w:val="000000" w:themeColor="text1"/>
          <w:kern w:val="0"/>
        </w:rPr>
        <w:t>6.60℃</w:t>
      </w:r>
      <w:r>
        <w:rPr>
          <w:rFonts w:hint="eastAsia"/>
          <w:color w:val="000000" w:themeColor="text1"/>
          <w:kern w:val="0"/>
        </w:rPr>
        <w:t>～</w:t>
      </w:r>
      <w:r>
        <w:rPr>
          <w:color w:val="000000" w:themeColor="text1"/>
          <w:kern w:val="0"/>
        </w:rPr>
        <w:t>10℃</w:t>
      </w:r>
      <w:r>
        <w:rPr>
          <w:rFonts w:hint="eastAsia"/>
          <w:color w:val="000000" w:themeColor="text1"/>
          <w:kern w:val="0"/>
        </w:rPr>
        <w:t>，最热月（</w:t>
      </w:r>
      <w:r>
        <w:rPr>
          <w:color w:val="000000" w:themeColor="text1"/>
          <w:kern w:val="0"/>
        </w:rPr>
        <w:t>7</w:t>
      </w:r>
      <w:r>
        <w:rPr>
          <w:rFonts w:hint="eastAsia"/>
          <w:color w:val="000000" w:themeColor="text1"/>
          <w:kern w:val="0"/>
        </w:rPr>
        <w:t>月）平均气温</w:t>
      </w:r>
      <w:r>
        <w:rPr>
          <w:color w:val="000000" w:themeColor="text1"/>
          <w:kern w:val="0"/>
        </w:rPr>
        <w:t>16.50℃</w:t>
      </w:r>
      <w:r>
        <w:rPr>
          <w:rFonts w:hint="eastAsia"/>
          <w:color w:val="000000" w:themeColor="text1"/>
          <w:kern w:val="0"/>
        </w:rPr>
        <w:t>～</w:t>
      </w:r>
      <w:r>
        <w:rPr>
          <w:color w:val="000000" w:themeColor="text1"/>
          <w:kern w:val="0"/>
        </w:rPr>
        <w:t>25℃</w:t>
      </w:r>
      <w:r>
        <w:rPr>
          <w:rFonts w:hint="eastAsia"/>
          <w:color w:val="000000" w:themeColor="text1"/>
          <w:kern w:val="0"/>
        </w:rPr>
        <w:t>，极端最高气温</w:t>
      </w:r>
      <w:r>
        <w:rPr>
          <w:color w:val="000000" w:themeColor="text1"/>
          <w:kern w:val="0"/>
        </w:rPr>
        <w:t>33.20℃</w:t>
      </w:r>
      <w:r>
        <w:rPr>
          <w:rFonts w:hint="eastAsia"/>
          <w:color w:val="000000" w:themeColor="text1"/>
          <w:kern w:val="0"/>
        </w:rPr>
        <w:t>，极端最低气温</w:t>
      </w:r>
      <w:r>
        <w:rPr>
          <w:color w:val="000000" w:themeColor="text1"/>
          <w:kern w:val="0"/>
        </w:rPr>
        <w:t>-7.8℃</w:t>
      </w:r>
      <w:r>
        <w:rPr>
          <w:rFonts w:hint="eastAsia"/>
          <w:color w:val="000000" w:themeColor="text1"/>
          <w:kern w:val="0"/>
        </w:rPr>
        <w:t>，年日照时数</w:t>
      </w:r>
      <w:r>
        <w:rPr>
          <w:color w:val="000000" w:themeColor="text1"/>
          <w:kern w:val="0"/>
        </w:rPr>
        <w:t>1400</w:t>
      </w:r>
      <w:r>
        <w:rPr>
          <w:rFonts w:hint="eastAsia"/>
          <w:color w:val="000000" w:themeColor="text1"/>
          <w:kern w:val="0"/>
        </w:rPr>
        <w:t>～</w:t>
      </w:r>
      <w:r>
        <w:rPr>
          <w:color w:val="000000" w:themeColor="text1"/>
          <w:kern w:val="0"/>
        </w:rPr>
        <w:t>2100h</w:t>
      </w:r>
      <w:r>
        <w:rPr>
          <w:rFonts w:hint="eastAsia"/>
          <w:color w:val="000000" w:themeColor="text1"/>
          <w:kern w:val="0"/>
        </w:rPr>
        <w:t>，全年无霜期</w:t>
      </w:r>
      <w:r>
        <w:rPr>
          <w:color w:val="000000" w:themeColor="text1"/>
          <w:kern w:val="0"/>
        </w:rPr>
        <w:t>250—320</w:t>
      </w:r>
      <w:r>
        <w:rPr>
          <w:rFonts w:hint="eastAsia"/>
          <w:color w:val="000000" w:themeColor="text1"/>
          <w:kern w:val="0"/>
        </w:rPr>
        <w:t>天，四季不明显，干湿分明，立体气候明显，具有冬远严寒，夏无酷暑，春暖秋凉，四季温和的特点。境内雨水充沛，雨量集中，干湿明显，</w:t>
      </w:r>
      <w:r>
        <w:rPr>
          <w:color w:val="000000" w:themeColor="text1"/>
          <w:kern w:val="0"/>
        </w:rPr>
        <w:t>5</w:t>
      </w:r>
      <w:r>
        <w:rPr>
          <w:rFonts w:hint="eastAsia"/>
          <w:color w:val="000000" w:themeColor="text1"/>
          <w:kern w:val="0"/>
        </w:rPr>
        <w:t>～</w:t>
      </w:r>
      <w:r>
        <w:rPr>
          <w:color w:val="000000" w:themeColor="text1"/>
          <w:kern w:val="0"/>
        </w:rPr>
        <w:t>10</w:t>
      </w:r>
      <w:r>
        <w:rPr>
          <w:rFonts w:hint="eastAsia"/>
          <w:color w:val="000000" w:themeColor="text1"/>
          <w:kern w:val="0"/>
        </w:rPr>
        <w:t>月为雨季，年平均降雨量</w:t>
      </w:r>
      <w:r>
        <w:rPr>
          <w:color w:val="000000" w:themeColor="text1"/>
          <w:kern w:val="0"/>
        </w:rPr>
        <w:t>1008mm</w:t>
      </w:r>
      <w:r>
        <w:rPr>
          <w:rFonts w:hint="eastAsia"/>
          <w:color w:val="000000" w:themeColor="text1"/>
          <w:kern w:val="0"/>
        </w:rPr>
        <w:t>，多年平均蒸发量</w:t>
      </w:r>
      <w:r>
        <w:rPr>
          <w:color w:val="000000" w:themeColor="text1"/>
          <w:kern w:val="0"/>
        </w:rPr>
        <w:t>1948.50mm</w:t>
      </w:r>
      <w:r>
        <w:rPr>
          <w:rFonts w:hint="eastAsia"/>
          <w:color w:val="000000" w:themeColor="text1"/>
          <w:kern w:val="0"/>
        </w:rPr>
        <w:t>。多年平均风速</w:t>
      </w:r>
      <w:r>
        <w:rPr>
          <w:color w:val="000000" w:themeColor="text1"/>
          <w:kern w:val="0"/>
        </w:rPr>
        <w:t>3.1m/s</w:t>
      </w:r>
      <w:r>
        <w:rPr>
          <w:rFonts w:hint="eastAsia"/>
          <w:color w:val="000000" w:themeColor="text1"/>
          <w:kern w:val="0"/>
        </w:rPr>
        <w:t>，历年最多风向为南风。主要气象灾害有旱灾、洪涝灾、低温、霜冻、倒春寒、冰雹和大风等，春旱秋涝是砚山县主要的气候特点。</w:t>
      </w:r>
    </w:p>
    <w:p>
      <w:pPr>
        <w:pStyle w:val="38"/>
        <w:ind w:firstLine="281"/>
        <w:rPr>
          <w:color w:val="000000" w:themeColor="text1"/>
          <w:kern w:val="0"/>
        </w:rPr>
      </w:pPr>
      <w:bookmarkStart w:id="83" w:name="_Toc47375837"/>
      <w:bookmarkStart w:id="84" w:name="_Toc401477719"/>
      <w:bookmarkStart w:id="85" w:name="_Toc30870"/>
      <w:r>
        <w:rPr>
          <w:color w:val="000000" w:themeColor="text1"/>
        </w:rPr>
        <w:t>3.1.4</w:t>
      </w:r>
      <w:r>
        <w:rPr>
          <w:rFonts w:hint="eastAsia"/>
          <w:color w:val="000000" w:themeColor="text1"/>
        </w:rPr>
        <w:t>水文、水系</w:t>
      </w:r>
      <w:bookmarkEnd w:id="83"/>
      <w:bookmarkEnd w:id="84"/>
      <w:bookmarkEnd w:id="85"/>
    </w:p>
    <w:p>
      <w:pPr>
        <w:ind w:firstLine="520"/>
        <w:rPr>
          <w:color w:val="000000" w:themeColor="text1"/>
          <w:szCs w:val="24"/>
        </w:rPr>
      </w:pPr>
      <w:r>
        <w:rPr>
          <w:rFonts w:hint="eastAsia"/>
          <w:color w:val="000000" w:themeColor="text1"/>
          <w:spacing w:val="10"/>
          <w:szCs w:val="24"/>
        </w:rPr>
        <w:t>六诏山脉纵横县境东南部，砚山地处红河、珠江两流域分水岭，河网密度小。砚山县属珠江流域西江水系面积</w:t>
      </w:r>
      <w:r>
        <w:rPr>
          <w:color w:val="000000" w:themeColor="text1"/>
          <w:spacing w:val="10"/>
          <w:szCs w:val="24"/>
        </w:rPr>
        <w:t>1548.85k</w:t>
      </w:r>
      <w:r>
        <w:rPr>
          <w:color w:val="000000" w:themeColor="text1"/>
          <w:szCs w:val="24"/>
        </w:rPr>
        <w:t>m</w:t>
      </w:r>
      <w:r>
        <w:rPr>
          <w:color w:val="000000" w:themeColor="text1"/>
          <w:szCs w:val="24"/>
          <w:vertAlign w:val="superscript"/>
        </w:rPr>
        <w:t>2</w:t>
      </w:r>
      <w:r>
        <w:rPr>
          <w:rFonts w:hint="eastAsia"/>
          <w:color w:val="000000" w:themeColor="text1"/>
          <w:spacing w:val="10"/>
          <w:szCs w:val="24"/>
        </w:rPr>
        <w:t>，占</w:t>
      </w:r>
      <w:r>
        <w:rPr>
          <w:color w:val="000000" w:themeColor="text1"/>
          <w:spacing w:val="10"/>
          <w:szCs w:val="24"/>
        </w:rPr>
        <w:t>41.4%</w:t>
      </w:r>
      <w:r>
        <w:rPr>
          <w:rFonts w:hint="eastAsia"/>
          <w:color w:val="000000" w:themeColor="text1"/>
          <w:spacing w:val="10"/>
          <w:szCs w:val="24"/>
        </w:rPr>
        <w:t>；属红河流域泸江水系面积</w:t>
      </w:r>
      <w:r>
        <w:rPr>
          <w:color w:val="000000" w:themeColor="text1"/>
          <w:spacing w:val="10"/>
          <w:szCs w:val="24"/>
        </w:rPr>
        <w:t>2189.15km</w:t>
      </w:r>
      <w:r>
        <w:rPr>
          <w:color w:val="000000" w:themeColor="text1"/>
          <w:spacing w:val="10"/>
          <w:szCs w:val="24"/>
          <w:vertAlign w:val="superscript"/>
        </w:rPr>
        <w:t>2</w:t>
      </w:r>
      <w:r>
        <w:rPr>
          <w:rFonts w:hint="eastAsia"/>
          <w:color w:val="000000" w:themeColor="text1"/>
          <w:spacing w:val="10"/>
          <w:szCs w:val="24"/>
        </w:rPr>
        <w:t>，占</w:t>
      </w:r>
      <w:r>
        <w:rPr>
          <w:color w:val="000000" w:themeColor="text1"/>
          <w:spacing w:val="10"/>
          <w:szCs w:val="24"/>
        </w:rPr>
        <w:t>58.6%</w:t>
      </w:r>
      <w:r>
        <w:rPr>
          <w:rFonts w:hint="eastAsia"/>
          <w:color w:val="000000" w:themeColor="text1"/>
          <w:spacing w:val="10"/>
          <w:szCs w:val="24"/>
        </w:rPr>
        <w:t>。主要河流有公革河、阿三龙河、八嘎河、稼依河、翁达河、贵马河</w:t>
      </w:r>
      <w:r>
        <w:rPr>
          <w:color w:val="000000" w:themeColor="text1"/>
          <w:spacing w:val="10"/>
          <w:szCs w:val="24"/>
        </w:rPr>
        <w:t>6</w:t>
      </w:r>
      <w:r>
        <w:rPr>
          <w:rFonts w:hint="eastAsia"/>
          <w:color w:val="000000" w:themeColor="text1"/>
          <w:spacing w:val="10"/>
          <w:szCs w:val="24"/>
        </w:rPr>
        <w:t>条小河，总长</w:t>
      </w:r>
      <w:r>
        <w:rPr>
          <w:color w:val="000000" w:themeColor="text1"/>
          <w:spacing w:val="10"/>
          <w:szCs w:val="24"/>
        </w:rPr>
        <w:t>224.76km</w:t>
      </w:r>
      <w:r>
        <w:rPr>
          <w:rFonts w:hint="eastAsia"/>
          <w:color w:val="000000" w:themeColor="text1"/>
          <w:spacing w:val="10"/>
          <w:szCs w:val="24"/>
        </w:rPr>
        <w:t>，流域面积</w:t>
      </w:r>
      <w:r>
        <w:rPr>
          <w:color w:val="000000" w:themeColor="text1"/>
          <w:spacing w:val="10"/>
          <w:szCs w:val="24"/>
        </w:rPr>
        <w:t>3737.98k</w:t>
      </w:r>
      <w:r>
        <w:rPr>
          <w:color w:val="000000" w:themeColor="text1"/>
          <w:szCs w:val="24"/>
        </w:rPr>
        <w:t>m</w:t>
      </w:r>
      <w:r>
        <w:rPr>
          <w:color w:val="000000" w:themeColor="text1"/>
          <w:szCs w:val="24"/>
          <w:vertAlign w:val="superscript"/>
        </w:rPr>
        <w:t>2</w:t>
      </w:r>
      <w:r>
        <w:rPr>
          <w:rFonts w:hint="eastAsia"/>
          <w:color w:val="000000" w:themeColor="text1"/>
          <w:spacing w:val="10"/>
          <w:szCs w:val="24"/>
        </w:rPr>
        <w:t>，水能资源蕴藏量</w:t>
      </w:r>
      <w:r>
        <w:rPr>
          <w:color w:val="000000" w:themeColor="text1"/>
          <w:spacing w:val="10"/>
          <w:szCs w:val="24"/>
        </w:rPr>
        <w:t>2.83</w:t>
      </w:r>
      <w:r>
        <w:rPr>
          <w:rFonts w:hint="eastAsia"/>
          <w:color w:val="000000" w:themeColor="text1"/>
          <w:spacing w:val="10"/>
          <w:szCs w:val="24"/>
        </w:rPr>
        <w:t>万千瓦。</w:t>
      </w:r>
      <w:r>
        <w:rPr>
          <w:rFonts w:hint="eastAsia"/>
          <w:color w:val="000000" w:themeColor="text1"/>
          <w:szCs w:val="24"/>
        </w:rPr>
        <w:t>公革河发源于江那镇龙潭寨，主要流径回龙、听湖两水库，流至者腊乡大新寨与阿野支流汇合，流出县境后称南丘河，下段为清水江，阿山龙河发源于平远镇丰收水库，流入阿山龙落洞。稼依河发源于蒙自市三门棵，流经阿舍、平远、稼依</w:t>
      </w:r>
      <w:r>
        <w:rPr>
          <w:color w:val="000000" w:themeColor="text1"/>
          <w:szCs w:val="24"/>
        </w:rPr>
        <w:t>3</w:t>
      </w:r>
      <w:r>
        <w:rPr>
          <w:rFonts w:hint="eastAsia"/>
          <w:color w:val="000000" w:themeColor="text1"/>
          <w:szCs w:val="24"/>
        </w:rPr>
        <w:t>个乡镇的</w:t>
      </w:r>
      <w:r>
        <w:rPr>
          <w:color w:val="000000" w:themeColor="text1"/>
          <w:szCs w:val="24"/>
        </w:rPr>
        <w:t>35</w:t>
      </w:r>
      <w:r>
        <w:rPr>
          <w:rFonts w:hint="eastAsia"/>
          <w:color w:val="000000" w:themeColor="text1"/>
          <w:szCs w:val="24"/>
        </w:rPr>
        <w:t>个村公所。翁达河发源于江那镇路德办事处施勒村，流经路德、新民两水库到翁达附近转为地下河，在九股水与盘龙河汇舍。八嘎河主要发源于龙所水头寨，流经坪寨、三星、八嘎和凹嘎等。全县较大湖泊有两个，即海子边海和差黑海。</w:t>
      </w:r>
    </w:p>
    <w:p>
      <w:pPr>
        <w:ind w:firstLine="480"/>
        <w:rPr>
          <w:color w:val="000000" w:themeColor="text1"/>
          <w:szCs w:val="24"/>
        </w:rPr>
      </w:pPr>
      <w:r>
        <w:rPr>
          <w:rFonts w:hint="eastAsia" w:hAnsi="宋体"/>
          <w:color w:val="000000" w:themeColor="text1"/>
          <w:szCs w:val="24"/>
        </w:rPr>
        <w:t>项目附近无河流，距项目区最近的地表水体为听湖水库，</w:t>
      </w:r>
      <w:r>
        <w:rPr>
          <w:rFonts w:hint="eastAsia"/>
          <w:color w:val="000000" w:themeColor="text1"/>
          <w:szCs w:val="24"/>
        </w:rPr>
        <w:t>厂址区域属于处于听湖水库汇水区域上游，</w:t>
      </w:r>
      <w:r>
        <w:rPr>
          <w:rFonts w:hint="eastAsia" w:hAnsi="宋体"/>
          <w:color w:val="000000" w:themeColor="text1"/>
          <w:szCs w:val="24"/>
        </w:rPr>
        <w:t>听湖水库分布于项目东南侧约3175</w:t>
      </w:r>
      <w:r>
        <w:rPr>
          <w:rFonts w:hAnsi="宋体"/>
          <w:color w:val="000000" w:themeColor="text1"/>
          <w:szCs w:val="24"/>
        </w:rPr>
        <w:t>m</w:t>
      </w:r>
      <w:r>
        <w:rPr>
          <w:rFonts w:hint="eastAsia" w:hAnsi="宋体"/>
          <w:color w:val="000000" w:themeColor="text1"/>
          <w:szCs w:val="24"/>
        </w:rPr>
        <w:t>处，库区面积约</w:t>
      </w:r>
      <w:r>
        <w:rPr>
          <w:rFonts w:hAnsi="宋体"/>
          <w:color w:val="000000" w:themeColor="text1"/>
          <w:szCs w:val="24"/>
        </w:rPr>
        <w:t>4.20km</w:t>
      </w:r>
      <w:r>
        <w:rPr>
          <w:rFonts w:hAnsi="宋体"/>
          <w:color w:val="000000" w:themeColor="text1"/>
          <w:szCs w:val="24"/>
          <w:vertAlign w:val="superscript"/>
        </w:rPr>
        <w:t>2</w:t>
      </w:r>
      <w:r>
        <w:rPr>
          <w:rFonts w:hint="eastAsia" w:hAnsi="宋体"/>
          <w:color w:val="000000" w:themeColor="text1"/>
          <w:szCs w:val="24"/>
        </w:rPr>
        <w:t>，</w:t>
      </w:r>
      <w:r>
        <w:rPr>
          <w:rFonts w:hint="eastAsia" w:cs="Times New Roman" w:eastAsiaTheme="minorEastAsia"/>
          <w:color w:val="000000" w:themeColor="text1"/>
          <w:kern w:val="24"/>
          <w:szCs w:val="24"/>
        </w:rPr>
        <w:t>是珠江流域西江水南丘河上一座以防洪、灌溉及供水为一体的重要性中型水库，库容</w:t>
      </w:r>
      <w:r>
        <w:rPr>
          <w:rFonts w:cs="Times New Roman" w:eastAsiaTheme="minorEastAsia"/>
          <w:color w:val="000000" w:themeColor="text1"/>
          <w:kern w:val="24"/>
          <w:szCs w:val="24"/>
        </w:rPr>
        <w:t>2320</w:t>
      </w:r>
      <w:r>
        <w:rPr>
          <w:rFonts w:hint="eastAsia" w:cs="Times New Roman" w:eastAsiaTheme="minorEastAsia"/>
          <w:color w:val="000000" w:themeColor="text1"/>
          <w:kern w:val="24"/>
          <w:szCs w:val="24"/>
        </w:rPr>
        <w:t>万</w:t>
      </w:r>
      <w:r>
        <w:rPr>
          <w:rFonts w:cs="Times New Roman" w:eastAsiaTheme="minorEastAsia"/>
          <w:color w:val="000000" w:themeColor="text1"/>
          <w:kern w:val="24"/>
          <w:szCs w:val="24"/>
        </w:rPr>
        <w:t>m</w:t>
      </w:r>
      <w:r>
        <w:rPr>
          <w:rFonts w:cs="Times New Roman" w:eastAsiaTheme="minorEastAsia"/>
          <w:color w:val="000000" w:themeColor="text1"/>
          <w:kern w:val="24"/>
          <w:szCs w:val="24"/>
          <w:vertAlign w:val="superscript"/>
        </w:rPr>
        <w:t>3</w:t>
      </w:r>
      <w:r>
        <w:rPr>
          <w:rFonts w:hint="eastAsia" w:cs="Times New Roman" w:eastAsiaTheme="minorEastAsia"/>
          <w:color w:val="000000" w:themeColor="text1"/>
          <w:kern w:val="24"/>
          <w:szCs w:val="24"/>
        </w:rPr>
        <w:t>，其中防洪库容</w:t>
      </w:r>
      <w:r>
        <w:rPr>
          <w:rFonts w:cs="Times New Roman" w:eastAsiaTheme="minorEastAsia"/>
          <w:color w:val="000000" w:themeColor="text1"/>
          <w:kern w:val="24"/>
          <w:szCs w:val="24"/>
        </w:rPr>
        <w:t>975</w:t>
      </w:r>
      <w:r>
        <w:rPr>
          <w:rFonts w:hint="eastAsia" w:cs="Times New Roman" w:eastAsiaTheme="minorEastAsia"/>
          <w:color w:val="000000" w:themeColor="text1"/>
          <w:kern w:val="24"/>
          <w:szCs w:val="24"/>
        </w:rPr>
        <w:t>万</w:t>
      </w:r>
      <w:r>
        <w:rPr>
          <w:rFonts w:cs="Times New Roman" w:eastAsiaTheme="minorEastAsia"/>
          <w:color w:val="000000" w:themeColor="text1"/>
          <w:kern w:val="24"/>
          <w:szCs w:val="24"/>
        </w:rPr>
        <w:t>m</w:t>
      </w:r>
      <w:r>
        <w:rPr>
          <w:rFonts w:cs="Times New Roman" w:eastAsiaTheme="minorEastAsia"/>
          <w:color w:val="000000" w:themeColor="text1"/>
          <w:kern w:val="24"/>
          <w:szCs w:val="24"/>
          <w:vertAlign w:val="superscript"/>
        </w:rPr>
        <w:t>3</w:t>
      </w:r>
      <w:r>
        <w:rPr>
          <w:rFonts w:hint="eastAsia" w:cs="Times New Roman" w:eastAsiaTheme="minorEastAsia"/>
          <w:color w:val="000000" w:themeColor="text1"/>
          <w:kern w:val="24"/>
          <w:szCs w:val="24"/>
        </w:rPr>
        <w:t>，兴利库容</w:t>
      </w:r>
      <w:r>
        <w:rPr>
          <w:rFonts w:cs="Times New Roman" w:eastAsiaTheme="minorEastAsia"/>
          <w:color w:val="000000" w:themeColor="text1"/>
          <w:kern w:val="24"/>
          <w:szCs w:val="24"/>
        </w:rPr>
        <w:t>1218.3</w:t>
      </w:r>
      <w:r>
        <w:rPr>
          <w:rFonts w:hint="eastAsia" w:cs="Times New Roman" w:eastAsiaTheme="minorEastAsia"/>
          <w:color w:val="000000" w:themeColor="text1"/>
          <w:kern w:val="24"/>
          <w:szCs w:val="24"/>
        </w:rPr>
        <w:t>万</w:t>
      </w:r>
      <w:r>
        <w:rPr>
          <w:rFonts w:cs="Times New Roman" w:eastAsiaTheme="minorEastAsia"/>
          <w:color w:val="000000" w:themeColor="text1"/>
          <w:kern w:val="24"/>
          <w:szCs w:val="24"/>
        </w:rPr>
        <w:t>m</w:t>
      </w:r>
      <w:r>
        <w:rPr>
          <w:rFonts w:cs="Times New Roman" w:eastAsiaTheme="minorEastAsia"/>
          <w:color w:val="000000" w:themeColor="text1"/>
          <w:kern w:val="24"/>
          <w:szCs w:val="24"/>
          <w:vertAlign w:val="superscript"/>
        </w:rPr>
        <w:t>3</w:t>
      </w:r>
      <w:r>
        <w:rPr>
          <w:rFonts w:hint="eastAsia" w:cs="Times New Roman" w:eastAsiaTheme="minorEastAsia"/>
          <w:color w:val="000000" w:themeColor="text1"/>
          <w:kern w:val="24"/>
          <w:szCs w:val="24"/>
        </w:rPr>
        <w:t>，死库容</w:t>
      </w:r>
      <w:r>
        <w:rPr>
          <w:rFonts w:cs="Times New Roman" w:eastAsiaTheme="minorEastAsia"/>
          <w:color w:val="000000" w:themeColor="text1"/>
          <w:kern w:val="24"/>
          <w:szCs w:val="24"/>
        </w:rPr>
        <w:t>136.7</w:t>
      </w:r>
      <w:r>
        <w:rPr>
          <w:rFonts w:hint="eastAsia" w:cs="Times New Roman" w:eastAsiaTheme="minorEastAsia"/>
          <w:color w:val="000000" w:themeColor="text1"/>
          <w:kern w:val="24"/>
          <w:szCs w:val="24"/>
        </w:rPr>
        <w:t>万</w:t>
      </w:r>
      <w:r>
        <w:rPr>
          <w:rFonts w:cs="Times New Roman" w:eastAsiaTheme="minorEastAsia"/>
          <w:color w:val="000000" w:themeColor="text1"/>
          <w:kern w:val="24"/>
          <w:szCs w:val="24"/>
        </w:rPr>
        <w:t>m</w:t>
      </w:r>
      <w:r>
        <w:rPr>
          <w:rFonts w:cs="Times New Roman" w:eastAsiaTheme="minorEastAsia"/>
          <w:color w:val="000000" w:themeColor="text1"/>
          <w:kern w:val="24"/>
          <w:szCs w:val="24"/>
          <w:vertAlign w:val="superscript"/>
        </w:rPr>
        <w:t>3</w:t>
      </w:r>
      <w:r>
        <w:rPr>
          <w:rFonts w:hint="eastAsia" w:cs="Times New Roman" w:eastAsiaTheme="minorEastAsia"/>
          <w:color w:val="000000" w:themeColor="text1"/>
          <w:kern w:val="24"/>
          <w:szCs w:val="24"/>
        </w:rPr>
        <w:t>。</w:t>
      </w:r>
      <w:r>
        <w:rPr>
          <w:rFonts w:hint="eastAsia"/>
          <w:color w:val="000000" w:themeColor="text1"/>
          <w:szCs w:val="24"/>
          <w:shd w:val="clear" w:color="auto" w:fill="FFFFFF"/>
        </w:rPr>
        <w:t>根</w:t>
      </w:r>
      <w:r>
        <w:rPr>
          <w:rFonts w:hint="eastAsia" w:hAnsi="宋体"/>
          <w:color w:val="000000" w:themeColor="text1"/>
          <w:szCs w:val="24"/>
          <w:shd w:val="clear" w:color="auto" w:fill="FFFFFF"/>
        </w:rPr>
        <w:t>据《云南省地表水水功能区划》</w:t>
      </w:r>
      <w:r>
        <w:rPr>
          <w:rFonts w:hint="eastAsia"/>
          <w:color w:val="000000" w:themeColor="text1"/>
          <w:szCs w:val="24"/>
          <w:shd w:val="clear" w:color="auto" w:fill="FFFFFF"/>
        </w:rPr>
        <w:t>（</w:t>
      </w:r>
      <w:r>
        <w:rPr>
          <w:color w:val="000000" w:themeColor="text1"/>
          <w:szCs w:val="24"/>
          <w:shd w:val="clear" w:color="auto" w:fill="FFFFFF"/>
        </w:rPr>
        <w:t>2010-2020</w:t>
      </w:r>
      <w:r>
        <w:rPr>
          <w:rFonts w:hint="eastAsia"/>
          <w:color w:val="000000" w:themeColor="text1"/>
          <w:szCs w:val="24"/>
          <w:shd w:val="clear" w:color="auto" w:fill="FFFFFF"/>
        </w:rPr>
        <w:t>）</w:t>
      </w:r>
      <w:r>
        <w:rPr>
          <w:rFonts w:hint="eastAsia" w:hAnsi="宋体"/>
          <w:color w:val="000000" w:themeColor="text1"/>
          <w:szCs w:val="24"/>
          <w:shd w:val="clear" w:color="auto" w:fill="FFFFFF"/>
        </w:rPr>
        <w:t>，听湖水库水环境功能为工业用水、农业用水</w:t>
      </w:r>
      <w:r>
        <w:rPr>
          <w:rFonts w:hint="eastAsia" w:hAnsi="宋体"/>
          <w:color w:val="000000" w:themeColor="text1"/>
          <w:szCs w:val="24"/>
        </w:rPr>
        <w:t>。</w:t>
      </w:r>
    </w:p>
    <w:p>
      <w:pPr>
        <w:pStyle w:val="38"/>
        <w:ind w:firstLine="281"/>
        <w:rPr>
          <w:color w:val="000000" w:themeColor="text1"/>
        </w:rPr>
      </w:pPr>
      <w:bookmarkStart w:id="86" w:name="_Toc14482"/>
      <w:bookmarkStart w:id="87" w:name="_Toc47375838"/>
      <w:bookmarkStart w:id="88" w:name="_Toc401477720"/>
      <w:r>
        <w:rPr>
          <w:color w:val="000000" w:themeColor="text1"/>
        </w:rPr>
        <w:t>3.1.5</w:t>
      </w:r>
      <w:r>
        <w:rPr>
          <w:rFonts w:hint="eastAsia"/>
          <w:color w:val="000000" w:themeColor="text1"/>
        </w:rPr>
        <w:t>植被</w:t>
      </w:r>
      <w:bookmarkEnd w:id="86"/>
      <w:bookmarkEnd w:id="87"/>
      <w:bookmarkEnd w:id="88"/>
    </w:p>
    <w:p>
      <w:pPr>
        <w:ind w:firstLine="480"/>
        <w:rPr>
          <w:color w:val="000000" w:themeColor="text1"/>
        </w:rPr>
      </w:pPr>
      <w:r>
        <w:rPr>
          <w:rStyle w:val="74"/>
          <w:rFonts w:hint="eastAsia"/>
          <w:color w:val="000000" w:themeColor="text1"/>
          <w:szCs w:val="24"/>
        </w:rPr>
        <w:t>砚山县特殊的地理位置和复杂的地形地貌，决定了砚山县兼有中亚热带气候，北亚热带气候，南温带气候等立体气候，气候类型多样，植物种类多样。低层植被草群结构主要以黄背草、龙须草、野古草、扭黄草、白茅等禾本科牧草为主，而豆科牧草很少；高层植被多为常绿阔叶林、混交林、针叶林等；树种资源主要有云南松，其次是栎类，再次是滇油杉和杉木；阔叶林树种有旱冬瓜、栲类、樟木等；经济林树种以人工油桐、油茶为主，次为板栗、核桃、枇杷、八角、梨、李、柿、柑桔、石榴、花红、拐枣、山楂等；林下植物野生菌、药材、花卉、香料资源丰富。</w:t>
      </w:r>
      <w:r>
        <w:rPr>
          <w:rFonts w:hint="eastAsia"/>
          <w:color w:val="000000" w:themeColor="text1"/>
        </w:rPr>
        <w:t>砚山县具有复杂多变的地形地貌特征和北亚热带、中亚热带、南温带等立体气候，生物资源丰富。在</w:t>
      </w:r>
      <w:r>
        <w:rPr>
          <w:color w:val="000000" w:themeColor="text1"/>
        </w:rPr>
        <w:t>389</w:t>
      </w:r>
      <w:r>
        <w:rPr>
          <w:rFonts w:hint="eastAsia"/>
          <w:color w:val="000000" w:themeColor="text1"/>
        </w:rPr>
        <w:t>种栽培植物中，除三七初步开发了医药、保健类的</w:t>
      </w:r>
      <w:r>
        <w:rPr>
          <w:color w:val="000000" w:themeColor="text1"/>
        </w:rPr>
        <w:t>10</w:t>
      </w:r>
      <w:r>
        <w:rPr>
          <w:rFonts w:hint="eastAsia"/>
          <w:color w:val="000000" w:themeColor="text1"/>
        </w:rPr>
        <w:t>多个系列</w:t>
      </w:r>
      <w:r>
        <w:rPr>
          <w:color w:val="000000" w:themeColor="text1"/>
        </w:rPr>
        <w:t>40</w:t>
      </w:r>
      <w:r>
        <w:rPr>
          <w:rFonts w:hint="eastAsia"/>
          <w:color w:val="000000" w:themeColor="text1"/>
        </w:rPr>
        <w:t>余种产品和辣椒初步开发</w:t>
      </w:r>
      <w:r>
        <w:rPr>
          <w:color w:val="000000" w:themeColor="text1"/>
        </w:rPr>
        <w:t>6</w:t>
      </w:r>
      <w:r>
        <w:rPr>
          <w:rFonts w:hint="eastAsia"/>
          <w:color w:val="000000" w:themeColor="text1"/>
        </w:rPr>
        <w:t>个系列</w:t>
      </w:r>
      <w:r>
        <w:rPr>
          <w:color w:val="000000" w:themeColor="text1"/>
        </w:rPr>
        <w:t>10</w:t>
      </w:r>
      <w:r>
        <w:rPr>
          <w:rFonts w:hint="eastAsia"/>
          <w:color w:val="000000" w:themeColor="text1"/>
        </w:rPr>
        <w:t>多个品种外，对</w:t>
      </w:r>
      <w:r>
        <w:rPr>
          <w:color w:val="000000" w:themeColor="text1"/>
        </w:rPr>
        <w:t>100</w:t>
      </w:r>
      <w:r>
        <w:rPr>
          <w:rFonts w:hint="eastAsia"/>
          <w:color w:val="000000" w:themeColor="text1"/>
        </w:rPr>
        <w:t>多种中草药材都有待于进行深入开发和综合利用。是名贵中药材三七的原产地，</w:t>
      </w:r>
      <w:r>
        <w:rPr>
          <w:color w:val="000000" w:themeColor="text1"/>
        </w:rPr>
        <w:t>1995</w:t>
      </w:r>
      <w:r>
        <w:rPr>
          <w:rFonts w:hint="eastAsia"/>
          <w:color w:val="000000" w:themeColor="text1"/>
        </w:rPr>
        <w:t>被命名为</w:t>
      </w:r>
      <w:r>
        <w:rPr>
          <w:color w:val="000000" w:themeColor="text1"/>
        </w:rPr>
        <w:t>“</w:t>
      </w:r>
      <w:r>
        <w:rPr>
          <w:rFonts w:hint="eastAsia"/>
          <w:color w:val="000000" w:themeColor="text1"/>
        </w:rPr>
        <w:t>中国三七之乡</w:t>
      </w:r>
      <w:r>
        <w:rPr>
          <w:color w:val="000000" w:themeColor="text1"/>
        </w:rPr>
        <w:t>”</w:t>
      </w:r>
      <w:r>
        <w:rPr>
          <w:rFonts w:hint="eastAsia"/>
          <w:color w:val="000000" w:themeColor="text1"/>
        </w:rPr>
        <w:t>。森林覆盖率为</w:t>
      </w:r>
      <w:r>
        <w:rPr>
          <w:color w:val="000000" w:themeColor="text1"/>
        </w:rPr>
        <w:t>30%</w:t>
      </w:r>
      <w:r>
        <w:rPr>
          <w:rFonts w:hint="eastAsia"/>
          <w:color w:val="000000" w:themeColor="text1"/>
        </w:rPr>
        <w:t>。动物资源主要有黄毛鼠、狐狸、野猪、脆蛇、野鸡、长尾雉、画眉、鹧鸪等，珍稀动物有鹿子、獐子、穿山甲、水獭、锦鸡、眼镜蛇等。项目周边为旱地及民房，无保护名录所列的保护动植物。江那镇优势得天独厚，矿产资源丰富，境内蕴藏着丰富的铅、锌、铁以及沸石矿、膨润土、页岩土、石灰石等多种非金属矿。</w:t>
      </w:r>
    </w:p>
    <w:p>
      <w:pPr>
        <w:ind w:firstLine="480"/>
        <w:rPr>
          <w:color w:val="000000" w:themeColor="text1"/>
        </w:rPr>
      </w:pPr>
      <w:r>
        <w:rPr>
          <w:rFonts w:hint="eastAsia"/>
          <w:color w:val="000000" w:themeColor="text1"/>
        </w:rPr>
        <w:t>项目所在地位于</w:t>
      </w:r>
      <w:r>
        <w:rPr>
          <w:rStyle w:val="52"/>
          <w:rFonts w:hint="eastAsia"/>
          <w:b w:val="0"/>
          <w:bCs w:val="0"/>
          <w:i w:val="0"/>
          <w:iCs w:val="0"/>
          <w:color w:val="000000" w:themeColor="text1"/>
          <w:szCs w:val="24"/>
        </w:rPr>
        <w:t>砚山县干河乡小龙白村西北侧500m处</w:t>
      </w:r>
      <w:r>
        <w:rPr>
          <w:rFonts w:hint="eastAsia"/>
          <w:color w:val="000000" w:themeColor="text1"/>
        </w:rPr>
        <w:t>，项目区占地范围内均地势较为平整，区内植被主要为常见的灌木和杂草，其生物多样性一般。</w:t>
      </w:r>
    </w:p>
    <w:p>
      <w:pPr>
        <w:pStyle w:val="38"/>
        <w:ind w:firstLine="281"/>
        <w:rPr>
          <w:color w:val="000000" w:themeColor="text1"/>
        </w:rPr>
      </w:pPr>
      <w:bookmarkStart w:id="89" w:name="_Toc401477721"/>
      <w:bookmarkStart w:id="90" w:name="_Toc47375839"/>
      <w:bookmarkStart w:id="91" w:name="_Toc6017"/>
      <w:r>
        <w:rPr>
          <w:color w:val="000000" w:themeColor="text1"/>
        </w:rPr>
        <w:t>3.1.</w:t>
      </w:r>
      <w:bookmarkEnd w:id="89"/>
      <w:r>
        <w:rPr>
          <w:color w:val="000000" w:themeColor="text1"/>
        </w:rPr>
        <w:t>6</w:t>
      </w:r>
      <w:r>
        <w:rPr>
          <w:rFonts w:hint="eastAsia"/>
          <w:color w:val="000000" w:themeColor="text1"/>
        </w:rPr>
        <w:t>风景名胜和文物古迹</w:t>
      </w:r>
      <w:bookmarkEnd w:id="90"/>
      <w:bookmarkEnd w:id="91"/>
    </w:p>
    <w:p>
      <w:pPr>
        <w:ind w:firstLine="480"/>
        <w:rPr>
          <w:color w:val="000000" w:themeColor="text1"/>
          <w:kern w:val="0"/>
        </w:rPr>
      </w:pPr>
      <w:r>
        <w:rPr>
          <w:rFonts w:hint="eastAsia"/>
          <w:color w:val="000000" w:themeColor="text1"/>
          <w:kern w:val="0"/>
        </w:rPr>
        <w:t>砚山县保留有西汉铜鼓、铜釜、铜铣、陶罐等文物；明万历年间建于今平远镇东南回龙村旁，被称为</w:t>
      </w:r>
      <w:r>
        <w:rPr>
          <w:color w:val="000000" w:themeColor="text1"/>
          <w:kern w:val="0"/>
        </w:rPr>
        <w:t>“</w:t>
      </w:r>
      <w:r>
        <w:rPr>
          <w:rFonts w:hint="eastAsia"/>
          <w:color w:val="000000" w:themeColor="text1"/>
          <w:kern w:val="0"/>
        </w:rPr>
        <w:t>要塞砥柱</w:t>
      </w:r>
      <w:r>
        <w:rPr>
          <w:color w:val="000000" w:themeColor="text1"/>
          <w:kern w:val="0"/>
        </w:rPr>
        <w:t>”</w:t>
      </w:r>
      <w:r>
        <w:rPr>
          <w:rFonts w:hint="eastAsia"/>
          <w:color w:val="000000" w:themeColor="text1"/>
          <w:kern w:val="0"/>
        </w:rPr>
        <w:t>的歪头营盘古迹；建于清代的田心清真寺、阿猛锁龙寺桥、鲁都克天主教堂等古建筑。</w:t>
      </w:r>
      <w:r>
        <w:rPr>
          <w:color w:val="000000" w:themeColor="text1"/>
          <w:kern w:val="0"/>
        </w:rPr>
        <w:t>1949</w:t>
      </w:r>
      <w:r>
        <w:rPr>
          <w:rFonts w:hint="eastAsia"/>
          <w:color w:val="000000" w:themeColor="text1"/>
          <w:kern w:val="0"/>
        </w:rPr>
        <w:t>年</w:t>
      </w:r>
      <w:r>
        <w:rPr>
          <w:color w:val="000000" w:themeColor="text1"/>
          <w:kern w:val="0"/>
        </w:rPr>
        <w:t>7</w:t>
      </w:r>
      <w:r>
        <w:rPr>
          <w:rFonts w:hint="eastAsia"/>
          <w:color w:val="000000" w:themeColor="text1"/>
          <w:kern w:val="0"/>
        </w:rPr>
        <w:t>月滇桂黔边区党委扩大会在阿猛魁星阁召开，现被列为云南省级重点文物保护单位、文山州级文物保护单位。各种民族风情别具特色：壮族农历七月初一为祭杨六郎的传统节日；彝族农历六月二十四日为传统节日</w:t>
      </w:r>
      <w:r>
        <w:rPr>
          <w:color w:val="000000" w:themeColor="text1"/>
          <w:kern w:val="0"/>
        </w:rPr>
        <w:t>“</w:t>
      </w:r>
      <w:r>
        <w:rPr>
          <w:rFonts w:hint="eastAsia"/>
          <w:color w:val="000000" w:themeColor="text1"/>
          <w:kern w:val="0"/>
        </w:rPr>
        <w:t>草马节</w:t>
      </w:r>
      <w:r>
        <w:rPr>
          <w:color w:val="000000" w:themeColor="text1"/>
          <w:kern w:val="0"/>
        </w:rPr>
        <w:t>”</w:t>
      </w:r>
      <w:r>
        <w:rPr>
          <w:rFonts w:hint="eastAsia"/>
          <w:color w:val="000000" w:themeColor="text1"/>
          <w:kern w:val="0"/>
        </w:rPr>
        <w:t>；年正月初二到初九的</w:t>
      </w:r>
      <w:r>
        <w:rPr>
          <w:color w:val="000000" w:themeColor="text1"/>
          <w:kern w:val="0"/>
        </w:rPr>
        <w:t>“</w:t>
      </w:r>
      <w:r>
        <w:rPr>
          <w:rFonts w:hint="eastAsia"/>
          <w:color w:val="000000" w:themeColor="text1"/>
          <w:kern w:val="0"/>
        </w:rPr>
        <w:t>踩花山</w:t>
      </w:r>
      <w:r>
        <w:rPr>
          <w:color w:val="000000" w:themeColor="text1"/>
          <w:kern w:val="0"/>
        </w:rPr>
        <w:t>”</w:t>
      </w:r>
      <w:r>
        <w:rPr>
          <w:rFonts w:hint="eastAsia"/>
          <w:color w:val="000000" w:themeColor="text1"/>
          <w:kern w:val="0"/>
        </w:rPr>
        <w:t>活动是苗族的盛大传统节日。著名风景区有浴仙湖。</w:t>
      </w:r>
    </w:p>
    <w:p>
      <w:pPr>
        <w:ind w:firstLine="480"/>
        <w:rPr>
          <w:color w:val="000000" w:themeColor="text1"/>
          <w:kern w:val="0"/>
        </w:rPr>
      </w:pPr>
      <w:r>
        <w:rPr>
          <w:rFonts w:hint="eastAsia"/>
          <w:color w:val="000000" w:themeColor="text1"/>
          <w:kern w:val="0"/>
        </w:rPr>
        <w:t>项目区</w:t>
      </w:r>
      <w:r>
        <w:rPr>
          <w:color w:val="000000" w:themeColor="text1"/>
          <w:kern w:val="0"/>
        </w:rPr>
        <w:t>500m</w:t>
      </w:r>
      <w:r>
        <w:rPr>
          <w:rFonts w:hint="eastAsia"/>
          <w:color w:val="000000" w:themeColor="text1"/>
          <w:kern w:val="0"/>
        </w:rPr>
        <w:t>范围内无国家保护的珍稀动植物、自然保护区、风景名胜区、生态功能保护区、国家及省级保护的文化遗迹等环境敏感保护目标。</w:t>
      </w:r>
    </w:p>
    <w:p>
      <w:pPr>
        <w:pStyle w:val="3"/>
        <w:rPr>
          <w:rFonts w:cs="Times New Roman"/>
          <w:color w:val="000000" w:themeColor="text1"/>
        </w:rPr>
      </w:pPr>
      <w:bookmarkStart w:id="92" w:name="_Toc401477722"/>
      <w:bookmarkStart w:id="93" w:name="_Toc9084"/>
      <w:bookmarkStart w:id="94" w:name="_Toc47375840"/>
      <w:r>
        <w:rPr>
          <w:rFonts w:cs="Times New Roman"/>
          <w:color w:val="000000" w:themeColor="text1"/>
        </w:rPr>
        <w:t>3.2</w:t>
      </w:r>
      <w:bookmarkEnd w:id="92"/>
      <w:r>
        <w:rPr>
          <w:rFonts w:hint="eastAsia"/>
          <w:color w:val="000000" w:themeColor="text1"/>
        </w:rPr>
        <w:t>区域污染源调查与分析</w:t>
      </w:r>
      <w:bookmarkEnd w:id="93"/>
      <w:bookmarkEnd w:id="94"/>
    </w:p>
    <w:p>
      <w:pPr>
        <w:pStyle w:val="38"/>
        <w:ind w:firstLine="281"/>
        <w:rPr>
          <w:rFonts w:cs="Times New Roman"/>
          <w:color w:val="000000" w:themeColor="text1"/>
        </w:rPr>
      </w:pPr>
      <w:bookmarkStart w:id="95" w:name="_Toc13541"/>
      <w:bookmarkStart w:id="96" w:name="_Toc47375841"/>
      <w:r>
        <w:rPr>
          <w:color w:val="000000" w:themeColor="text1"/>
        </w:rPr>
        <w:t>3.2.1</w:t>
      </w:r>
      <w:r>
        <w:rPr>
          <w:rFonts w:hint="eastAsia"/>
          <w:color w:val="000000" w:themeColor="text1"/>
        </w:rPr>
        <w:t>区域生活污染源调查</w:t>
      </w:r>
      <w:bookmarkEnd w:id="95"/>
      <w:bookmarkEnd w:id="96"/>
      <w:r>
        <w:rPr>
          <w:color w:val="000000" w:themeColor="text1"/>
        </w:rPr>
        <w:t xml:space="preserve"> </w:t>
      </w:r>
    </w:p>
    <w:p>
      <w:pPr>
        <w:ind w:firstLine="480"/>
        <w:rPr>
          <w:color w:val="000000" w:themeColor="text1"/>
          <w:kern w:val="0"/>
        </w:rPr>
      </w:pPr>
      <w:r>
        <w:rPr>
          <w:rFonts w:hint="eastAsia"/>
          <w:color w:val="000000" w:themeColor="text1"/>
          <w:kern w:val="0"/>
        </w:rPr>
        <w:t>建设项目位于</w:t>
      </w:r>
      <w:r>
        <w:rPr>
          <w:rStyle w:val="52"/>
          <w:rFonts w:hint="eastAsia"/>
          <w:b w:val="0"/>
          <w:bCs w:val="0"/>
          <w:i w:val="0"/>
          <w:iCs w:val="0"/>
          <w:color w:val="000000" w:themeColor="text1"/>
          <w:szCs w:val="24"/>
        </w:rPr>
        <w:t>砚山县干河乡小龙白村西北侧500m处</w:t>
      </w:r>
      <w:r>
        <w:rPr>
          <w:rFonts w:hint="eastAsia"/>
          <w:color w:val="000000" w:themeColor="text1"/>
          <w:kern w:val="0"/>
        </w:rPr>
        <w:t>，周边主要环境保护目标包括东南面</w:t>
      </w:r>
      <w:r>
        <w:rPr>
          <w:color w:val="000000" w:themeColor="text1"/>
          <w:kern w:val="0"/>
        </w:rPr>
        <w:t>5</w:t>
      </w:r>
      <w:r>
        <w:rPr>
          <w:rFonts w:hint="eastAsia"/>
          <w:color w:val="000000" w:themeColor="text1"/>
          <w:kern w:val="0"/>
        </w:rPr>
        <w:t>00</w:t>
      </w:r>
      <w:r>
        <w:rPr>
          <w:color w:val="000000" w:themeColor="text1"/>
          <w:kern w:val="0"/>
        </w:rPr>
        <w:t>m</w:t>
      </w:r>
      <w:r>
        <w:rPr>
          <w:rFonts w:hint="eastAsia"/>
          <w:color w:val="000000" w:themeColor="text1"/>
          <w:kern w:val="0"/>
        </w:rPr>
        <w:t>处的小龙白村、西南面1337</w:t>
      </w:r>
      <w:r>
        <w:rPr>
          <w:color w:val="000000" w:themeColor="text1"/>
          <w:kern w:val="0"/>
        </w:rPr>
        <w:t>m</w:t>
      </w:r>
      <w:r>
        <w:rPr>
          <w:rFonts w:hint="eastAsia"/>
          <w:color w:val="000000" w:themeColor="text1"/>
          <w:kern w:val="0"/>
        </w:rPr>
        <w:t>处的上舍克、南面2132</w:t>
      </w:r>
      <w:r>
        <w:rPr>
          <w:color w:val="000000" w:themeColor="text1"/>
          <w:kern w:val="0"/>
        </w:rPr>
        <w:t>m</w:t>
      </w:r>
      <w:r>
        <w:rPr>
          <w:rFonts w:hint="eastAsia"/>
          <w:color w:val="000000" w:themeColor="text1"/>
          <w:kern w:val="0"/>
        </w:rPr>
        <w:t>处的白龙山、东南面2055</w:t>
      </w:r>
      <w:r>
        <w:rPr>
          <w:color w:val="000000" w:themeColor="text1"/>
          <w:kern w:val="0"/>
        </w:rPr>
        <w:t>m</w:t>
      </w:r>
      <w:r>
        <w:rPr>
          <w:rFonts w:hint="eastAsia"/>
          <w:color w:val="000000" w:themeColor="text1"/>
          <w:kern w:val="0"/>
        </w:rPr>
        <w:t>处的永忠及1653m处的布标、西北面1644</w:t>
      </w:r>
      <w:r>
        <w:rPr>
          <w:color w:val="000000" w:themeColor="text1"/>
          <w:kern w:val="0"/>
        </w:rPr>
        <w:t>m</w:t>
      </w:r>
      <w:r>
        <w:rPr>
          <w:rFonts w:hint="eastAsia"/>
          <w:color w:val="000000" w:themeColor="text1"/>
          <w:kern w:val="0"/>
        </w:rPr>
        <w:t>处的小舍克、东北面</w:t>
      </w:r>
      <w:r>
        <w:rPr>
          <w:color w:val="000000" w:themeColor="text1"/>
          <w:kern w:val="0"/>
        </w:rPr>
        <w:t>2</w:t>
      </w:r>
      <w:r>
        <w:rPr>
          <w:rFonts w:hint="eastAsia"/>
          <w:color w:val="000000" w:themeColor="text1"/>
          <w:kern w:val="0"/>
        </w:rPr>
        <w:t>600</w:t>
      </w:r>
      <w:r>
        <w:rPr>
          <w:color w:val="000000" w:themeColor="text1"/>
          <w:kern w:val="0"/>
        </w:rPr>
        <w:t>m</w:t>
      </w:r>
      <w:r>
        <w:rPr>
          <w:rFonts w:hint="eastAsia"/>
          <w:color w:val="000000" w:themeColor="text1"/>
          <w:kern w:val="0"/>
        </w:rPr>
        <w:t>处的碧云村。</w:t>
      </w:r>
    </w:p>
    <w:p>
      <w:pPr>
        <w:ind w:firstLine="480"/>
        <w:rPr>
          <w:color w:val="000000" w:themeColor="text1"/>
          <w:kern w:val="0"/>
        </w:rPr>
      </w:pPr>
      <w:r>
        <w:rPr>
          <w:rFonts w:hint="eastAsia"/>
          <w:color w:val="000000" w:themeColor="text1"/>
          <w:kern w:val="0"/>
        </w:rPr>
        <w:t>农村污染源主要为居民生活污水、农业面源污染、人畜粪便及恶臭、居民生活大气污染源等。项目区域无已建成的市政污水处理工程，居民生活污水未经处理直接外排；农业面源污染主要为耕地内的氮肥、磷肥、复合肥、农家肥等各种肥料，在灌溉、雨水冲刷等水利条件下形成的农田退水导致污染物排放；居民生活大气污染源主要为居民做饭过程中产生的废气，该部分废气未经处理直接外排。</w:t>
      </w:r>
    </w:p>
    <w:p>
      <w:pPr>
        <w:pStyle w:val="38"/>
        <w:ind w:firstLine="281"/>
        <w:rPr>
          <w:color w:val="000000" w:themeColor="text1"/>
          <w:kern w:val="0"/>
        </w:rPr>
      </w:pPr>
      <w:bookmarkStart w:id="97" w:name="_Toc4499"/>
      <w:bookmarkStart w:id="98" w:name="_Toc47375842"/>
      <w:r>
        <w:rPr>
          <w:color w:val="000000" w:themeColor="text1"/>
        </w:rPr>
        <w:t>3.2.2</w:t>
      </w:r>
      <w:r>
        <w:rPr>
          <w:rFonts w:hint="eastAsia"/>
          <w:color w:val="000000" w:themeColor="text1"/>
        </w:rPr>
        <w:t>区域工业污染源调查</w:t>
      </w:r>
      <w:bookmarkEnd w:id="97"/>
      <w:bookmarkEnd w:id="98"/>
      <w:r>
        <w:rPr>
          <w:color w:val="000000" w:themeColor="text1"/>
        </w:rPr>
        <w:t xml:space="preserve"> </w:t>
      </w:r>
    </w:p>
    <w:p>
      <w:pPr>
        <w:ind w:firstLine="480"/>
        <w:rPr>
          <w:color w:val="000000" w:themeColor="text1"/>
          <w:kern w:val="0"/>
        </w:rPr>
      </w:pPr>
      <w:r>
        <w:rPr>
          <w:rFonts w:hint="eastAsia"/>
          <w:color w:val="000000" w:themeColor="text1"/>
          <w:kern w:val="0"/>
        </w:rPr>
        <w:t>项目东南侧800m为布标工业园区，园区内已入驻多个生产企业。根据调查及咨询生态环境部门，入驻工业园区的各企业均需要取得环境影响评价审批文件且建成后通过环保验收，各污染环节的污染防治措施得到保证，对周边环境影响较小。</w:t>
      </w:r>
    </w:p>
    <w:p>
      <w:pPr>
        <w:widowControl/>
        <w:spacing w:line="240" w:lineRule="auto"/>
        <w:ind w:firstLine="0" w:firstLineChars="0"/>
        <w:jc w:val="left"/>
        <w:rPr>
          <w:b/>
          <w:color w:val="000000" w:themeColor="text1"/>
          <w:kern w:val="0"/>
          <w:sz w:val="32"/>
        </w:rPr>
      </w:pPr>
      <w:r>
        <w:rPr>
          <w:color w:val="000000" w:themeColor="text1"/>
          <w:kern w:val="0"/>
        </w:rPr>
        <w:br w:type="page"/>
      </w:r>
    </w:p>
    <w:p>
      <w:pPr>
        <w:pStyle w:val="2"/>
        <w:spacing w:before="192" w:after="192"/>
        <w:rPr>
          <w:color w:val="000000" w:themeColor="text1"/>
          <w:kern w:val="0"/>
        </w:rPr>
      </w:pPr>
      <w:bookmarkStart w:id="99" w:name="_Toc47375843"/>
      <w:r>
        <w:rPr>
          <w:rFonts w:hint="eastAsia"/>
          <w:color w:val="000000" w:themeColor="text1"/>
          <w:kern w:val="0"/>
        </w:rPr>
        <w:t>4.环境质量现状调查与评价</w:t>
      </w:r>
      <w:bookmarkEnd w:id="99"/>
    </w:p>
    <w:p>
      <w:pPr>
        <w:pStyle w:val="3"/>
        <w:rPr>
          <w:color w:val="000000" w:themeColor="text1"/>
        </w:rPr>
      </w:pPr>
      <w:bookmarkStart w:id="100" w:name="_Toc47375844"/>
      <w:r>
        <w:rPr>
          <w:rFonts w:hint="eastAsia"/>
          <w:color w:val="000000" w:themeColor="text1"/>
        </w:rPr>
        <w:t>4.1环境空气质量现状监测与评价</w:t>
      </w:r>
      <w:bookmarkEnd w:id="100"/>
    </w:p>
    <w:p>
      <w:pPr>
        <w:ind w:firstLine="480"/>
        <w:rPr>
          <w:color w:val="000000" w:themeColor="text1"/>
          <w:kern w:val="0"/>
        </w:rPr>
      </w:pPr>
      <w:r>
        <w:rPr>
          <w:rFonts w:hint="eastAsia"/>
          <w:color w:val="000000" w:themeColor="text1"/>
        </w:rPr>
        <w:t>1、</w:t>
      </w:r>
      <w:r>
        <w:rPr>
          <w:rFonts w:hint="eastAsia"/>
          <w:color w:val="000000" w:themeColor="text1"/>
          <w:kern w:val="0"/>
        </w:rPr>
        <w:t>基本污染物环境质量现状数据</w:t>
      </w:r>
    </w:p>
    <w:p>
      <w:pPr>
        <w:ind w:firstLine="480"/>
        <w:rPr>
          <w:color w:val="000000" w:themeColor="text1"/>
          <w:szCs w:val="24"/>
        </w:rPr>
      </w:pPr>
      <w:r>
        <w:rPr>
          <w:rFonts w:hint="eastAsia"/>
          <w:bCs/>
          <w:color w:val="000000" w:themeColor="text1"/>
          <w:kern w:val="0"/>
        </w:rPr>
        <w:t>项目所在地属砚山县域，根据《环境影响评价技术导则</w:t>
      </w:r>
      <w:r>
        <w:rPr>
          <w:bCs/>
          <w:color w:val="000000" w:themeColor="text1"/>
          <w:kern w:val="0"/>
        </w:rPr>
        <w:t>-</w:t>
      </w:r>
      <w:r>
        <w:rPr>
          <w:rFonts w:hint="eastAsia"/>
          <w:bCs/>
          <w:color w:val="000000" w:themeColor="text1"/>
          <w:kern w:val="0"/>
        </w:rPr>
        <w:t>大气环境》</w:t>
      </w:r>
      <w:r>
        <w:rPr>
          <w:bCs/>
          <w:color w:val="000000" w:themeColor="text1"/>
          <w:kern w:val="0"/>
        </w:rPr>
        <w:t>(HJ2.2-2018)</w:t>
      </w:r>
      <w:r>
        <w:rPr>
          <w:rFonts w:hint="eastAsia"/>
          <w:bCs/>
          <w:color w:val="000000" w:themeColor="text1"/>
          <w:kern w:val="0"/>
        </w:rPr>
        <w:t>中</w:t>
      </w:r>
      <w:r>
        <w:rPr>
          <w:bCs/>
          <w:color w:val="000000" w:themeColor="text1"/>
          <w:kern w:val="0"/>
        </w:rPr>
        <w:t>6.2</w:t>
      </w:r>
      <w:r>
        <w:rPr>
          <w:rFonts w:hint="eastAsia"/>
          <w:bCs/>
          <w:color w:val="000000" w:themeColor="text1"/>
          <w:kern w:val="0"/>
        </w:rPr>
        <w:t>的规定，基本污染物的环境质量现状数据：</w:t>
      </w:r>
      <w:r>
        <w:rPr>
          <w:bCs/>
          <w:color w:val="000000" w:themeColor="text1"/>
          <w:kern w:val="0"/>
        </w:rPr>
        <w:t>“</w:t>
      </w:r>
      <w:r>
        <w:rPr>
          <w:rFonts w:hint="eastAsia"/>
          <w:bCs/>
          <w:color w:val="000000" w:themeColor="text1"/>
          <w:kern w:val="0"/>
        </w:rPr>
        <w:t>采用评价范围内国家或地方环境空气质量监测网中评价基准年连续</w:t>
      </w:r>
      <w:r>
        <w:rPr>
          <w:bCs/>
          <w:color w:val="000000" w:themeColor="text1"/>
          <w:kern w:val="0"/>
        </w:rPr>
        <w:t>1</w:t>
      </w:r>
      <w:r>
        <w:rPr>
          <w:rFonts w:hint="eastAsia"/>
          <w:bCs/>
          <w:color w:val="000000" w:themeColor="text1"/>
          <w:kern w:val="0"/>
        </w:rPr>
        <w:t>年的监测数据</w:t>
      </w:r>
      <w:r>
        <w:rPr>
          <w:bCs/>
          <w:color w:val="000000" w:themeColor="text1"/>
          <w:kern w:val="0"/>
        </w:rPr>
        <w:t>”</w:t>
      </w:r>
      <w:r>
        <w:rPr>
          <w:rFonts w:hint="eastAsia"/>
          <w:bCs/>
          <w:color w:val="000000" w:themeColor="text1"/>
          <w:kern w:val="0"/>
        </w:rPr>
        <w:t>， 本项目采用《</w:t>
      </w:r>
      <w:r>
        <w:rPr>
          <w:rFonts w:hint="eastAsia"/>
          <w:color w:val="000000" w:themeColor="text1"/>
        </w:rPr>
        <w:t>文山州</w:t>
      </w:r>
      <w:r>
        <w:rPr>
          <w:color w:val="000000" w:themeColor="text1"/>
        </w:rPr>
        <w:t>201</w:t>
      </w:r>
      <w:r>
        <w:rPr>
          <w:rFonts w:hint="eastAsia"/>
          <w:color w:val="000000" w:themeColor="text1"/>
        </w:rPr>
        <w:t>9年环境状况公报</w:t>
      </w:r>
      <w:r>
        <w:rPr>
          <w:rFonts w:hint="eastAsia"/>
          <w:bCs/>
          <w:color w:val="000000" w:themeColor="text1"/>
          <w:kern w:val="0"/>
        </w:rPr>
        <w:t>》监测结果</w:t>
      </w:r>
      <w:r>
        <w:rPr>
          <w:rFonts w:hint="eastAsia"/>
          <w:color w:val="000000" w:themeColor="text1"/>
        </w:rPr>
        <w:t>：2019年，全州环境空气质量总体良好，8县（市）年评价结果均达到《环境空气质量标准》（GB3095-2012）二级标准要求。</w:t>
      </w:r>
      <w:r>
        <w:rPr>
          <w:color w:val="000000" w:themeColor="text1"/>
        </w:rPr>
        <w:t xml:space="preserve"> 2019</w:t>
      </w:r>
      <w:r>
        <w:rPr>
          <w:rFonts w:hint="eastAsia"/>
          <w:color w:val="000000" w:themeColor="text1"/>
        </w:rPr>
        <w:t>年，砚山县城区环境空气质量有效监测天数</w:t>
      </w:r>
      <w:r>
        <w:rPr>
          <w:color w:val="000000" w:themeColor="text1"/>
        </w:rPr>
        <w:t>358</w:t>
      </w:r>
      <w:r>
        <w:rPr>
          <w:rFonts w:hint="eastAsia"/>
          <w:color w:val="000000" w:themeColor="text1"/>
        </w:rPr>
        <w:t>天，其中优</w:t>
      </w:r>
      <w:r>
        <w:rPr>
          <w:color w:val="000000" w:themeColor="text1"/>
        </w:rPr>
        <w:t>282</w:t>
      </w:r>
      <w:r>
        <w:rPr>
          <w:rFonts w:hint="eastAsia"/>
          <w:color w:val="000000" w:themeColor="text1"/>
        </w:rPr>
        <w:t>天，良</w:t>
      </w:r>
      <w:r>
        <w:rPr>
          <w:color w:val="000000" w:themeColor="text1"/>
        </w:rPr>
        <w:t>74</w:t>
      </w:r>
      <w:r>
        <w:rPr>
          <w:rFonts w:hint="eastAsia"/>
          <w:color w:val="000000" w:themeColor="text1"/>
        </w:rPr>
        <w:t>天，轻度污染</w:t>
      </w:r>
      <w:r>
        <w:rPr>
          <w:color w:val="000000" w:themeColor="text1"/>
        </w:rPr>
        <w:t>2</w:t>
      </w:r>
      <w:r>
        <w:rPr>
          <w:rFonts w:hint="eastAsia"/>
          <w:color w:val="000000" w:themeColor="text1"/>
        </w:rPr>
        <w:t>天，空气质量优良率</w:t>
      </w:r>
      <w:r>
        <w:rPr>
          <w:color w:val="000000" w:themeColor="text1"/>
        </w:rPr>
        <w:t>99</w:t>
      </w:r>
      <w:r>
        <w:rPr>
          <w:rFonts w:hint="eastAsia"/>
          <w:color w:val="000000" w:themeColor="text1"/>
        </w:rPr>
        <w:t>.</w:t>
      </w:r>
      <w:r>
        <w:rPr>
          <w:color w:val="000000" w:themeColor="text1"/>
        </w:rPr>
        <w:t>4%</w:t>
      </w:r>
      <w:r>
        <w:rPr>
          <w:rFonts w:hint="eastAsia"/>
          <w:color w:val="000000" w:themeColor="text1"/>
        </w:rPr>
        <w:t>。</w:t>
      </w:r>
      <w:r>
        <w:rPr>
          <w:rFonts w:hint="eastAsia"/>
          <w:color w:val="000000" w:themeColor="text1"/>
          <w:szCs w:val="24"/>
        </w:rPr>
        <w:t>环境空气质量综合指数（</w:t>
      </w:r>
      <w:r>
        <w:rPr>
          <w:color w:val="000000" w:themeColor="text1"/>
          <w:szCs w:val="24"/>
        </w:rPr>
        <w:t>AOI</w:t>
      </w:r>
      <w:r>
        <w:rPr>
          <w:rFonts w:hint="eastAsia"/>
          <w:color w:val="000000" w:themeColor="text1"/>
          <w:szCs w:val="24"/>
        </w:rPr>
        <w:t>）由</w:t>
      </w:r>
      <w:r>
        <w:rPr>
          <w:color w:val="000000" w:themeColor="text1"/>
          <w:szCs w:val="24"/>
        </w:rPr>
        <w:t>2018</w:t>
      </w:r>
      <w:r>
        <w:rPr>
          <w:rFonts w:hint="eastAsia"/>
          <w:color w:val="000000" w:themeColor="text1"/>
          <w:szCs w:val="24"/>
        </w:rPr>
        <w:t>年的</w:t>
      </w:r>
      <w:r>
        <w:rPr>
          <w:color w:val="000000" w:themeColor="text1"/>
          <w:szCs w:val="24"/>
        </w:rPr>
        <w:t>2.33</w:t>
      </w:r>
      <w:r>
        <w:rPr>
          <w:rFonts w:hint="eastAsia"/>
          <w:color w:val="000000" w:themeColor="text1"/>
          <w:szCs w:val="24"/>
        </w:rPr>
        <w:t>上升为</w:t>
      </w:r>
      <w:r>
        <w:rPr>
          <w:color w:val="000000" w:themeColor="text1"/>
          <w:szCs w:val="24"/>
        </w:rPr>
        <w:t>2.41</w:t>
      </w:r>
      <w:r>
        <w:rPr>
          <w:rFonts w:hint="eastAsia"/>
          <w:color w:val="000000" w:themeColor="text1"/>
          <w:szCs w:val="24"/>
        </w:rPr>
        <w:t>，环境空气质量轻微变差。</w:t>
      </w:r>
    </w:p>
    <w:p>
      <w:pPr>
        <w:ind w:firstLine="480"/>
        <w:rPr>
          <w:color w:val="000000" w:themeColor="text1"/>
          <w:kern w:val="0"/>
        </w:rPr>
      </w:pPr>
      <w:r>
        <w:rPr>
          <w:rFonts w:hint="eastAsia"/>
          <w:color w:val="000000" w:themeColor="text1"/>
          <w:kern w:val="0"/>
        </w:rPr>
        <w:t>2、特征污染物环境质量现状数据</w:t>
      </w:r>
    </w:p>
    <w:p>
      <w:pPr>
        <w:ind w:firstLine="480"/>
        <w:rPr>
          <w:bCs/>
          <w:color w:val="000000" w:themeColor="text1"/>
          <w:kern w:val="0"/>
        </w:rPr>
      </w:pPr>
      <w:r>
        <w:rPr>
          <w:rFonts w:hint="eastAsia"/>
          <w:bCs/>
          <w:color w:val="000000" w:themeColor="text1"/>
          <w:kern w:val="0"/>
        </w:rPr>
        <w:t>根据项目工程分析，本项目的特征污染物主要为</w:t>
      </w:r>
      <w:r>
        <w:rPr>
          <w:color w:val="000000" w:themeColor="text1"/>
          <w:szCs w:val="24"/>
        </w:rPr>
        <w:t>NH</w:t>
      </w:r>
      <w:r>
        <w:rPr>
          <w:color w:val="000000" w:themeColor="text1"/>
          <w:szCs w:val="24"/>
          <w:vertAlign w:val="subscript"/>
        </w:rPr>
        <w:t>3</w:t>
      </w:r>
      <w:r>
        <w:rPr>
          <w:rFonts w:hint="eastAsia"/>
          <w:color w:val="000000" w:themeColor="text1"/>
          <w:szCs w:val="24"/>
        </w:rPr>
        <w:t>、</w:t>
      </w:r>
      <w:r>
        <w:rPr>
          <w:color w:val="000000" w:themeColor="text1"/>
          <w:szCs w:val="24"/>
        </w:rPr>
        <w:t>H</w:t>
      </w:r>
      <w:r>
        <w:rPr>
          <w:color w:val="000000" w:themeColor="text1"/>
          <w:szCs w:val="24"/>
          <w:vertAlign w:val="subscript"/>
        </w:rPr>
        <w:t>2</w:t>
      </w:r>
      <w:r>
        <w:rPr>
          <w:color w:val="000000" w:themeColor="text1"/>
          <w:szCs w:val="24"/>
        </w:rPr>
        <w:t>S</w:t>
      </w:r>
      <w:r>
        <w:rPr>
          <w:rFonts w:hint="eastAsia"/>
          <w:color w:val="000000" w:themeColor="text1"/>
          <w:szCs w:val="24"/>
        </w:rPr>
        <w:t>、臭气浓度</w:t>
      </w:r>
      <w:r>
        <w:rPr>
          <w:rFonts w:hint="eastAsia"/>
          <w:bCs/>
          <w:color w:val="000000" w:themeColor="text1"/>
          <w:kern w:val="0"/>
        </w:rPr>
        <w:t>。根据《环境影响评价技术导则</w:t>
      </w:r>
      <w:r>
        <w:rPr>
          <w:bCs/>
          <w:color w:val="000000" w:themeColor="text1"/>
          <w:kern w:val="0"/>
        </w:rPr>
        <w:t xml:space="preserve"> </w:t>
      </w:r>
      <w:r>
        <w:rPr>
          <w:rFonts w:hint="eastAsia"/>
          <w:bCs/>
          <w:color w:val="000000" w:themeColor="text1"/>
          <w:kern w:val="0"/>
        </w:rPr>
        <w:t>大气环境》（</w:t>
      </w:r>
      <w:r>
        <w:rPr>
          <w:bCs/>
          <w:color w:val="000000" w:themeColor="text1"/>
          <w:kern w:val="0"/>
        </w:rPr>
        <w:t>HJ2.2-2018</w:t>
      </w:r>
      <w:r>
        <w:rPr>
          <w:rFonts w:hint="eastAsia"/>
          <w:bCs/>
          <w:color w:val="000000" w:themeColor="text1"/>
          <w:kern w:val="0"/>
        </w:rPr>
        <w:t>）</w:t>
      </w:r>
      <w:r>
        <w:rPr>
          <w:bCs/>
          <w:color w:val="000000" w:themeColor="text1"/>
          <w:kern w:val="0"/>
        </w:rPr>
        <w:t>6.2.3</w:t>
      </w:r>
      <w:r>
        <w:rPr>
          <w:rFonts w:hint="eastAsia"/>
          <w:bCs/>
          <w:color w:val="000000" w:themeColor="text1"/>
          <w:kern w:val="0"/>
        </w:rPr>
        <w:t>，在没有以上相关监测数据或监测数据不能满足</w:t>
      </w:r>
      <w:r>
        <w:rPr>
          <w:bCs/>
          <w:color w:val="000000" w:themeColor="text1"/>
          <w:kern w:val="0"/>
        </w:rPr>
        <w:t xml:space="preserve"> 6.4 </w:t>
      </w:r>
      <w:r>
        <w:rPr>
          <w:rFonts w:hint="eastAsia"/>
          <w:bCs/>
          <w:color w:val="000000" w:themeColor="text1"/>
          <w:kern w:val="0"/>
        </w:rPr>
        <w:t>规定的评价要求时，应按</w:t>
      </w:r>
      <w:r>
        <w:rPr>
          <w:bCs/>
          <w:color w:val="000000" w:themeColor="text1"/>
          <w:kern w:val="0"/>
        </w:rPr>
        <w:t>6.3</w:t>
      </w:r>
      <w:r>
        <w:rPr>
          <w:rFonts w:hint="eastAsia"/>
          <w:bCs/>
          <w:color w:val="000000" w:themeColor="text1"/>
          <w:kern w:val="0"/>
        </w:rPr>
        <w:t>要求进行补充监测。</w:t>
      </w:r>
    </w:p>
    <w:p>
      <w:pPr>
        <w:ind w:firstLine="480"/>
        <w:rPr>
          <w:color w:val="000000" w:themeColor="text1"/>
          <w:kern w:val="0"/>
        </w:rPr>
      </w:pPr>
      <w:r>
        <w:rPr>
          <w:rFonts w:hint="eastAsia"/>
          <w:color w:val="000000" w:themeColor="text1"/>
          <w:kern w:val="0"/>
        </w:rPr>
        <w:t>（1）监测方案</w:t>
      </w:r>
    </w:p>
    <w:p>
      <w:pPr>
        <w:ind w:firstLine="480"/>
        <w:rPr>
          <w:bCs/>
          <w:color w:val="000000" w:themeColor="text1"/>
          <w:kern w:val="0"/>
        </w:rPr>
      </w:pPr>
      <w:r>
        <w:rPr>
          <w:rFonts w:hint="eastAsia"/>
          <w:bCs/>
          <w:color w:val="000000" w:themeColor="text1"/>
          <w:kern w:val="0"/>
        </w:rPr>
        <w:t>砚山县康乐生猪屠宰场委托云南环清环境检测技术有限公司对项目所在区域大气环境质量现状进行了现状监测。污染物补充监测点位基本信息详见表4.1.1-1。</w:t>
      </w:r>
    </w:p>
    <w:p>
      <w:pPr>
        <w:pStyle w:val="54"/>
        <w:rPr>
          <w:color w:val="000000" w:themeColor="text1"/>
          <w:kern w:val="0"/>
        </w:rPr>
      </w:pPr>
      <w:r>
        <w:rPr>
          <w:rFonts w:hint="eastAsia"/>
          <w:color w:val="000000" w:themeColor="text1"/>
          <w:kern w:val="0"/>
        </w:rPr>
        <w:t>表4.1.1-1  污染物补充监测点位基本信息</w:t>
      </w:r>
    </w:p>
    <w:tbl>
      <w:tblPr>
        <w:tblStyle w:val="43"/>
        <w:tblW w:w="8613"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582"/>
        <w:gridCol w:w="891"/>
        <w:gridCol w:w="817"/>
        <w:gridCol w:w="1150"/>
        <w:gridCol w:w="1861"/>
        <w:gridCol w:w="1090"/>
        <w:gridCol w:w="12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0" w:hRule="atLeast"/>
        </w:trPr>
        <w:tc>
          <w:tcPr>
            <w:tcW w:w="1582" w:type="dxa"/>
            <w:vMerge w:val="restart"/>
            <w:vAlign w:val="center"/>
          </w:tcPr>
          <w:p>
            <w:pPr>
              <w:pStyle w:val="55"/>
              <w:rPr>
                <w:color w:val="000000" w:themeColor="text1"/>
              </w:rPr>
            </w:pPr>
            <w:r>
              <w:rPr>
                <w:rFonts w:hint="eastAsia"/>
                <w:color w:val="000000" w:themeColor="text1"/>
              </w:rPr>
              <w:t>监测点位名称</w:t>
            </w:r>
          </w:p>
        </w:tc>
        <w:tc>
          <w:tcPr>
            <w:tcW w:w="1708" w:type="dxa"/>
            <w:gridSpan w:val="2"/>
            <w:vAlign w:val="center"/>
          </w:tcPr>
          <w:p>
            <w:pPr>
              <w:pStyle w:val="55"/>
              <w:rPr>
                <w:color w:val="000000" w:themeColor="text1"/>
              </w:rPr>
            </w:pPr>
            <w:r>
              <w:rPr>
                <w:color w:val="000000" w:themeColor="text1"/>
              </w:rPr>
              <w:t>监测点坐标</w:t>
            </w:r>
            <w:r>
              <w:rPr>
                <w:rFonts w:hint="eastAsia"/>
                <w:color w:val="000000" w:themeColor="text1"/>
              </w:rPr>
              <w:t>/m</w:t>
            </w:r>
          </w:p>
        </w:tc>
        <w:tc>
          <w:tcPr>
            <w:tcW w:w="1150" w:type="dxa"/>
            <w:vMerge w:val="restart"/>
            <w:vAlign w:val="center"/>
          </w:tcPr>
          <w:p>
            <w:pPr>
              <w:pStyle w:val="55"/>
              <w:rPr>
                <w:color w:val="000000" w:themeColor="text1"/>
              </w:rPr>
            </w:pPr>
            <w:r>
              <w:rPr>
                <w:rFonts w:hint="eastAsia"/>
                <w:color w:val="000000" w:themeColor="text1"/>
              </w:rPr>
              <w:t>监测因子</w:t>
            </w:r>
          </w:p>
        </w:tc>
        <w:tc>
          <w:tcPr>
            <w:tcW w:w="1861" w:type="dxa"/>
            <w:vMerge w:val="restart"/>
            <w:vAlign w:val="center"/>
          </w:tcPr>
          <w:p>
            <w:pPr>
              <w:pStyle w:val="55"/>
              <w:rPr>
                <w:color w:val="000000" w:themeColor="text1"/>
              </w:rPr>
            </w:pPr>
            <w:r>
              <w:rPr>
                <w:rFonts w:hint="eastAsia"/>
                <w:color w:val="000000" w:themeColor="text1"/>
              </w:rPr>
              <w:t>监测时段</w:t>
            </w:r>
          </w:p>
        </w:tc>
        <w:tc>
          <w:tcPr>
            <w:tcW w:w="1090" w:type="dxa"/>
            <w:vMerge w:val="restart"/>
            <w:vAlign w:val="center"/>
          </w:tcPr>
          <w:p>
            <w:pPr>
              <w:pStyle w:val="55"/>
              <w:rPr>
                <w:color w:val="000000" w:themeColor="text1"/>
              </w:rPr>
            </w:pPr>
            <w:r>
              <w:rPr>
                <w:rFonts w:hint="eastAsia"/>
                <w:color w:val="000000" w:themeColor="text1"/>
              </w:rPr>
              <w:t>相对厂址方向</w:t>
            </w:r>
          </w:p>
        </w:tc>
        <w:tc>
          <w:tcPr>
            <w:tcW w:w="1222" w:type="dxa"/>
            <w:vMerge w:val="restart"/>
            <w:vAlign w:val="center"/>
          </w:tcPr>
          <w:p>
            <w:pPr>
              <w:pStyle w:val="55"/>
              <w:rPr>
                <w:color w:val="000000" w:themeColor="text1"/>
              </w:rPr>
            </w:pPr>
            <w:r>
              <w:rPr>
                <w:color w:val="000000" w:themeColor="text1"/>
              </w:rPr>
              <w:t>相对厂界距离</w:t>
            </w:r>
            <w:r>
              <w:rPr>
                <w:rFonts w:hint="eastAsia"/>
                <w:color w:val="000000" w:themeColor="text1"/>
              </w:rPr>
              <w:t>/m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0" w:hRule="atLeast"/>
        </w:trPr>
        <w:tc>
          <w:tcPr>
            <w:tcW w:w="1582" w:type="dxa"/>
            <w:vMerge w:val="continue"/>
            <w:vAlign w:val="center"/>
          </w:tcPr>
          <w:p>
            <w:pPr>
              <w:pStyle w:val="55"/>
              <w:rPr>
                <w:color w:val="000000" w:themeColor="text1"/>
              </w:rPr>
            </w:pPr>
          </w:p>
        </w:tc>
        <w:tc>
          <w:tcPr>
            <w:tcW w:w="891" w:type="dxa"/>
            <w:vAlign w:val="center"/>
          </w:tcPr>
          <w:p>
            <w:pPr>
              <w:pStyle w:val="55"/>
              <w:rPr>
                <w:color w:val="000000" w:themeColor="text1"/>
              </w:rPr>
            </w:pPr>
            <w:r>
              <w:rPr>
                <w:rFonts w:hint="eastAsia"/>
                <w:color w:val="000000" w:themeColor="text1"/>
              </w:rPr>
              <w:t>X</w:t>
            </w:r>
          </w:p>
        </w:tc>
        <w:tc>
          <w:tcPr>
            <w:tcW w:w="817" w:type="dxa"/>
            <w:vAlign w:val="center"/>
          </w:tcPr>
          <w:p>
            <w:pPr>
              <w:pStyle w:val="55"/>
              <w:rPr>
                <w:color w:val="000000" w:themeColor="text1"/>
              </w:rPr>
            </w:pPr>
            <w:r>
              <w:rPr>
                <w:rFonts w:hint="eastAsia"/>
                <w:color w:val="000000" w:themeColor="text1"/>
              </w:rPr>
              <w:t>Y</w:t>
            </w:r>
          </w:p>
        </w:tc>
        <w:tc>
          <w:tcPr>
            <w:tcW w:w="1150" w:type="dxa"/>
            <w:vMerge w:val="continue"/>
            <w:vAlign w:val="center"/>
          </w:tcPr>
          <w:p>
            <w:pPr>
              <w:pStyle w:val="55"/>
              <w:rPr>
                <w:color w:val="000000" w:themeColor="text1"/>
              </w:rPr>
            </w:pPr>
          </w:p>
        </w:tc>
        <w:tc>
          <w:tcPr>
            <w:tcW w:w="1861" w:type="dxa"/>
            <w:vMerge w:val="continue"/>
            <w:vAlign w:val="center"/>
          </w:tcPr>
          <w:p>
            <w:pPr>
              <w:pStyle w:val="55"/>
              <w:rPr>
                <w:color w:val="000000" w:themeColor="text1"/>
              </w:rPr>
            </w:pPr>
          </w:p>
        </w:tc>
        <w:tc>
          <w:tcPr>
            <w:tcW w:w="1090" w:type="dxa"/>
            <w:vMerge w:val="continue"/>
            <w:vAlign w:val="center"/>
          </w:tcPr>
          <w:p>
            <w:pPr>
              <w:pStyle w:val="55"/>
              <w:rPr>
                <w:color w:val="000000" w:themeColor="text1"/>
              </w:rPr>
            </w:pPr>
          </w:p>
        </w:tc>
        <w:tc>
          <w:tcPr>
            <w:tcW w:w="1222" w:type="dxa"/>
            <w:vMerge w:val="continue"/>
            <w:vAlign w:val="center"/>
          </w:tcPr>
          <w:p>
            <w:pPr>
              <w:pStyle w:val="55"/>
              <w:rPr>
                <w:color w:val="000000" w:themeColor="text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82" w:type="dxa"/>
            <w:vAlign w:val="center"/>
          </w:tcPr>
          <w:p>
            <w:pPr>
              <w:pStyle w:val="55"/>
              <w:rPr>
                <w:color w:val="000000" w:themeColor="text1"/>
              </w:rPr>
            </w:pPr>
            <w:r>
              <w:rPr>
                <w:color w:val="000000" w:themeColor="text1"/>
              </w:rPr>
              <w:t>厂址中心</w:t>
            </w:r>
            <w:r>
              <w:rPr>
                <w:rFonts w:hint="eastAsia"/>
                <w:color w:val="000000" w:themeColor="text1"/>
              </w:rPr>
              <w:t>1#</w:t>
            </w:r>
          </w:p>
        </w:tc>
        <w:tc>
          <w:tcPr>
            <w:tcW w:w="891" w:type="dxa"/>
            <w:vAlign w:val="center"/>
          </w:tcPr>
          <w:p>
            <w:pPr>
              <w:pStyle w:val="55"/>
              <w:rPr>
                <w:color w:val="000000" w:themeColor="text1"/>
              </w:rPr>
            </w:pPr>
            <w:r>
              <w:rPr>
                <w:rFonts w:hint="eastAsia"/>
                <w:color w:val="000000" w:themeColor="text1"/>
              </w:rPr>
              <w:t>0</w:t>
            </w:r>
          </w:p>
        </w:tc>
        <w:tc>
          <w:tcPr>
            <w:tcW w:w="817" w:type="dxa"/>
            <w:vAlign w:val="center"/>
          </w:tcPr>
          <w:p>
            <w:pPr>
              <w:pStyle w:val="55"/>
              <w:rPr>
                <w:color w:val="000000" w:themeColor="text1"/>
              </w:rPr>
            </w:pPr>
            <w:r>
              <w:rPr>
                <w:rFonts w:hint="eastAsia"/>
                <w:color w:val="000000" w:themeColor="text1"/>
              </w:rPr>
              <w:t>0</w:t>
            </w:r>
          </w:p>
        </w:tc>
        <w:tc>
          <w:tcPr>
            <w:tcW w:w="1150" w:type="dxa"/>
            <w:vAlign w:val="center"/>
          </w:tcPr>
          <w:p>
            <w:pPr>
              <w:pStyle w:val="55"/>
              <w:rPr>
                <w:color w:val="000000" w:themeColor="text1"/>
              </w:rPr>
            </w:pPr>
            <w:r>
              <w:rPr>
                <w:color w:val="000000" w:themeColor="text1"/>
                <w:szCs w:val="24"/>
              </w:rPr>
              <w:t>NH</w:t>
            </w:r>
            <w:r>
              <w:rPr>
                <w:color w:val="000000" w:themeColor="text1"/>
                <w:szCs w:val="24"/>
                <w:vertAlign w:val="subscript"/>
              </w:rPr>
              <w:t>3</w:t>
            </w:r>
            <w:r>
              <w:rPr>
                <w:rFonts w:hint="eastAsia"/>
                <w:color w:val="000000" w:themeColor="text1"/>
                <w:szCs w:val="24"/>
              </w:rPr>
              <w:t>、</w:t>
            </w:r>
            <w:r>
              <w:rPr>
                <w:color w:val="000000" w:themeColor="text1"/>
                <w:szCs w:val="24"/>
              </w:rPr>
              <w:t>H</w:t>
            </w:r>
            <w:r>
              <w:rPr>
                <w:color w:val="000000" w:themeColor="text1"/>
                <w:szCs w:val="24"/>
                <w:vertAlign w:val="subscript"/>
              </w:rPr>
              <w:t>2</w:t>
            </w:r>
            <w:r>
              <w:rPr>
                <w:color w:val="000000" w:themeColor="text1"/>
                <w:szCs w:val="24"/>
              </w:rPr>
              <w:t>S</w:t>
            </w:r>
            <w:r>
              <w:rPr>
                <w:rFonts w:hint="eastAsia"/>
                <w:color w:val="000000" w:themeColor="text1"/>
                <w:szCs w:val="24"/>
              </w:rPr>
              <w:t>、臭气浓度</w:t>
            </w:r>
          </w:p>
        </w:tc>
        <w:tc>
          <w:tcPr>
            <w:tcW w:w="1861" w:type="dxa"/>
            <w:vAlign w:val="center"/>
          </w:tcPr>
          <w:p>
            <w:pPr>
              <w:pStyle w:val="55"/>
              <w:rPr>
                <w:color w:val="000000" w:themeColor="text1"/>
              </w:rPr>
            </w:pPr>
            <w:r>
              <w:rPr>
                <w:rFonts w:hint="eastAsia"/>
                <w:color w:val="000000" w:themeColor="text1"/>
              </w:rPr>
              <w:t>2020.5.9-2020.5.15</w:t>
            </w:r>
          </w:p>
        </w:tc>
        <w:tc>
          <w:tcPr>
            <w:tcW w:w="1090" w:type="dxa"/>
            <w:vAlign w:val="center"/>
          </w:tcPr>
          <w:p>
            <w:pPr>
              <w:pStyle w:val="55"/>
              <w:rPr>
                <w:color w:val="000000" w:themeColor="text1"/>
              </w:rPr>
            </w:pPr>
            <w:r>
              <w:rPr>
                <w:rFonts w:hint="eastAsia"/>
                <w:color w:val="000000" w:themeColor="text1"/>
              </w:rPr>
              <w:t>/</w:t>
            </w:r>
          </w:p>
        </w:tc>
        <w:tc>
          <w:tcPr>
            <w:tcW w:w="1222" w:type="dxa"/>
            <w:vAlign w:val="center"/>
          </w:tcPr>
          <w:p>
            <w:pPr>
              <w:pStyle w:val="55"/>
              <w:rPr>
                <w:color w:val="000000" w:themeColor="text1"/>
              </w:rPr>
            </w:pPr>
            <w:r>
              <w:rPr>
                <w:rFonts w:hint="eastAsia"/>
                <w:color w:val="000000" w:themeColor="text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82" w:type="dxa"/>
            <w:vAlign w:val="center"/>
          </w:tcPr>
          <w:p>
            <w:pPr>
              <w:pStyle w:val="55"/>
              <w:rPr>
                <w:color w:val="000000" w:themeColor="text1"/>
              </w:rPr>
            </w:pPr>
            <w:r>
              <w:rPr>
                <w:color w:val="000000" w:themeColor="text1"/>
              </w:rPr>
              <w:t>小舍克村</w:t>
            </w:r>
            <w:r>
              <w:rPr>
                <w:rFonts w:hint="eastAsia"/>
                <w:color w:val="000000" w:themeColor="text1"/>
              </w:rPr>
              <w:t>2#</w:t>
            </w:r>
          </w:p>
        </w:tc>
        <w:tc>
          <w:tcPr>
            <w:tcW w:w="891" w:type="dxa"/>
            <w:vAlign w:val="center"/>
          </w:tcPr>
          <w:p>
            <w:pPr>
              <w:pStyle w:val="55"/>
              <w:rPr>
                <w:color w:val="000000" w:themeColor="text1"/>
              </w:rPr>
            </w:pPr>
            <w:r>
              <w:rPr>
                <w:rFonts w:hint="eastAsia"/>
                <w:color w:val="000000" w:themeColor="text1"/>
              </w:rPr>
              <w:t>0</w:t>
            </w:r>
          </w:p>
        </w:tc>
        <w:tc>
          <w:tcPr>
            <w:tcW w:w="817" w:type="dxa"/>
            <w:vAlign w:val="center"/>
          </w:tcPr>
          <w:p>
            <w:pPr>
              <w:pStyle w:val="55"/>
              <w:rPr>
                <w:color w:val="000000" w:themeColor="text1"/>
              </w:rPr>
            </w:pPr>
            <w:r>
              <w:rPr>
                <w:rFonts w:hint="eastAsia"/>
                <w:color w:val="000000" w:themeColor="text1"/>
              </w:rPr>
              <w:t>1963</w:t>
            </w:r>
          </w:p>
        </w:tc>
        <w:tc>
          <w:tcPr>
            <w:tcW w:w="1150" w:type="dxa"/>
            <w:vAlign w:val="center"/>
          </w:tcPr>
          <w:p>
            <w:pPr>
              <w:pStyle w:val="55"/>
              <w:rPr>
                <w:color w:val="000000" w:themeColor="text1"/>
              </w:rPr>
            </w:pPr>
            <w:r>
              <w:rPr>
                <w:color w:val="000000" w:themeColor="text1"/>
                <w:szCs w:val="24"/>
              </w:rPr>
              <w:t>NH</w:t>
            </w:r>
            <w:r>
              <w:rPr>
                <w:color w:val="000000" w:themeColor="text1"/>
                <w:szCs w:val="24"/>
                <w:vertAlign w:val="subscript"/>
              </w:rPr>
              <w:t>3</w:t>
            </w:r>
            <w:r>
              <w:rPr>
                <w:rFonts w:hint="eastAsia"/>
                <w:color w:val="000000" w:themeColor="text1"/>
                <w:szCs w:val="24"/>
              </w:rPr>
              <w:t>、</w:t>
            </w:r>
            <w:r>
              <w:rPr>
                <w:color w:val="000000" w:themeColor="text1"/>
                <w:szCs w:val="24"/>
              </w:rPr>
              <w:t>H</w:t>
            </w:r>
            <w:r>
              <w:rPr>
                <w:color w:val="000000" w:themeColor="text1"/>
                <w:szCs w:val="24"/>
                <w:vertAlign w:val="subscript"/>
              </w:rPr>
              <w:t>2</w:t>
            </w:r>
            <w:r>
              <w:rPr>
                <w:color w:val="000000" w:themeColor="text1"/>
                <w:szCs w:val="24"/>
              </w:rPr>
              <w:t>S</w:t>
            </w:r>
            <w:r>
              <w:rPr>
                <w:rFonts w:hint="eastAsia"/>
                <w:color w:val="000000" w:themeColor="text1"/>
                <w:szCs w:val="24"/>
              </w:rPr>
              <w:t>、臭气浓度</w:t>
            </w:r>
          </w:p>
        </w:tc>
        <w:tc>
          <w:tcPr>
            <w:tcW w:w="1861" w:type="dxa"/>
            <w:vAlign w:val="center"/>
          </w:tcPr>
          <w:p>
            <w:pPr>
              <w:pStyle w:val="55"/>
              <w:rPr>
                <w:color w:val="000000" w:themeColor="text1"/>
              </w:rPr>
            </w:pPr>
            <w:r>
              <w:rPr>
                <w:rFonts w:hint="eastAsia"/>
                <w:color w:val="000000" w:themeColor="text1"/>
              </w:rPr>
              <w:t>2020.5.9-2020.5.15</w:t>
            </w:r>
          </w:p>
        </w:tc>
        <w:tc>
          <w:tcPr>
            <w:tcW w:w="1090" w:type="dxa"/>
            <w:vAlign w:val="center"/>
          </w:tcPr>
          <w:p>
            <w:pPr>
              <w:pStyle w:val="55"/>
              <w:rPr>
                <w:color w:val="000000" w:themeColor="text1"/>
              </w:rPr>
            </w:pPr>
            <w:r>
              <w:rPr>
                <w:color w:val="000000" w:themeColor="text1"/>
              </w:rPr>
              <w:t>北侧</w:t>
            </w:r>
          </w:p>
        </w:tc>
        <w:tc>
          <w:tcPr>
            <w:tcW w:w="1222" w:type="dxa"/>
            <w:vAlign w:val="center"/>
          </w:tcPr>
          <w:p>
            <w:pPr>
              <w:pStyle w:val="55"/>
              <w:rPr>
                <w:color w:val="000000" w:themeColor="text1"/>
              </w:rPr>
            </w:pPr>
            <w:r>
              <w:rPr>
                <w:rFonts w:hint="eastAsia"/>
                <w:color w:val="000000" w:themeColor="text1"/>
              </w:rPr>
              <w:t>1882m</w:t>
            </w:r>
          </w:p>
        </w:tc>
      </w:tr>
    </w:tbl>
    <w:p>
      <w:pPr>
        <w:ind w:firstLine="480"/>
        <w:rPr>
          <w:bCs/>
          <w:color w:val="000000" w:themeColor="text1"/>
          <w:kern w:val="0"/>
        </w:rPr>
      </w:pPr>
      <w:r>
        <w:rPr>
          <w:rFonts w:hint="eastAsia" w:ascii="宋体" w:hAnsi="宋体" w:cs="宋体"/>
          <w:bCs/>
          <w:color w:val="000000" w:themeColor="text1"/>
          <w:kern w:val="0"/>
        </w:rPr>
        <w:t>①</w:t>
      </w:r>
      <w:r>
        <w:rPr>
          <w:bCs/>
          <w:color w:val="000000" w:themeColor="text1"/>
          <w:kern w:val="0"/>
        </w:rPr>
        <w:t>监测点位</w:t>
      </w:r>
      <w:r>
        <w:rPr>
          <w:rFonts w:hint="eastAsia"/>
          <w:bCs/>
          <w:color w:val="000000" w:themeColor="text1"/>
          <w:kern w:val="0"/>
        </w:rPr>
        <w:t>：根据《环境影响评价技术导则</w:t>
      </w:r>
      <w:r>
        <w:rPr>
          <w:bCs/>
          <w:color w:val="000000" w:themeColor="text1"/>
          <w:kern w:val="0"/>
        </w:rPr>
        <w:t xml:space="preserve"> </w:t>
      </w:r>
      <w:r>
        <w:rPr>
          <w:rFonts w:hint="eastAsia"/>
          <w:bCs/>
          <w:color w:val="000000" w:themeColor="text1"/>
          <w:kern w:val="0"/>
        </w:rPr>
        <w:t>大气环境》（</w:t>
      </w:r>
      <w:r>
        <w:rPr>
          <w:bCs/>
          <w:color w:val="000000" w:themeColor="text1"/>
          <w:kern w:val="0"/>
        </w:rPr>
        <w:t>HJ2.2-2018</w:t>
      </w:r>
      <w:r>
        <w:rPr>
          <w:rFonts w:hint="eastAsia"/>
          <w:bCs/>
          <w:color w:val="000000" w:themeColor="text1"/>
          <w:kern w:val="0"/>
        </w:rPr>
        <w:t>）</w:t>
      </w:r>
      <w:r>
        <w:rPr>
          <w:bCs/>
          <w:color w:val="000000" w:themeColor="text1"/>
          <w:kern w:val="0"/>
        </w:rPr>
        <w:t>6.3.2</w:t>
      </w:r>
      <w:r>
        <w:rPr>
          <w:rFonts w:hint="eastAsia"/>
          <w:bCs/>
          <w:color w:val="000000" w:themeColor="text1"/>
          <w:kern w:val="0"/>
        </w:rPr>
        <w:t>，以近</w:t>
      </w:r>
      <w:r>
        <w:rPr>
          <w:bCs/>
          <w:color w:val="000000" w:themeColor="text1"/>
          <w:kern w:val="0"/>
        </w:rPr>
        <w:t>20</w:t>
      </w:r>
      <w:r>
        <w:rPr>
          <w:rFonts w:hint="eastAsia"/>
          <w:bCs/>
          <w:color w:val="000000" w:themeColor="text1"/>
          <w:kern w:val="0"/>
        </w:rPr>
        <w:t>年统计的当地主导风向为轴向，在厂址及主导风向点下风向</w:t>
      </w:r>
      <w:r>
        <w:rPr>
          <w:bCs/>
          <w:color w:val="000000" w:themeColor="text1"/>
          <w:kern w:val="0"/>
        </w:rPr>
        <w:t>5km</w:t>
      </w:r>
      <w:r>
        <w:rPr>
          <w:rFonts w:hint="eastAsia"/>
          <w:bCs/>
          <w:color w:val="000000" w:themeColor="text1"/>
          <w:kern w:val="0"/>
        </w:rPr>
        <w:t>范围内设置</w:t>
      </w:r>
      <w:r>
        <w:rPr>
          <w:bCs/>
          <w:color w:val="000000" w:themeColor="text1"/>
          <w:kern w:val="0"/>
        </w:rPr>
        <w:t xml:space="preserve"> 1</w:t>
      </w:r>
      <w:r>
        <w:rPr>
          <w:rFonts w:hint="eastAsia"/>
          <w:bCs/>
          <w:color w:val="000000" w:themeColor="text1"/>
          <w:kern w:val="0"/>
        </w:rPr>
        <w:t>～</w:t>
      </w:r>
      <w:r>
        <w:rPr>
          <w:bCs/>
          <w:color w:val="000000" w:themeColor="text1"/>
          <w:kern w:val="0"/>
        </w:rPr>
        <w:t xml:space="preserve">2 </w:t>
      </w:r>
      <w:r>
        <w:rPr>
          <w:rFonts w:hint="eastAsia"/>
          <w:bCs/>
          <w:color w:val="000000" w:themeColor="text1"/>
          <w:kern w:val="0"/>
        </w:rPr>
        <w:t>个监测点。</w:t>
      </w:r>
      <w:r>
        <w:rPr>
          <w:bCs/>
          <w:color w:val="000000" w:themeColor="text1"/>
          <w:kern w:val="0"/>
        </w:rPr>
        <w:t xml:space="preserve"> </w:t>
      </w:r>
    </w:p>
    <w:p>
      <w:pPr>
        <w:ind w:firstLine="480"/>
        <w:rPr>
          <w:bCs/>
          <w:color w:val="000000" w:themeColor="text1"/>
          <w:kern w:val="0"/>
        </w:rPr>
      </w:pPr>
      <w:r>
        <w:rPr>
          <w:rFonts w:hint="eastAsia"/>
          <w:bCs/>
          <w:color w:val="000000" w:themeColor="text1"/>
          <w:kern w:val="0"/>
        </w:rPr>
        <w:t>根据砚山县气象局</w:t>
      </w:r>
      <w:r>
        <w:rPr>
          <w:bCs/>
          <w:color w:val="000000" w:themeColor="text1"/>
          <w:kern w:val="0"/>
        </w:rPr>
        <w:t>30</w:t>
      </w:r>
      <w:r>
        <w:rPr>
          <w:rFonts w:hint="eastAsia"/>
          <w:bCs/>
          <w:color w:val="000000" w:themeColor="text1"/>
          <w:kern w:val="0"/>
        </w:rPr>
        <w:t>年统计数据可知，项目常年主导风向为南风，其次为西南风。因此本项目监测点设置</w:t>
      </w:r>
      <w:r>
        <w:rPr>
          <w:bCs/>
          <w:color w:val="000000" w:themeColor="text1"/>
          <w:kern w:val="0"/>
        </w:rPr>
        <w:t>2</w:t>
      </w:r>
      <w:r>
        <w:rPr>
          <w:rFonts w:hint="eastAsia"/>
          <w:bCs/>
          <w:color w:val="000000" w:themeColor="text1"/>
          <w:kern w:val="0"/>
        </w:rPr>
        <w:t>个监测点，分别为厂址所在地、小舍克村（项目区西北侧1700</w:t>
      </w:r>
      <w:r>
        <w:rPr>
          <w:bCs/>
          <w:color w:val="000000" w:themeColor="text1"/>
          <w:kern w:val="0"/>
        </w:rPr>
        <w:t>m</w:t>
      </w:r>
      <w:r>
        <w:rPr>
          <w:rFonts w:hint="eastAsia"/>
          <w:bCs/>
          <w:color w:val="000000" w:themeColor="text1"/>
          <w:kern w:val="0"/>
        </w:rPr>
        <w:t>处），监测布点图详见检测报告。</w:t>
      </w:r>
    </w:p>
    <w:p>
      <w:pPr>
        <w:ind w:firstLine="480"/>
        <w:rPr>
          <w:bCs/>
          <w:color w:val="000000" w:themeColor="text1"/>
          <w:kern w:val="0"/>
        </w:rPr>
      </w:pPr>
      <w:r>
        <w:rPr>
          <w:rFonts w:hint="eastAsia"/>
          <w:bCs/>
          <w:color w:val="000000" w:themeColor="text1"/>
          <w:kern w:val="0"/>
        </w:rPr>
        <w:t>②监测项目：</w:t>
      </w:r>
      <w:r>
        <w:rPr>
          <w:color w:val="000000" w:themeColor="text1"/>
          <w:szCs w:val="24"/>
        </w:rPr>
        <w:t>NH</w:t>
      </w:r>
      <w:r>
        <w:rPr>
          <w:color w:val="000000" w:themeColor="text1"/>
          <w:szCs w:val="24"/>
          <w:vertAlign w:val="subscript"/>
        </w:rPr>
        <w:t>3</w:t>
      </w:r>
      <w:r>
        <w:rPr>
          <w:rFonts w:hint="eastAsia"/>
          <w:color w:val="000000" w:themeColor="text1"/>
          <w:szCs w:val="24"/>
        </w:rPr>
        <w:t>、</w:t>
      </w:r>
      <w:r>
        <w:rPr>
          <w:color w:val="000000" w:themeColor="text1"/>
          <w:szCs w:val="24"/>
        </w:rPr>
        <w:t>H</w:t>
      </w:r>
      <w:r>
        <w:rPr>
          <w:color w:val="000000" w:themeColor="text1"/>
          <w:szCs w:val="24"/>
          <w:vertAlign w:val="subscript"/>
        </w:rPr>
        <w:t>2</w:t>
      </w:r>
      <w:r>
        <w:rPr>
          <w:color w:val="000000" w:themeColor="text1"/>
          <w:szCs w:val="24"/>
        </w:rPr>
        <w:t>S</w:t>
      </w:r>
      <w:r>
        <w:rPr>
          <w:rFonts w:hint="eastAsia"/>
          <w:color w:val="000000" w:themeColor="text1"/>
          <w:szCs w:val="24"/>
        </w:rPr>
        <w:t>、臭气浓度，</w:t>
      </w:r>
      <w:r>
        <w:rPr>
          <w:rFonts w:hint="eastAsia"/>
          <w:bCs/>
          <w:color w:val="000000" w:themeColor="text1"/>
          <w:kern w:val="0"/>
        </w:rPr>
        <w:t>监测的同时记录风速、风向、气温、湿度和气压。</w:t>
      </w:r>
    </w:p>
    <w:p>
      <w:pPr>
        <w:ind w:firstLine="480"/>
        <w:rPr>
          <w:color w:val="000000" w:themeColor="text1"/>
          <w:szCs w:val="24"/>
        </w:rPr>
      </w:pPr>
      <w:r>
        <w:rPr>
          <w:rFonts w:hint="eastAsia"/>
          <w:bCs/>
          <w:color w:val="000000" w:themeColor="text1"/>
          <w:kern w:val="0"/>
        </w:rPr>
        <w:t>③监测频率：</w:t>
      </w:r>
      <w:r>
        <w:rPr>
          <w:rFonts w:hint="eastAsia"/>
          <w:color w:val="000000" w:themeColor="text1"/>
          <w:szCs w:val="24"/>
        </w:rPr>
        <w:t>连续监测</w:t>
      </w:r>
      <w:r>
        <w:rPr>
          <w:color w:val="000000" w:themeColor="text1"/>
          <w:szCs w:val="24"/>
        </w:rPr>
        <w:t>7</w:t>
      </w:r>
      <w:r>
        <w:rPr>
          <w:rFonts w:hint="eastAsia"/>
          <w:color w:val="000000" w:themeColor="text1"/>
          <w:szCs w:val="24"/>
        </w:rPr>
        <w:t>天，浓度监测每天分别在 2:10、8:10、14:10、20:10 取样。</w:t>
      </w:r>
      <w:r>
        <w:rPr>
          <w:color w:val="000000" w:themeColor="text1"/>
          <w:szCs w:val="24"/>
        </w:rPr>
        <w:t>NH</w:t>
      </w:r>
      <w:r>
        <w:rPr>
          <w:color w:val="000000" w:themeColor="text1"/>
          <w:szCs w:val="24"/>
          <w:vertAlign w:val="subscript"/>
        </w:rPr>
        <w:t>3</w:t>
      </w:r>
      <w:r>
        <w:rPr>
          <w:rFonts w:hint="eastAsia"/>
          <w:color w:val="000000" w:themeColor="text1"/>
          <w:szCs w:val="24"/>
        </w:rPr>
        <w:t>、</w:t>
      </w:r>
      <w:r>
        <w:rPr>
          <w:color w:val="000000" w:themeColor="text1"/>
          <w:szCs w:val="24"/>
        </w:rPr>
        <w:t>H</w:t>
      </w:r>
      <w:r>
        <w:rPr>
          <w:color w:val="000000" w:themeColor="text1"/>
          <w:szCs w:val="24"/>
          <w:vertAlign w:val="subscript"/>
        </w:rPr>
        <w:t>2</w:t>
      </w:r>
      <w:r>
        <w:rPr>
          <w:color w:val="000000" w:themeColor="text1"/>
          <w:szCs w:val="24"/>
        </w:rPr>
        <w:t>S</w:t>
      </w:r>
      <w:r>
        <w:rPr>
          <w:rFonts w:hint="eastAsia"/>
          <w:color w:val="000000" w:themeColor="text1"/>
          <w:szCs w:val="24"/>
        </w:rPr>
        <w:t>测小时值，臭气浓度测最大一次浓度。</w:t>
      </w:r>
    </w:p>
    <w:p>
      <w:pPr>
        <w:ind w:firstLine="480"/>
        <w:rPr>
          <w:bCs/>
          <w:color w:val="000000" w:themeColor="text1"/>
          <w:kern w:val="0"/>
        </w:rPr>
      </w:pPr>
      <w:r>
        <w:rPr>
          <w:rFonts w:hint="eastAsia"/>
          <w:color w:val="000000" w:themeColor="text1"/>
          <w:szCs w:val="24"/>
        </w:rPr>
        <w:t>④监测</w:t>
      </w:r>
      <w:r>
        <w:rPr>
          <w:rFonts w:hint="eastAsia"/>
          <w:bCs/>
          <w:color w:val="000000" w:themeColor="text1"/>
          <w:kern w:val="0"/>
        </w:rPr>
        <w:t>及分析方法：参照国家环保局颁布的标准方法进行。</w:t>
      </w:r>
    </w:p>
    <w:p>
      <w:pPr>
        <w:ind w:firstLine="480"/>
        <w:rPr>
          <w:bCs/>
          <w:color w:val="000000" w:themeColor="text1"/>
          <w:kern w:val="0"/>
        </w:rPr>
      </w:pPr>
      <w:r>
        <w:rPr>
          <w:rFonts w:hint="eastAsia"/>
          <w:bCs/>
          <w:color w:val="000000" w:themeColor="text1"/>
          <w:kern w:val="0"/>
        </w:rPr>
        <w:t>⑤环境空气质量标准执行标准：评价区和各关心点的</w:t>
      </w:r>
      <w:r>
        <w:rPr>
          <w:rFonts w:cs="Times New Roman"/>
          <w:color w:val="000000" w:themeColor="text1"/>
          <w:szCs w:val="24"/>
        </w:rPr>
        <w:t>NH</w:t>
      </w:r>
      <w:r>
        <w:rPr>
          <w:rFonts w:cs="Times New Roman"/>
          <w:color w:val="000000" w:themeColor="text1"/>
          <w:szCs w:val="24"/>
          <w:vertAlign w:val="subscript"/>
        </w:rPr>
        <w:t>3</w:t>
      </w:r>
      <w:r>
        <w:rPr>
          <w:rFonts w:hAnsi="宋体" w:cs="Times New Roman"/>
          <w:color w:val="000000" w:themeColor="text1"/>
          <w:szCs w:val="24"/>
        </w:rPr>
        <w:t>和</w:t>
      </w:r>
      <w:r>
        <w:rPr>
          <w:rFonts w:cs="Times New Roman"/>
          <w:color w:val="000000" w:themeColor="text1"/>
          <w:szCs w:val="24"/>
        </w:rPr>
        <w:t>H</w:t>
      </w:r>
      <w:r>
        <w:rPr>
          <w:rFonts w:cs="Times New Roman"/>
          <w:color w:val="000000" w:themeColor="text1"/>
          <w:szCs w:val="24"/>
          <w:vertAlign w:val="subscript"/>
        </w:rPr>
        <w:t>2</w:t>
      </w:r>
      <w:r>
        <w:rPr>
          <w:rFonts w:cs="Times New Roman"/>
          <w:color w:val="000000" w:themeColor="text1"/>
          <w:szCs w:val="24"/>
        </w:rPr>
        <w:t>S</w:t>
      </w:r>
      <w:r>
        <w:rPr>
          <w:rFonts w:hAnsi="宋体" w:cs="Times New Roman"/>
          <w:color w:val="000000" w:themeColor="text1"/>
          <w:szCs w:val="24"/>
        </w:rPr>
        <w:t>执行《环境影响评价技术导则</w:t>
      </w:r>
      <w:r>
        <w:rPr>
          <w:rFonts w:cs="Times New Roman"/>
          <w:color w:val="000000" w:themeColor="text1"/>
          <w:szCs w:val="24"/>
        </w:rPr>
        <w:t xml:space="preserve">  </w:t>
      </w:r>
      <w:r>
        <w:rPr>
          <w:rFonts w:hAnsi="宋体" w:cs="Times New Roman"/>
          <w:color w:val="000000" w:themeColor="text1"/>
          <w:szCs w:val="24"/>
        </w:rPr>
        <w:t>大气环境》（</w:t>
      </w:r>
      <w:r>
        <w:rPr>
          <w:rFonts w:cs="Times New Roman"/>
          <w:color w:val="000000" w:themeColor="text1"/>
          <w:szCs w:val="24"/>
        </w:rPr>
        <w:t>HJ2.2</w:t>
      </w:r>
      <w:r>
        <w:rPr>
          <w:rFonts w:hAnsi="宋体" w:cs="Times New Roman"/>
          <w:color w:val="000000" w:themeColor="text1"/>
          <w:szCs w:val="24"/>
        </w:rPr>
        <w:t>－</w:t>
      </w:r>
      <w:r>
        <w:rPr>
          <w:rFonts w:cs="Times New Roman"/>
          <w:color w:val="000000" w:themeColor="text1"/>
          <w:szCs w:val="24"/>
        </w:rPr>
        <w:t>2018</w:t>
      </w:r>
      <w:r>
        <w:rPr>
          <w:rFonts w:hAnsi="宋体" w:cs="Times New Roman"/>
          <w:color w:val="000000" w:themeColor="text1"/>
          <w:szCs w:val="24"/>
        </w:rPr>
        <w:t>）附录</w:t>
      </w:r>
      <w:r>
        <w:rPr>
          <w:rFonts w:cs="Times New Roman"/>
          <w:color w:val="000000" w:themeColor="text1"/>
          <w:szCs w:val="24"/>
        </w:rPr>
        <w:t>D</w:t>
      </w:r>
      <w:r>
        <w:rPr>
          <w:rFonts w:hAnsi="宋体" w:cs="Times New Roman"/>
          <w:color w:val="000000" w:themeColor="text1"/>
          <w:szCs w:val="24"/>
        </w:rPr>
        <w:t>表</w:t>
      </w:r>
      <w:r>
        <w:rPr>
          <w:rFonts w:cs="Times New Roman"/>
          <w:color w:val="000000" w:themeColor="text1"/>
          <w:szCs w:val="24"/>
        </w:rPr>
        <w:t>D.1</w:t>
      </w:r>
      <w:r>
        <w:rPr>
          <w:rFonts w:hAnsi="宋体" w:cs="Times New Roman"/>
          <w:color w:val="000000" w:themeColor="text1"/>
          <w:szCs w:val="24"/>
        </w:rPr>
        <w:t>标准</w:t>
      </w:r>
      <w:r>
        <w:rPr>
          <w:rFonts w:hint="eastAsia"/>
          <w:bCs/>
          <w:color w:val="000000" w:themeColor="text1"/>
          <w:kern w:val="0"/>
        </w:rPr>
        <w:t>，臭气浓度参照《恶臭污染物排放标准》（</w:t>
      </w:r>
      <w:r>
        <w:rPr>
          <w:bCs/>
          <w:color w:val="000000" w:themeColor="text1"/>
          <w:kern w:val="0"/>
        </w:rPr>
        <w:t>GB14554-93</w:t>
      </w:r>
      <w:r>
        <w:rPr>
          <w:rFonts w:hint="eastAsia"/>
          <w:bCs/>
          <w:color w:val="000000" w:themeColor="text1"/>
          <w:kern w:val="0"/>
        </w:rPr>
        <w:t>）表</w:t>
      </w:r>
      <w:r>
        <w:rPr>
          <w:bCs/>
          <w:color w:val="000000" w:themeColor="text1"/>
          <w:kern w:val="0"/>
        </w:rPr>
        <w:t>1</w:t>
      </w:r>
      <w:r>
        <w:rPr>
          <w:rFonts w:hint="eastAsia"/>
          <w:bCs/>
          <w:color w:val="000000" w:themeColor="text1"/>
          <w:kern w:val="0"/>
        </w:rPr>
        <w:t>中的二级标准。</w:t>
      </w:r>
    </w:p>
    <w:p>
      <w:pPr>
        <w:ind w:firstLine="480"/>
        <w:rPr>
          <w:color w:val="000000" w:themeColor="text1"/>
        </w:rPr>
      </w:pPr>
      <w:r>
        <w:rPr>
          <w:rFonts w:hint="eastAsia"/>
          <w:color w:val="000000" w:themeColor="text1"/>
        </w:rPr>
        <w:t>（2）监测结果</w:t>
      </w:r>
    </w:p>
    <w:p>
      <w:pPr>
        <w:ind w:firstLine="480"/>
        <w:rPr>
          <w:bCs/>
          <w:color w:val="000000" w:themeColor="text1"/>
          <w:kern w:val="0"/>
        </w:rPr>
      </w:pPr>
      <w:r>
        <w:rPr>
          <w:rFonts w:hint="eastAsia"/>
          <w:bCs/>
          <w:color w:val="000000" w:themeColor="text1"/>
          <w:kern w:val="0"/>
        </w:rPr>
        <w:t>特征污染物环境空气质量现状监测结果</w:t>
      </w:r>
      <w:r>
        <w:rPr>
          <w:rFonts w:hint="eastAsia"/>
          <w:color w:val="000000" w:themeColor="text1"/>
          <w:kern w:val="0"/>
        </w:rPr>
        <w:t>见表4.1.1-2</w:t>
      </w:r>
      <w:r>
        <w:rPr>
          <w:rFonts w:hint="eastAsia"/>
          <w:bCs/>
          <w:color w:val="000000" w:themeColor="text1"/>
          <w:kern w:val="0"/>
        </w:rPr>
        <w:t>。</w:t>
      </w:r>
    </w:p>
    <w:p>
      <w:pPr>
        <w:pStyle w:val="54"/>
        <w:rPr>
          <w:color w:val="000000" w:themeColor="text1"/>
          <w:szCs w:val="21"/>
          <w:vertAlign w:val="superscript"/>
        </w:rPr>
      </w:pPr>
      <w:r>
        <w:rPr>
          <w:rFonts w:hint="eastAsia"/>
          <w:color w:val="000000" w:themeColor="text1"/>
          <w:szCs w:val="21"/>
        </w:rPr>
        <w:t>表4.1.1-2</w:t>
      </w:r>
      <w:r>
        <w:rPr>
          <w:color w:val="000000" w:themeColor="text1"/>
          <w:szCs w:val="21"/>
        </w:rPr>
        <w:t xml:space="preserve">  </w:t>
      </w:r>
      <w:r>
        <w:rPr>
          <w:rFonts w:hint="eastAsia"/>
          <w:color w:val="000000" w:themeColor="text1"/>
          <w:szCs w:val="21"/>
        </w:rPr>
        <w:t>特征污染物环境质量现状（监测结果）表</w:t>
      </w:r>
    </w:p>
    <w:tbl>
      <w:tblPr>
        <w:tblStyle w:val="43"/>
        <w:tblW w:w="9039"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17"/>
        <w:gridCol w:w="567"/>
        <w:gridCol w:w="709"/>
        <w:gridCol w:w="1134"/>
        <w:gridCol w:w="850"/>
        <w:gridCol w:w="1276"/>
        <w:gridCol w:w="1276"/>
        <w:gridCol w:w="850"/>
        <w:gridCol w:w="709"/>
        <w:gridCol w:w="85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0" w:hRule="atLeast"/>
        </w:trPr>
        <w:tc>
          <w:tcPr>
            <w:tcW w:w="817" w:type="dxa"/>
            <w:vMerge w:val="restart"/>
            <w:vAlign w:val="center"/>
          </w:tcPr>
          <w:p>
            <w:pPr>
              <w:pStyle w:val="55"/>
              <w:rPr>
                <w:rFonts w:cs="Times New Roman"/>
                <w:color w:val="000000" w:themeColor="text1"/>
                <w:szCs w:val="21"/>
              </w:rPr>
            </w:pPr>
            <w:r>
              <w:rPr>
                <w:rFonts w:cs="Times New Roman"/>
                <w:color w:val="000000" w:themeColor="text1"/>
                <w:szCs w:val="21"/>
              </w:rPr>
              <w:t>监测点位</w:t>
            </w:r>
          </w:p>
        </w:tc>
        <w:tc>
          <w:tcPr>
            <w:tcW w:w="1276" w:type="dxa"/>
            <w:gridSpan w:val="2"/>
            <w:vAlign w:val="center"/>
          </w:tcPr>
          <w:p>
            <w:pPr>
              <w:pStyle w:val="55"/>
              <w:rPr>
                <w:rFonts w:cs="Times New Roman"/>
                <w:color w:val="000000" w:themeColor="text1"/>
                <w:szCs w:val="21"/>
              </w:rPr>
            </w:pPr>
            <w:r>
              <w:rPr>
                <w:rFonts w:cs="Times New Roman"/>
                <w:color w:val="000000" w:themeColor="text1"/>
                <w:szCs w:val="21"/>
              </w:rPr>
              <w:t>监测点坐标/m</w:t>
            </w:r>
          </w:p>
        </w:tc>
        <w:tc>
          <w:tcPr>
            <w:tcW w:w="1134" w:type="dxa"/>
            <w:vMerge w:val="restart"/>
            <w:vAlign w:val="center"/>
          </w:tcPr>
          <w:p>
            <w:pPr>
              <w:pStyle w:val="55"/>
              <w:rPr>
                <w:rFonts w:cs="Times New Roman"/>
                <w:color w:val="000000" w:themeColor="text1"/>
                <w:szCs w:val="21"/>
              </w:rPr>
            </w:pPr>
            <w:r>
              <w:rPr>
                <w:rFonts w:cs="Times New Roman"/>
                <w:color w:val="000000" w:themeColor="text1"/>
                <w:szCs w:val="21"/>
              </w:rPr>
              <w:t>污染物</w:t>
            </w:r>
          </w:p>
        </w:tc>
        <w:tc>
          <w:tcPr>
            <w:tcW w:w="850" w:type="dxa"/>
            <w:vMerge w:val="restart"/>
            <w:vAlign w:val="center"/>
          </w:tcPr>
          <w:p>
            <w:pPr>
              <w:pStyle w:val="55"/>
              <w:rPr>
                <w:rFonts w:cs="Times New Roman"/>
                <w:color w:val="000000" w:themeColor="text1"/>
                <w:szCs w:val="21"/>
              </w:rPr>
            </w:pPr>
            <w:r>
              <w:rPr>
                <w:rFonts w:cs="Times New Roman"/>
                <w:color w:val="000000" w:themeColor="text1"/>
                <w:szCs w:val="21"/>
              </w:rPr>
              <w:t>平均时间</w:t>
            </w:r>
          </w:p>
        </w:tc>
        <w:tc>
          <w:tcPr>
            <w:tcW w:w="1276" w:type="dxa"/>
            <w:vMerge w:val="restart"/>
            <w:vAlign w:val="center"/>
          </w:tcPr>
          <w:p>
            <w:pPr>
              <w:pStyle w:val="55"/>
              <w:rPr>
                <w:rFonts w:cs="Times New Roman"/>
                <w:color w:val="000000" w:themeColor="text1"/>
                <w:szCs w:val="21"/>
              </w:rPr>
            </w:pPr>
            <w:r>
              <w:rPr>
                <w:rFonts w:cs="Times New Roman"/>
                <w:color w:val="000000" w:themeColor="text1"/>
                <w:szCs w:val="21"/>
              </w:rPr>
              <w:t>评价标准/（μg/m</w:t>
            </w:r>
            <w:r>
              <w:rPr>
                <w:rFonts w:cs="Times New Roman"/>
                <w:color w:val="000000" w:themeColor="text1"/>
                <w:szCs w:val="21"/>
                <w:vertAlign w:val="superscript"/>
              </w:rPr>
              <w:t>3</w:t>
            </w:r>
            <w:r>
              <w:rPr>
                <w:rFonts w:cs="Times New Roman"/>
                <w:color w:val="000000" w:themeColor="text1"/>
                <w:szCs w:val="21"/>
              </w:rPr>
              <w:t>）</w:t>
            </w:r>
          </w:p>
        </w:tc>
        <w:tc>
          <w:tcPr>
            <w:tcW w:w="1276" w:type="dxa"/>
            <w:vMerge w:val="restart"/>
            <w:vAlign w:val="center"/>
          </w:tcPr>
          <w:p>
            <w:pPr>
              <w:pStyle w:val="55"/>
              <w:rPr>
                <w:rFonts w:cs="Times New Roman"/>
                <w:color w:val="000000" w:themeColor="text1"/>
                <w:szCs w:val="21"/>
              </w:rPr>
            </w:pPr>
            <w:r>
              <w:rPr>
                <w:rFonts w:cs="Times New Roman"/>
                <w:color w:val="000000" w:themeColor="text1"/>
                <w:szCs w:val="21"/>
              </w:rPr>
              <w:t>监测浓度范围/（μg/m</w:t>
            </w:r>
            <w:r>
              <w:rPr>
                <w:rFonts w:cs="Times New Roman"/>
                <w:color w:val="000000" w:themeColor="text1"/>
                <w:szCs w:val="21"/>
                <w:vertAlign w:val="superscript"/>
              </w:rPr>
              <w:t>3</w:t>
            </w:r>
            <w:r>
              <w:rPr>
                <w:rFonts w:cs="Times New Roman"/>
                <w:color w:val="000000" w:themeColor="text1"/>
                <w:szCs w:val="21"/>
              </w:rPr>
              <w:t>）</w:t>
            </w:r>
          </w:p>
        </w:tc>
        <w:tc>
          <w:tcPr>
            <w:tcW w:w="850" w:type="dxa"/>
            <w:vMerge w:val="restart"/>
            <w:vAlign w:val="center"/>
          </w:tcPr>
          <w:p>
            <w:pPr>
              <w:pStyle w:val="55"/>
              <w:rPr>
                <w:rFonts w:cs="Times New Roman"/>
                <w:color w:val="000000" w:themeColor="text1"/>
                <w:szCs w:val="21"/>
              </w:rPr>
            </w:pPr>
            <w:r>
              <w:rPr>
                <w:rFonts w:cs="Times New Roman"/>
                <w:color w:val="000000" w:themeColor="text1"/>
                <w:szCs w:val="21"/>
              </w:rPr>
              <w:t>最大浓度占标率/%</w:t>
            </w:r>
          </w:p>
        </w:tc>
        <w:tc>
          <w:tcPr>
            <w:tcW w:w="709" w:type="dxa"/>
            <w:vMerge w:val="restart"/>
            <w:vAlign w:val="center"/>
          </w:tcPr>
          <w:p>
            <w:pPr>
              <w:pStyle w:val="55"/>
              <w:rPr>
                <w:rFonts w:cs="Times New Roman"/>
                <w:color w:val="000000" w:themeColor="text1"/>
                <w:szCs w:val="21"/>
              </w:rPr>
            </w:pPr>
            <w:r>
              <w:rPr>
                <w:rFonts w:cs="Times New Roman"/>
                <w:color w:val="000000" w:themeColor="text1"/>
                <w:szCs w:val="21"/>
              </w:rPr>
              <w:t>超标率/%</w:t>
            </w:r>
          </w:p>
        </w:tc>
        <w:tc>
          <w:tcPr>
            <w:tcW w:w="851" w:type="dxa"/>
            <w:vMerge w:val="restart"/>
            <w:vAlign w:val="center"/>
          </w:tcPr>
          <w:p>
            <w:pPr>
              <w:pStyle w:val="55"/>
              <w:rPr>
                <w:rFonts w:cs="Times New Roman"/>
                <w:color w:val="000000" w:themeColor="text1"/>
                <w:szCs w:val="21"/>
              </w:rPr>
            </w:pPr>
            <w:r>
              <w:rPr>
                <w:rFonts w:cs="Times New Roman"/>
                <w:color w:val="000000" w:themeColor="text1"/>
                <w:szCs w:val="21"/>
              </w:rPr>
              <w:t>达标情况</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0" w:hRule="atLeast"/>
        </w:trPr>
        <w:tc>
          <w:tcPr>
            <w:tcW w:w="817" w:type="dxa"/>
            <w:vMerge w:val="continue"/>
            <w:vAlign w:val="center"/>
          </w:tcPr>
          <w:p>
            <w:pPr>
              <w:pStyle w:val="55"/>
              <w:rPr>
                <w:rFonts w:cs="Times New Roman"/>
                <w:color w:val="000000" w:themeColor="text1"/>
                <w:szCs w:val="21"/>
              </w:rPr>
            </w:pPr>
          </w:p>
        </w:tc>
        <w:tc>
          <w:tcPr>
            <w:tcW w:w="567" w:type="dxa"/>
            <w:vAlign w:val="center"/>
          </w:tcPr>
          <w:p>
            <w:pPr>
              <w:pStyle w:val="55"/>
              <w:rPr>
                <w:rFonts w:cs="Times New Roman"/>
                <w:color w:val="000000" w:themeColor="text1"/>
                <w:szCs w:val="21"/>
              </w:rPr>
            </w:pPr>
            <w:r>
              <w:rPr>
                <w:rFonts w:cs="Times New Roman"/>
                <w:color w:val="000000" w:themeColor="text1"/>
                <w:szCs w:val="21"/>
              </w:rPr>
              <w:t>X</w:t>
            </w:r>
          </w:p>
        </w:tc>
        <w:tc>
          <w:tcPr>
            <w:tcW w:w="709" w:type="dxa"/>
            <w:vAlign w:val="center"/>
          </w:tcPr>
          <w:p>
            <w:pPr>
              <w:pStyle w:val="55"/>
              <w:rPr>
                <w:rFonts w:cs="Times New Roman"/>
                <w:color w:val="000000" w:themeColor="text1"/>
                <w:szCs w:val="21"/>
              </w:rPr>
            </w:pPr>
            <w:r>
              <w:rPr>
                <w:rFonts w:cs="Times New Roman"/>
                <w:color w:val="000000" w:themeColor="text1"/>
                <w:szCs w:val="21"/>
              </w:rPr>
              <w:t>Y</w:t>
            </w:r>
          </w:p>
        </w:tc>
        <w:tc>
          <w:tcPr>
            <w:tcW w:w="1134" w:type="dxa"/>
            <w:vMerge w:val="continue"/>
            <w:vAlign w:val="center"/>
          </w:tcPr>
          <w:p>
            <w:pPr>
              <w:pStyle w:val="55"/>
              <w:rPr>
                <w:rFonts w:cs="Times New Roman"/>
                <w:color w:val="000000" w:themeColor="text1"/>
                <w:szCs w:val="21"/>
              </w:rPr>
            </w:pPr>
          </w:p>
        </w:tc>
        <w:tc>
          <w:tcPr>
            <w:tcW w:w="850" w:type="dxa"/>
            <w:vMerge w:val="continue"/>
            <w:vAlign w:val="center"/>
          </w:tcPr>
          <w:p>
            <w:pPr>
              <w:pStyle w:val="55"/>
              <w:rPr>
                <w:rFonts w:cs="Times New Roman"/>
                <w:color w:val="000000" w:themeColor="text1"/>
                <w:szCs w:val="21"/>
              </w:rPr>
            </w:pPr>
          </w:p>
        </w:tc>
        <w:tc>
          <w:tcPr>
            <w:tcW w:w="1276" w:type="dxa"/>
            <w:vMerge w:val="continue"/>
            <w:vAlign w:val="center"/>
          </w:tcPr>
          <w:p>
            <w:pPr>
              <w:pStyle w:val="55"/>
              <w:rPr>
                <w:rFonts w:cs="Times New Roman"/>
                <w:color w:val="000000" w:themeColor="text1"/>
                <w:szCs w:val="21"/>
              </w:rPr>
            </w:pPr>
          </w:p>
        </w:tc>
        <w:tc>
          <w:tcPr>
            <w:tcW w:w="1276" w:type="dxa"/>
            <w:vMerge w:val="continue"/>
            <w:vAlign w:val="center"/>
          </w:tcPr>
          <w:p>
            <w:pPr>
              <w:pStyle w:val="55"/>
              <w:rPr>
                <w:rFonts w:cs="Times New Roman"/>
                <w:color w:val="000000" w:themeColor="text1"/>
                <w:szCs w:val="21"/>
              </w:rPr>
            </w:pPr>
          </w:p>
        </w:tc>
        <w:tc>
          <w:tcPr>
            <w:tcW w:w="850" w:type="dxa"/>
            <w:vMerge w:val="continue"/>
            <w:vAlign w:val="center"/>
          </w:tcPr>
          <w:p>
            <w:pPr>
              <w:pStyle w:val="55"/>
              <w:rPr>
                <w:rFonts w:cs="Times New Roman"/>
                <w:color w:val="000000" w:themeColor="text1"/>
                <w:szCs w:val="21"/>
              </w:rPr>
            </w:pPr>
          </w:p>
        </w:tc>
        <w:tc>
          <w:tcPr>
            <w:tcW w:w="709" w:type="dxa"/>
            <w:vMerge w:val="continue"/>
            <w:vAlign w:val="center"/>
          </w:tcPr>
          <w:p>
            <w:pPr>
              <w:pStyle w:val="55"/>
              <w:rPr>
                <w:rFonts w:cs="Times New Roman"/>
                <w:color w:val="000000" w:themeColor="text1"/>
                <w:szCs w:val="21"/>
              </w:rPr>
            </w:pPr>
          </w:p>
        </w:tc>
        <w:tc>
          <w:tcPr>
            <w:tcW w:w="851" w:type="dxa"/>
            <w:vMerge w:val="continue"/>
            <w:vAlign w:val="center"/>
          </w:tcPr>
          <w:p>
            <w:pPr>
              <w:pStyle w:val="55"/>
              <w:rPr>
                <w:rFonts w:cs="Times New Roman"/>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Merge w:val="restart"/>
            <w:vAlign w:val="center"/>
          </w:tcPr>
          <w:p>
            <w:pPr>
              <w:pStyle w:val="55"/>
              <w:rPr>
                <w:rFonts w:cs="Times New Roman"/>
                <w:color w:val="000000" w:themeColor="text1"/>
                <w:szCs w:val="21"/>
              </w:rPr>
            </w:pPr>
            <w:r>
              <w:rPr>
                <w:rFonts w:cs="Times New Roman"/>
                <w:color w:val="000000" w:themeColor="text1"/>
                <w:szCs w:val="21"/>
              </w:rPr>
              <w:t>厂址中心1#</w:t>
            </w:r>
          </w:p>
        </w:tc>
        <w:tc>
          <w:tcPr>
            <w:tcW w:w="567" w:type="dxa"/>
            <w:vMerge w:val="restart"/>
            <w:vAlign w:val="center"/>
          </w:tcPr>
          <w:p>
            <w:pPr>
              <w:pStyle w:val="55"/>
              <w:rPr>
                <w:rFonts w:cs="Times New Roman"/>
                <w:color w:val="000000" w:themeColor="text1"/>
                <w:szCs w:val="21"/>
              </w:rPr>
            </w:pPr>
            <w:r>
              <w:rPr>
                <w:rFonts w:cs="Times New Roman"/>
                <w:color w:val="000000" w:themeColor="text1"/>
                <w:szCs w:val="21"/>
              </w:rPr>
              <w:t>0</w:t>
            </w:r>
          </w:p>
        </w:tc>
        <w:tc>
          <w:tcPr>
            <w:tcW w:w="709" w:type="dxa"/>
            <w:vMerge w:val="restart"/>
            <w:vAlign w:val="center"/>
          </w:tcPr>
          <w:p>
            <w:pPr>
              <w:pStyle w:val="55"/>
              <w:rPr>
                <w:rFonts w:cs="Times New Roman"/>
                <w:color w:val="000000" w:themeColor="text1"/>
                <w:szCs w:val="21"/>
              </w:rPr>
            </w:pPr>
            <w:r>
              <w:rPr>
                <w:rFonts w:cs="Times New Roman"/>
                <w:color w:val="000000" w:themeColor="text1"/>
                <w:szCs w:val="21"/>
              </w:rPr>
              <w:t>0</w:t>
            </w:r>
          </w:p>
        </w:tc>
        <w:tc>
          <w:tcPr>
            <w:tcW w:w="1134" w:type="dxa"/>
            <w:vAlign w:val="center"/>
          </w:tcPr>
          <w:p>
            <w:pPr>
              <w:pStyle w:val="55"/>
              <w:rPr>
                <w:rFonts w:cs="Times New Roman"/>
                <w:color w:val="000000" w:themeColor="text1"/>
                <w:szCs w:val="21"/>
              </w:rPr>
            </w:pPr>
            <w:r>
              <w:rPr>
                <w:rFonts w:cs="Times New Roman"/>
                <w:color w:val="000000" w:themeColor="text1"/>
                <w:szCs w:val="21"/>
              </w:rPr>
              <w:t>NH</w:t>
            </w:r>
            <w:r>
              <w:rPr>
                <w:rFonts w:cs="Times New Roman"/>
                <w:color w:val="000000" w:themeColor="text1"/>
                <w:szCs w:val="21"/>
                <w:vertAlign w:val="subscript"/>
              </w:rPr>
              <w:t>3</w:t>
            </w:r>
          </w:p>
        </w:tc>
        <w:tc>
          <w:tcPr>
            <w:tcW w:w="850" w:type="dxa"/>
            <w:vAlign w:val="center"/>
          </w:tcPr>
          <w:p>
            <w:pPr>
              <w:pStyle w:val="55"/>
              <w:rPr>
                <w:rFonts w:cs="Times New Roman"/>
                <w:color w:val="000000" w:themeColor="text1"/>
                <w:szCs w:val="21"/>
              </w:rPr>
            </w:pPr>
            <w:r>
              <w:rPr>
                <w:rFonts w:hint="eastAsia" w:cs="Times New Roman"/>
                <w:color w:val="000000" w:themeColor="text1"/>
                <w:szCs w:val="21"/>
              </w:rPr>
              <w:t>1</w:t>
            </w:r>
            <w:r>
              <w:rPr>
                <w:rFonts w:cs="Times New Roman"/>
                <w:color w:val="000000" w:themeColor="text1"/>
                <w:szCs w:val="21"/>
              </w:rPr>
              <w:t>小时</w:t>
            </w:r>
          </w:p>
        </w:tc>
        <w:tc>
          <w:tcPr>
            <w:tcW w:w="1276" w:type="dxa"/>
            <w:vAlign w:val="center"/>
          </w:tcPr>
          <w:p>
            <w:pPr>
              <w:pStyle w:val="55"/>
              <w:rPr>
                <w:rFonts w:cs="Times New Roman"/>
                <w:color w:val="000000" w:themeColor="text1"/>
                <w:szCs w:val="21"/>
              </w:rPr>
            </w:pPr>
            <w:r>
              <w:rPr>
                <w:rFonts w:hint="eastAsia" w:cs="Times New Roman"/>
                <w:color w:val="000000" w:themeColor="text1"/>
                <w:szCs w:val="21"/>
              </w:rPr>
              <w:t>200</w:t>
            </w:r>
          </w:p>
        </w:tc>
        <w:tc>
          <w:tcPr>
            <w:tcW w:w="1276" w:type="dxa"/>
            <w:vAlign w:val="center"/>
          </w:tcPr>
          <w:p>
            <w:pPr>
              <w:pStyle w:val="55"/>
              <w:rPr>
                <w:rFonts w:cs="Times New Roman"/>
                <w:color w:val="000000" w:themeColor="text1"/>
                <w:szCs w:val="21"/>
              </w:rPr>
            </w:pPr>
            <w:r>
              <w:rPr>
                <w:rFonts w:hint="eastAsia" w:cs="Times New Roman"/>
                <w:color w:val="000000" w:themeColor="text1"/>
                <w:szCs w:val="21"/>
              </w:rPr>
              <w:t>71.7~117</w:t>
            </w:r>
          </w:p>
        </w:tc>
        <w:tc>
          <w:tcPr>
            <w:tcW w:w="850" w:type="dxa"/>
            <w:vAlign w:val="center"/>
          </w:tcPr>
          <w:p>
            <w:pPr>
              <w:pStyle w:val="55"/>
              <w:rPr>
                <w:rFonts w:cs="Times New Roman"/>
                <w:color w:val="000000" w:themeColor="text1"/>
                <w:szCs w:val="21"/>
              </w:rPr>
            </w:pPr>
            <w:r>
              <w:rPr>
                <w:rFonts w:hint="eastAsia" w:cs="Times New Roman"/>
                <w:color w:val="000000" w:themeColor="text1"/>
                <w:szCs w:val="21"/>
              </w:rPr>
              <w:t>58.5</w:t>
            </w:r>
          </w:p>
        </w:tc>
        <w:tc>
          <w:tcPr>
            <w:tcW w:w="709" w:type="dxa"/>
            <w:vAlign w:val="center"/>
          </w:tcPr>
          <w:p>
            <w:pPr>
              <w:pStyle w:val="55"/>
              <w:rPr>
                <w:rFonts w:cs="Times New Roman"/>
                <w:color w:val="000000" w:themeColor="text1"/>
                <w:szCs w:val="21"/>
              </w:rPr>
            </w:pPr>
            <w:r>
              <w:rPr>
                <w:rFonts w:hint="eastAsia" w:cs="Times New Roman"/>
                <w:color w:val="000000" w:themeColor="text1"/>
                <w:szCs w:val="21"/>
              </w:rPr>
              <w:t>/</w:t>
            </w:r>
          </w:p>
        </w:tc>
        <w:tc>
          <w:tcPr>
            <w:tcW w:w="851" w:type="dxa"/>
            <w:vAlign w:val="center"/>
          </w:tcPr>
          <w:p>
            <w:pPr>
              <w:pStyle w:val="55"/>
              <w:rPr>
                <w:color w:val="000000" w:themeColor="text1"/>
                <w:kern w:val="0"/>
              </w:rPr>
            </w:pPr>
            <w:r>
              <w:rPr>
                <w:rFonts w:hint="eastAsia"/>
                <w:color w:val="000000" w:themeColor="text1"/>
                <w:kern w:val="0"/>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Merge w:val="continue"/>
            <w:vAlign w:val="center"/>
          </w:tcPr>
          <w:p>
            <w:pPr>
              <w:pStyle w:val="55"/>
              <w:rPr>
                <w:rFonts w:cs="Times New Roman"/>
                <w:color w:val="000000" w:themeColor="text1"/>
                <w:szCs w:val="21"/>
              </w:rPr>
            </w:pPr>
          </w:p>
        </w:tc>
        <w:tc>
          <w:tcPr>
            <w:tcW w:w="567" w:type="dxa"/>
            <w:vMerge w:val="continue"/>
            <w:vAlign w:val="center"/>
          </w:tcPr>
          <w:p>
            <w:pPr>
              <w:pStyle w:val="55"/>
              <w:rPr>
                <w:rFonts w:cs="Times New Roman"/>
                <w:color w:val="000000" w:themeColor="text1"/>
                <w:szCs w:val="21"/>
              </w:rPr>
            </w:pPr>
          </w:p>
        </w:tc>
        <w:tc>
          <w:tcPr>
            <w:tcW w:w="709" w:type="dxa"/>
            <w:vMerge w:val="continue"/>
            <w:vAlign w:val="center"/>
          </w:tcPr>
          <w:p>
            <w:pPr>
              <w:pStyle w:val="55"/>
              <w:rPr>
                <w:rFonts w:cs="Times New Roman"/>
                <w:color w:val="000000" w:themeColor="text1"/>
                <w:szCs w:val="21"/>
              </w:rPr>
            </w:pPr>
          </w:p>
        </w:tc>
        <w:tc>
          <w:tcPr>
            <w:tcW w:w="1134" w:type="dxa"/>
            <w:vAlign w:val="center"/>
          </w:tcPr>
          <w:p>
            <w:pPr>
              <w:pStyle w:val="55"/>
              <w:rPr>
                <w:rFonts w:cs="Times New Roman"/>
                <w:color w:val="000000" w:themeColor="text1"/>
                <w:szCs w:val="21"/>
              </w:rPr>
            </w:pPr>
            <w:r>
              <w:rPr>
                <w:rFonts w:cs="Times New Roman"/>
                <w:color w:val="000000" w:themeColor="text1"/>
                <w:szCs w:val="21"/>
              </w:rPr>
              <w:t>H</w:t>
            </w:r>
            <w:r>
              <w:rPr>
                <w:rFonts w:cs="Times New Roman"/>
                <w:color w:val="000000" w:themeColor="text1"/>
                <w:szCs w:val="21"/>
                <w:vertAlign w:val="subscript"/>
              </w:rPr>
              <w:t>2</w:t>
            </w:r>
            <w:r>
              <w:rPr>
                <w:rFonts w:cs="Times New Roman"/>
                <w:color w:val="000000" w:themeColor="text1"/>
                <w:szCs w:val="21"/>
              </w:rPr>
              <w:t>S</w:t>
            </w:r>
          </w:p>
        </w:tc>
        <w:tc>
          <w:tcPr>
            <w:tcW w:w="850" w:type="dxa"/>
            <w:vAlign w:val="center"/>
          </w:tcPr>
          <w:p>
            <w:pPr>
              <w:pStyle w:val="55"/>
              <w:rPr>
                <w:rFonts w:cs="Times New Roman"/>
                <w:color w:val="000000" w:themeColor="text1"/>
                <w:szCs w:val="21"/>
              </w:rPr>
            </w:pPr>
            <w:r>
              <w:rPr>
                <w:rFonts w:hint="eastAsia" w:cs="Times New Roman"/>
                <w:color w:val="000000" w:themeColor="text1"/>
                <w:szCs w:val="21"/>
              </w:rPr>
              <w:t>1</w:t>
            </w:r>
            <w:r>
              <w:rPr>
                <w:rFonts w:cs="Times New Roman"/>
                <w:color w:val="000000" w:themeColor="text1"/>
                <w:szCs w:val="21"/>
              </w:rPr>
              <w:t>小时</w:t>
            </w:r>
          </w:p>
        </w:tc>
        <w:tc>
          <w:tcPr>
            <w:tcW w:w="1276" w:type="dxa"/>
            <w:vAlign w:val="center"/>
          </w:tcPr>
          <w:p>
            <w:pPr>
              <w:pStyle w:val="55"/>
              <w:rPr>
                <w:rFonts w:cs="Times New Roman"/>
                <w:color w:val="000000" w:themeColor="text1"/>
                <w:szCs w:val="21"/>
              </w:rPr>
            </w:pPr>
            <w:r>
              <w:rPr>
                <w:rFonts w:hint="eastAsia" w:cs="Times New Roman"/>
                <w:color w:val="000000" w:themeColor="text1"/>
                <w:szCs w:val="21"/>
              </w:rPr>
              <w:t>10</w:t>
            </w:r>
          </w:p>
        </w:tc>
        <w:tc>
          <w:tcPr>
            <w:tcW w:w="1276" w:type="dxa"/>
            <w:vAlign w:val="center"/>
          </w:tcPr>
          <w:p>
            <w:pPr>
              <w:pStyle w:val="55"/>
              <w:rPr>
                <w:rFonts w:cs="Times New Roman"/>
                <w:color w:val="000000" w:themeColor="text1"/>
                <w:szCs w:val="21"/>
              </w:rPr>
            </w:pPr>
            <w:r>
              <w:rPr>
                <w:rFonts w:hint="eastAsia" w:cs="Times New Roman"/>
                <w:color w:val="000000" w:themeColor="text1"/>
                <w:szCs w:val="21"/>
              </w:rPr>
              <w:t>4.88~5.66</w:t>
            </w:r>
          </w:p>
        </w:tc>
        <w:tc>
          <w:tcPr>
            <w:tcW w:w="850" w:type="dxa"/>
            <w:vAlign w:val="center"/>
          </w:tcPr>
          <w:p>
            <w:pPr>
              <w:pStyle w:val="55"/>
              <w:rPr>
                <w:rFonts w:cs="Times New Roman"/>
                <w:color w:val="000000" w:themeColor="text1"/>
                <w:szCs w:val="21"/>
              </w:rPr>
            </w:pPr>
            <w:r>
              <w:rPr>
                <w:rFonts w:hint="eastAsia" w:cs="Times New Roman"/>
                <w:color w:val="000000" w:themeColor="text1"/>
                <w:szCs w:val="21"/>
              </w:rPr>
              <w:t>56.6</w:t>
            </w:r>
          </w:p>
        </w:tc>
        <w:tc>
          <w:tcPr>
            <w:tcW w:w="709" w:type="dxa"/>
            <w:vAlign w:val="center"/>
          </w:tcPr>
          <w:p>
            <w:pPr>
              <w:pStyle w:val="55"/>
              <w:rPr>
                <w:rFonts w:cs="Times New Roman"/>
                <w:color w:val="000000" w:themeColor="text1"/>
                <w:szCs w:val="21"/>
              </w:rPr>
            </w:pPr>
            <w:r>
              <w:rPr>
                <w:rFonts w:hint="eastAsia" w:cs="Times New Roman"/>
                <w:color w:val="000000" w:themeColor="text1"/>
                <w:szCs w:val="21"/>
              </w:rPr>
              <w:t>/</w:t>
            </w:r>
          </w:p>
        </w:tc>
        <w:tc>
          <w:tcPr>
            <w:tcW w:w="851" w:type="dxa"/>
            <w:vAlign w:val="center"/>
          </w:tcPr>
          <w:p>
            <w:pPr>
              <w:pStyle w:val="55"/>
              <w:rPr>
                <w:color w:val="000000" w:themeColor="text1"/>
                <w:kern w:val="0"/>
              </w:rPr>
            </w:pPr>
            <w:r>
              <w:rPr>
                <w:rFonts w:hint="eastAsia"/>
                <w:color w:val="000000" w:themeColor="text1"/>
                <w:kern w:val="0"/>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Merge w:val="continue"/>
            <w:vAlign w:val="center"/>
          </w:tcPr>
          <w:p>
            <w:pPr>
              <w:pStyle w:val="55"/>
              <w:rPr>
                <w:rFonts w:cs="Times New Roman"/>
                <w:color w:val="000000" w:themeColor="text1"/>
                <w:szCs w:val="21"/>
              </w:rPr>
            </w:pPr>
          </w:p>
        </w:tc>
        <w:tc>
          <w:tcPr>
            <w:tcW w:w="567" w:type="dxa"/>
            <w:vMerge w:val="continue"/>
            <w:vAlign w:val="center"/>
          </w:tcPr>
          <w:p>
            <w:pPr>
              <w:pStyle w:val="55"/>
              <w:rPr>
                <w:rFonts w:cs="Times New Roman"/>
                <w:color w:val="000000" w:themeColor="text1"/>
                <w:szCs w:val="21"/>
              </w:rPr>
            </w:pPr>
          </w:p>
        </w:tc>
        <w:tc>
          <w:tcPr>
            <w:tcW w:w="709" w:type="dxa"/>
            <w:vMerge w:val="continue"/>
            <w:vAlign w:val="center"/>
          </w:tcPr>
          <w:p>
            <w:pPr>
              <w:pStyle w:val="55"/>
              <w:rPr>
                <w:rFonts w:cs="Times New Roman"/>
                <w:color w:val="000000" w:themeColor="text1"/>
                <w:szCs w:val="21"/>
              </w:rPr>
            </w:pPr>
          </w:p>
        </w:tc>
        <w:tc>
          <w:tcPr>
            <w:tcW w:w="1134" w:type="dxa"/>
            <w:vAlign w:val="center"/>
          </w:tcPr>
          <w:p>
            <w:pPr>
              <w:pStyle w:val="55"/>
              <w:rPr>
                <w:rFonts w:cs="Times New Roman"/>
                <w:color w:val="000000" w:themeColor="text1"/>
                <w:szCs w:val="21"/>
              </w:rPr>
            </w:pPr>
            <w:r>
              <w:rPr>
                <w:rFonts w:cs="Times New Roman"/>
                <w:color w:val="000000" w:themeColor="text1"/>
                <w:szCs w:val="21"/>
              </w:rPr>
              <w:t>臭气浓度</w:t>
            </w:r>
          </w:p>
        </w:tc>
        <w:tc>
          <w:tcPr>
            <w:tcW w:w="850" w:type="dxa"/>
            <w:vAlign w:val="center"/>
          </w:tcPr>
          <w:p>
            <w:pPr>
              <w:pStyle w:val="55"/>
              <w:rPr>
                <w:rFonts w:cs="Times New Roman"/>
                <w:color w:val="000000" w:themeColor="text1"/>
                <w:szCs w:val="21"/>
              </w:rPr>
            </w:pPr>
            <w:r>
              <w:rPr>
                <w:rFonts w:hint="eastAsia" w:cs="Times New Roman"/>
                <w:color w:val="000000" w:themeColor="text1"/>
                <w:szCs w:val="21"/>
              </w:rPr>
              <w:t>/</w:t>
            </w:r>
          </w:p>
        </w:tc>
        <w:tc>
          <w:tcPr>
            <w:tcW w:w="1276" w:type="dxa"/>
            <w:vAlign w:val="center"/>
          </w:tcPr>
          <w:p>
            <w:pPr>
              <w:pStyle w:val="55"/>
              <w:rPr>
                <w:rFonts w:cs="Times New Roman"/>
                <w:color w:val="000000" w:themeColor="text1"/>
                <w:szCs w:val="21"/>
              </w:rPr>
            </w:pPr>
            <w:r>
              <w:rPr>
                <w:rFonts w:hint="eastAsia" w:cs="Times New Roman"/>
                <w:color w:val="000000" w:themeColor="text1"/>
                <w:szCs w:val="21"/>
              </w:rPr>
              <w:t>20（无量纲）</w:t>
            </w:r>
          </w:p>
        </w:tc>
        <w:tc>
          <w:tcPr>
            <w:tcW w:w="1276" w:type="dxa"/>
            <w:vAlign w:val="center"/>
          </w:tcPr>
          <w:p>
            <w:pPr>
              <w:pStyle w:val="55"/>
              <w:rPr>
                <w:rFonts w:cs="Times New Roman"/>
                <w:color w:val="000000" w:themeColor="text1"/>
                <w:szCs w:val="21"/>
              </w:rPr>
            </w:pPr>
            <w:r>
              <w:rPr>
                <w:rFonts w:hint="eastAsia" w:cs="Times New Roman"/>
                <w:color w:val="000000" w:themeColor="text1"/>
                <w:szCs w:val="21"/>
              </w:rPr>
              <w:t>13~16</w:t>
            </w:r>
          </w:p>
        </w:tc>
        <w:tc>
          <w:tcPr>
            <w:tcW w:w="850" w:type="dxa"/>
            <w:vAlign w:val="center"/>
          </w:tcPr>
          <w:p>
            <w:pPr>
              <w:pStyle w:val="55"/>
              <w:rPr>
                <w:rFonts w:cs="Times New Roman"/>
                <w:color w:val="000000" w:themeColor="text1"/>
                <w:szCs w:val="21"/>
              </w:rPr>
            </w:pPr>
            <w:r>
              <w:rPr>
                <w:rFonts w:hint="eastAsia" w:cs="Times New Roman"/>
                <w:color w:val="000000" w:themeColor="text1"/>
                <w:szCs w:val="21"/>
              </w:rPr>
              <w:t>80</w:t>
            </w:r>
          </w:p>
        </w:tc>
        <w:tc>
          <w:tcPr>
            <w:tcW w:w="709" w:type="dxa"/>
          </w:tcPr>
          <w:p>
            <w:pPr>
              <w:pStyle w:val="55"/>
              <w:rPr>
                <w:color w:val="000000" w:themeColor="text1"/>
              </w:rPr>
            </w:pPr>
            <w:r>
              <w:rPr>
                <w:rFonts w:hint="eastAsia"/>
                <w:color w:val="000000" w:themeColor="text1"/>
              </w:rPr>
              <w:t>/</w:t>
            </w:r>
          </w:p>
        </w:tc>
        <w:tc>
          <w:tcPr>
            <w:tcW w:w="851" w:type="dxa"/>
            <w:vAlign w:val="center"/>
          </w:tcPr>
          <w:p>
            <w:pPr>
              <w:pStyle w:val="55"/>
              <w:rPr>
                <w:color w:val="000000" w:themeColor="text1"/>
                <w:kern w:val="0"/>
              </w:rPr>
            </w:pPr>
            <w:r>
              <w:rPr>
                <w:rFonts w:hint="eastAsia"/>
                <w:color w:val="000000" w:themeColor="text1"/>
                <w:kern w:val="0"/>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Merge w:val="restart"/>
            <w:vAlign w:val="center"/>
          </w:tcPr>
          <w:p>
            <w:pPr>
              <w:pStyle w:val="55"/>
              <w:rPr>
                <w:rFonts w:cs="Times New Roman"/>
                <w:color w:val="000000" w:themeColor="text1"/>
                <w:szCs w:val="21"/>
              </w:rPr>
            </w:pPr>
            <w:r>
              <w:rPr>
                <w:rFonts w:cs="Times New Roman"/>
                <w:color w:val="000000" w:themeColor="text1"/>
                <w:szCs w:val="21"/>
              </w:rPr>
              <w:t>小舍克村2#</w:t>
            </w:r>
          </w:p>
        </w:tc>
        <w:tc>
          <w:tcPr>
            <w:tcW w:w="567" w:type="dxa"/>
            <w:vMerge w:val="restart"/>
            <w:vAlign w:val="center"/>
          </w:tcPr>
          <w:p>
            <w:pPr>
              <w:pStyle w:val="55"/>
              <w:rPr>
                <w:rFonts w:cs="Times New Roman"/>
                <w:color w:val="000000" w:themeColor="text1"/>
                <w:szCs w:val="21"/>
              </w:rPr>
            </w:pPr>
            <w:r>
              <w:rPr>
                <w:rFonts w:cs="Times New Roman"/>
                <w:color w:val="000000" w:themeColor="text1"/>
                <w:szCs w:val="21"/>
              </w:rPr>
              <w:t>0</w:t>
            </w:r>
          </w:p>
        </w:tc>
        <w:tc>
          <w:tcPr>
            <w:tcW w:w="709" w:type="dxa"/>
            <w:vMerge w:val="restart"/>
            <w:vAlign w:val="center"/>
          </w:tcPr>
          <w:p>
            <w:pPr>
              <w:pStyle w:val="55"/>
              <w:rPr>
                <w:rFonts w:cs="Times New Roman"/>
                <w:color w:val="000000" w:themeColor="text1"/>
                <w:szCs w:val="21"/>
              </w:rPr>
            </w:pPr>
            <w:r>
              <w:rPr>
                <w:rFonts w:cs="Times New Roman"/>
                <w:color w:val="000000" w:themeColor="text1"/>
                <w:szCs w:val="21"/>
              </w:rPr>
              <w:t>1963</w:t>
            </w:r>
          </w:p>
        </w:tc>
        <w:tc>
          <w:tcPr>
            <w:tcW w:w="1134" w:type="dxa"/>
            <w:vAlign w:val="center"/>
          </w:tcPr>
          <w:p>
            <w:pPr>
              <w:pStyle w:val="55"/>
              <w:rPr>
                <w:rFonts w:cs="Times New Roman"/>
                <w:color w:val="000000" w:themeColor="text1"/>
                <w:szCs w:val="21"/>
              </w:rPr>
            </w:pPr>
            <w:r>
              <w:rPr>
                <w:rFonts w:cs="Times New Roman"/>
                <w:color w:val="000000" w:themeColor="text1"/>
                <w:szCs w:val="21"/>
              </w:rPr>
              <w:t>NH</w:t>
            </w:r>
            <w:r>
              <w:rPr>
                <w:rFonts w:cs="Times New Roman"/>
                <w:color w:val="000000" w:themeColor="text1"/>
                <w:szCs w:val="21"/>
                <w:vertAlign w:val="subscript"/>
              </w:rPr>
              <w:t>3</w:t>
            </w:r>
          </w:p>
        </w:tc>
        <w:tc>
          <w:tcPr>
            <w:tcW w:w="850" w:type="dxa"/>
            <w:vAlign w:val="center"/>
          </w:tcPr>
          <w:p>
            <w:pPr>
              <w:pStyle w:val="55"/>
              <w:rPr>
                <w:rFonts w:cs="Times New Roman"/>
                <w:color w:val="000000" w:themeColor="text1"/>
                <w:szCs w:val="21"/>
              </w:rPr>
            </w:pPr>
            <w:r>
              <w:rPr>
                <w:rFonts w:hint="eastAsia" w:cs="Times New Roman"/>
                <w:color w:val="000000" w:themeColor="text1"/>
                <w:szCs w:val="21"/>
              </w:rPr>
              <w:t>1</w:t>
            </w:r>
            <w:r>
              <w:rPr>
                <w:rFonts w:cs="Times New Roman"/>
                <w:color w:val="000000" w:themeColor="text1"/>
                <w:szCs w:val="21"/>
              </w:rPr>
              <w:t>小时</w:t>
            </w:r>
          </w:p>
        </w:tc>
        <w:tc>
          <w:tcPr>
            <w:tcW w:w="1276" w:type="dxa"/>
            <w:vAlign w:val="center"/>
          </w:tcPr>
          <w:p>
            <w:pPr>
              <w:pStyle w:val="55"/>
              <w:rPr>
                <w:rFonts w:cs="Times New Roman"/>
                <w:color w:val="000000" w:themeColor="text1"/>
                <w:szCs w:val="21"/>
              </w:rPr>
            </w:pPr>
            <w:r>
              <w:rPr>
                <w:rFonts w:hint="eastAsia" w:cs="Times New Roman"/>
                <w:color w:val="000000" w:themeColor="text1"/>
                <w:szCs w:val="21"/>
              </w:rPr>
              <w:t>200</w:t>
            </w:r>
          </w:p>
        </w:tc>
        <w:tc>
          <w:tcPr>
            <w:tcW w:w="1276" w:type="dxa"/>
            <w:vAlign w:val="center"/>
          </w:tcPr>
          <w:p>
            <w:pPr>
              <w:pStyle w:val="55"/>
              <w:rPr>
                <w:rFonts w:cs="Times New Roman"/>
                <w:color w:val="000000" w:themeColor="text1"/>
                <w:szCs w:val="21"/>
              </w:rPr>
            </w:pPr>
            <w:r>
              <w:rPr>
                <w:rFonts w:hint="eastAsia" w:cs="Times New Roman"/>
                <w:color w:val="000000" w:themeColor="text1"/>
                <w:szCs w:val="21"/>
              </w:rPr>
              <w:t>116~155</w:t>
            </w:r>
          </w:p>
        </w:tc>
        <w:tc>
          <w:tcPr>
            <w:tcW w:w="850" w:type="dxa"/>
            <w:vAlign w:val="center"/>
          </w:tcPr>
          <w:p>
            <w:pPr>
              <w:pStyle w:val="55"/>
              <w:rPr>
                <w:rFonts w:cs="Times New Roman"/>
                <w:color w:val="000000" w:themeColor="text1"/>
                <w:szCs w:val="21"/>
              </w:rPr>
            </w:pPr>
            <w:r>
              <w:rPr>
                <w:rFonts w:hint="eastAsia" w:cs="Times New Roman"/>
                <w:color w:val="000000" w:themeColor="text1"/>
                <w:szCs w:val="21"/>
              </w:rPr>
              <w:t>77.5</w:t>
            </w:r>
          </w:p>
        </w:tc>
        <w:tc>
          <w:tcPr>
            <w:tcW w:w="709" w:type="dxa"/>
          </w:tcPr>
          <w:p>
            <w:pPr>
              <w:pStyle w:val="55"/>
              <w:rPr>
                <w:color w:val="000000" w:themeColor="text1"/>
              </w:rPr>
            </w:pPr>
            <w:r>
              <w:rPr>
                <w:rFonts w:hint="eastAsia"/>
                <w:color w:val="000000" w:themeColor="text1"/>
              </w:rPr>
              <w:t>/</w:t>
            </w:r>
          </w:p>
        </w:tc>
        <w:tc>
          <w:tcPr>
            <w:tcW w:w="851" w:type="dxa"/>
            <w:vAlign w:val="center"/>
          </w:tcPr>
          <w:p>
            <w:pPr>
              <w:pStyle w:val="55"/>
              <w:rPr>
                <w:color w:val="000000" w:themeColor="text1"/>
                <w:kern w:val="0"/>
              </w:rPr>
            </w:pPr>
            <w:r>
              <w:rPr>
                <w:rFonts w:hint="eastAsia"/>
                <w:color w:val="000000" w:themeColor="text1"/>
                <w:kern w:val="0"/>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Merge w:val="continue"/>
            <w:vAlign w:val="center"/>
          </w:tcPr>
          <w:p>
            <w:pPr>
              <w:pStyle w:val="55"/>
              <w:rPr>
                <w:rFonts w:cs="Times New Roman"/>
                <w:color w:val="000000" w:themeColor="text1"/>
                <w:szCs w:val="21"/>
              </w:rPr>
            </w:pPr>
          </w:p>
        </w:tc>
        <w:tc>
          <w:tcPr>
            <w:tcW w:w="567" w:type="dxa"/>
            <w:vMerge w:val="continue"/>
            <w:vAlign w:val="center"/>
          </w:tcPr>
          <w:p>
            <w:pPr>
              <w:pStyle w:val="55"/>
              <w:rPr>
                <w:rFonts w:cs="Times New Roman"/>
                <w:color w:val="000000" w:themeColor="text1"/>
                <w:szCs w:val="21"/>
              </w:rPr>
            </w:pPr>
          </w:p>
        </w:tc>
        <w:tc>
          <w:tcPr>
            <w:tcW w:w="709" w:type="dxa"/>
            <w:vMerge w:val="continue"/>
            <w:vAlign w:val="center"/>
          </w:tcPr>
          <w:p>
            <w:pPr>
              <w:pStyle w:val="55"/>
              <w:rPr>
                <w:rFonts w:cs="Times New Roman"/>
                <w:color w:val="000000" w:themeColor="text1"/>
                <w:szCs w:val="21"/>
              </w:rPr>
            </w:pPr>
          </w:p>
        </w:tc>
        <w:tc>
          <w:tcPr>
            <w:tcW w:w="1134" w:type="dxa"/>
            <w:vAlign w:val="center"/>
          </w:tcPr>
          <w:p>
            <w:pPr>
              <w:pStyle w:val="55"/>
              <w:rPr>
                <w:rFonts w:cs="Times New Roman"/>
                <w:color w:val="000000" w:themeColor="text1"/>
                <w:szCs w:val="21"/>
              </w:rPr>
            </w:pPr>
            <w:r>
              <w:rPr>
                <w:rFonts w:cs="Times New Roman"/>
                <w:color w:val="000000" w:themeColor="text1"/>
                <w:szCs w:val="21"/>
              </w:rPr>
              <w:t>H</w:t>
            </w:r>
            <w:r>
              <w:rPr>
                <w:rFonts w:cs="Times New Roman"/>
                <w:color w:val="000000" w:themeColor="text1"/>
                <w:szCs w:val="21"/>
                <w:vertAlign w:val="subscript"/>
              </w:rPr>
              <w:t>2</w:t>
            </w:r>
            <w:r>
              <w:rPr>
                <w:rFonts w:cs="Times New Roman"/>
                <w:color w:val="000000" w:themeColor="text1"/>
                <w:szCs w:val="21"/>
              </w:rPr>
              <w:t>S</w:t>
            </w:r>
          </w:p>
        </w:tc>
        <w:tc>
          <w:tcPr>
            <w:tcW w:w="850" w:type="dxa"/>
            <w:vAlign w:val="center"/>
          </w:tcPr>
          <w:p>
            <w:pPr>
              <w:pStyle w:val="55"/>
              <w:rPr>
                <w:rFonts w:cs="Times New Roman"/>
                <w:color w:val="000000" w:themeColor="text1"/>
                <w:szCs w:val="21"/>
              </w:rPr>
            </w:pPr>
            <w:r>
              <w:rPr>
                <w:rFonts w:hint="eastAsia" w:cs="Times New Roman"/>
                <w:color w:val="000000" w:themeColor="text1"/>
                <w:szCs w:val="21"/>
              </w:rPr>
              <w:t>1</w:t>
            </w:r>
            <w:r>
              <w:rPr>
                <w:rFonts w:cs="Times New Roman"/>
                <w:color w:val="000000" w:themeColor="text1"/>
                <w:szCs w:val="21"/>
              </w:rPr>
              <w:t>小时</w:t>
            </w:r>
          </w:p>
        </w:tc>
        <w:tc>
          <w:tcPr>
            <w:tcW w:w="1276" w:type="dxa"/>
            <w:vAlign w:val="center"/>
          </w:tcPr>
          <w:p>
            <w:pPr>
              <w:pStyle w:val="55"/>
              <w:rPr>
                <w:rFonts w:cs="Times New Roman"/>
                <w:color w:val="000000" w:themeColor="text1"/>
                <w:szCs w:val="21"/>
              </w:rPr>
            </w:pPr>
            <w:r>
              <w:rPr>
                <w:rFonts w:hint="eastAsia" w:cs="Times New Roman"/>
                <w:color w:val="000000" w:themeColor="text1"/>
                <w:szCs w:val="21"/>
              </w:rPr>
              <w:t>10</w:t>
            </w:r>
          </w:p>
        </w:tc>
        <w:tc>
          <w:tcPr>
            <w:tcW w:w="1276" w:type="dxa"/>
            <w:vAlign w:val="center"/>
          </w:tcPr>
          <w:p>
            <w:pPr>
              <w:pStyle w:val="55"/>
              <w:rPr>
                <w:rFonts w:cs="Times New Roman"/>
                <w:color w:val="000000" w:themeColor="text1"/>
                <w:szCs w:val="21"/>
              </w:rPr>
            </w:pPr>
            <w:r>
              <w:rPr>
                <w:rFonts w:hint="eastAsia" w:cs="Times New Roman"/>
                <w:color w:val="000000" w:themeColor="text1"/>
                <w:szCs w:val="21"/>
              </w:rPr>
              <w:t>4.92~5.92</w:t>
            </w:r>
          </w:p>
        </w:tc>
        <w:tc>
          <w:tcPr>
            <w:tcW w:w="850" w:type="dxa"/>
            <w:vAlign w:val="center"/>
          </w:tcPr>
          <w:p>
            <w:pPr>
              <w:pStyle w:val="55"/>
              <w:rPr>
                <w:rFonts w:cs="Times New Roman"/>
                <w:color w:val="000000" w:themeColor="text1"/>
                <w:szCs w:val="21"/>
              </w:rPr>
            </w:pPr>
            <w:r>
              <w:rPr>
                <w:rFonts w:hint="eastAsia" w:cs="Times New Roman"/>
                <w:color w:val="000000" w:themeColor="text1"/>
                <w:szCs w:val="21"/>
              </w:rPr>
              <w:t>59.2</w:t>
            </w:r>
          </w:p>
        </w:tc>
        <w:tc>
          <w:tcPr>
            <w:tcW w:w="709" w:type="dxa"/>
          </w:tcPr>
          <w:p>
            <w:pPr>
              <w:pStyle w:val="55"/>
              <w:rPr>
                <w:color w:val="000000" w:themeColor="text1"/>
              </w:rPr>
            </w:pPr>
            <w:r>
              <w:rPr>
                <w:rFonts w:hint="eastAsia"/>
                <w:color w:val="000000" w:themeColor="text1"/>
              </w:rPr>
              <w:t>/</w:t>
            </w:r>
          </w:p>
        </w:tc>
        <w:tc>
          <w:tcPr>
            <w:tcW w:w="851" w:type="dxa"/>
            <w:vAlign w:val="center"/>
          </w:tcPr>
          <w:p>
            <w:pPr>
              <w:pStyle w:val="55"/>
              <w:rPr>
                <w:color w:val="000000" w:themeColor="text1"/>
                <w:kern w:val="0"/>
              </w:rPr>
            </w:pPr>
            <w:r>
              <w:rPr>
                <w:rFonts w:hint="eastAsia"/>
                <w:color w:val="000000" w:themeColor="text1"/>
                <w:kern w:val="0"/>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Merge w:val="continue"/>
            <w:vAlign w:val="center"/>
          </w:tcPr>
          <w:p>
            <w:pPr>
              <w:pStyle w:val="55"/>
              <w:rPr>
                <w:rFonts w:cs="Times New Roman"/>
                <w:color w:val="000000" w:themeColor="text1"/>
                <w:szCs w:val="21"/>
              </w:rPr>
            </w:pPr>
          </w:p>
        </w:tc>
        <w:tc>
          <w:tcPr>
            <w:tcW w:w="567" w:type="dxa"/>
            <w:vMerge w:val="continue"/>
            <w:vAlign w:val="center"/>
          </w:tcPr>
          <w:p>
            <w:pPr>
              <w:pStyle w:val="55"/>
              <w:rPr>
                <w:rFonts w:cs="Times New Roman"/>
                <w:color w:val="000000" w:themeColor="text1"/>
                <w:szCs w:val="21"/>
              </w:rPr>
            </w:pPr>
          </w:p>
        </w:tc>
        <w:tc>
          <w:tcPr>
            <w:tcW w:w="709" w:type="dxa"/>
            <w:vMerge w:val="continue"/>
            <w:vAlign w:val="center"/>
          </w:tcPr>
          <w:p>
            <w:pPr>
              <w:pStyle w:val="55"/>
              <w:rPr>
                <w:rFonts w:cs="Times New Roman"/>
                <w:color w:val="000000" w:themeColor="text1"/>
                <w:szCs w:val="21"/>
              </w:rPr>
            </w:pPr>
          </w:p>
        </w:tc>
        <w:tc>
          <w:tcPr>
            <w:tcW w:w="1134" w:type="dxa"/>
            <w:vAlign w:val="center"/>
          </w:tcPr>
          <w:p>
            <w:pPr>
              <w:pStyle w:val="55"/>
              <w:rPr>
                <w:rFonts w:cs="Times New Roman"/>
                <w:color w:val="000000" w:themeColor="text1"/>
                <w:szCs w:val="21"/>
              </w:rPr>
            </w:pPr>
            <w:r>
              <w:rPr>
                <w:rFonts w:cs="Times New Roman"/>
                <w:color w:val="000000" w:themeColor="text1"/>
                <w:szCs w:val="21"/>
              </w:rPr>
              <w:t>臭气浓度</w:t>
            </w:r>
          </w:p>
        </w:tc>
        <w:tc>
          <w:tcPr>
            <w:tcW w:w="850" w:type="dxa"/>
            <w:vAlign w:val="center"/>
          </w:tcPr>
          <w:p>
            <w:pPr>
              <w:pStyle w:val="55"/>
              <w:rPr>
                <w:rFonts w:cs="Times New Roman"/>
                <w:color w:val="000000" w:themeColor="text1"/>
                <w:szCs w:val="21"/>
              </w:rPr>
            </w:pPr>
            <w:r>
              <w:rPr>
                <w:rFonts w:hint="eastAsia" w:cs="Times New Roman"/>
                <w:color w:val="000000" w:themeColor="text1"/>
                <w:szCs w:val="21"/>
              </w:rPr>
              <w:t>/</w:t>
            </w:r>
          </w:p>
        </w:tc>
        <w:tc>
          <w:tcPr>
            <w:tcW w:w="1276" w:type="dxa"/>
            <w:vAlign w:val="center"/>
          </w:tcPr>
          <w:p>
            <w:pPr>
              <w:pStyle w:val="55"/>
              <w:rPr>
                <w:rFonts w:cs="Times New Roman"/>
                <w:color w:val="000000" w:themeColor="text1"/>
                <w:szCs w:val="21"/>
              </w:rPr>
            </w:pPr>
            <w:r>
              <w:rPr>
                <w:rFonts w:hint="eastAsia" w:cs="Times New Roman"/>
                <w:color w:val="000000" w:themeColor="text1"/>
                <w:szCs w:val="21"/>
              </w:rPr>
              <w:t>20（无量纲）</w:t>
            </w:r>
          </w:p>
        </w:tc>
        <w:tc>
          <w:tcPr>
            <w:tcW w:w="1276" w:type="dxa"/>
            <w:vAlign w:val="center"/>
          </w:tcPr>
          <w:p>
            <w:pPr>
              <w:pStyle w:val="55"/>
              <w:rPr>
                <w:rFonts w:cs="Times New Roman"/>
                <w:color w:val="000000" w:themeColor="text1"/>
                <w:szCs w:val="21"/>
              </w:rPr>
            </w:pPr>
            <w:r>
              <w:rPr>
                <w:rFonts w:hint="eastAsia" w:cs="Times New Roman"/>
                <w:color w:val="000000" w:themeColor="text1"/>
                <w:szCs w:val="21"/>
              </w:rPr>
              <w:t>16~19</w:t>
            </w:r>
          </w:p>
        </w:tc>
        <w:tc>
          <w:tcPr>
            <w:tcW w:w="850" w:type="dxa"/>
            <w:vAlign w:val="center"/>
          </w:tcPr>
          <w:p>
            <w:pPr>
              <w:pStyle w:val="55"/>
              <w:rPr>
                <w:rFonts w:cs="Times New Roman"/>
                <w:color w:val="000000" w:themeColor="text1"/>
                <w:szCs w:val="21"/>
              </w:rPr>
            </w:pPr>
            <w:r>
              <w:rPr>
                <w:rFonts w:hint="eastAsia" w:cs="Times New Roman"/>
                <w:color w:val="000000" w:themeColor="text1"/>
                <w:szCs w:val="21"/>
              </w:rPr>
              <w:t>95</w:t>
            </w:r>
          </w:p>
        </w:tc>
        <w:tc>
          <w:tcPr>
            <w:tcW w:w="709" w:type="dxa"/>
          </w:tcPr>
          <w:p>
            <w:pPr>
              <w:pStyle w:val="55"/>
              <w:rPr>
                <w:color w:val="000000" w:themeColor="text1"/>
              </w:rPr>
            </w:pPr>
            <w:r>
              <w:rPr>
                <w:rFonts w:hint="eastAsia"/>
                <w:color w:val="000000" w:themeColor="text1"/>
              </w:rPr>
              <w:t>/</w:t>
            </w:r>
          </w:p>
        </w:tc>
        <w:tc>
          <w:tcPr>
            <w:tcW w:w="851" w:type="dxa"/>
            <w:vAlign w:val="center"/>
          </w:tcPr>
          <w:p>
            <w:pPr>
              <w:pStyle w:val="55"/>
              <w:rPr>
                <w:color w:val="000000" w:themeColor="text1"/>
                <w:kern w:val="0"/>
              </w:rPr>
            </w:pPr>
            <w:r>
              <w:rPr>
                <w:rFonts w:hint="eastAsia"/>
                <w:color w:val="000000" w:themeColor="text1"/>
                <w:kern w:val="0"/>
              </w:rPr>
              <w:t>达标</w:t>
            </w:r>
          </w:p>
        </w:tc>
      </w:tr>
    </w:tbl>
    <w:p>
      <w:pPr>
        <w:ind w:firstLine="480"/>
        <w:rPr>
          <w:color w:val="000000" w:themeColor="text1"/>
        </w:rPr>
      </w:pPr>
      <w:r>
        <w:rPr>
          <w:rFonts w:hint="eastAsia"/>
          <w:color w:val="000000" w:themeColor="text1"/>
        </w:rPr>
        <w:t>3、环境空气质量现状评价小结</w:t>
      </w:r>
    </w:p>
    <w:p>
      <w:pPr>
        <w:ind w:firstLine="480"/>
        <w:rPr>
          <w:color w:val="000000" w:themeColor="text1"/>
          <w:kern w:val="0"/>
        </w:rPr>
      </w:pPr>
      <w:r>
        <w:rPr>
          <w:rFonts w:hint="eastAsia"/>
          <w:color w:val="000000" w:themeColor="text1"/>
          <w:kern w:val="0"/>
        </w:rPr>
        <w:t>（</w:t>
      </w:r>
      <w:r>
        <w:rPr>
          <w:color w:val="000000" w:themeColor="text1"/>
          <w:kern w:val="0"/>
        </w:rPr>
        <w:t>1</w:t>
      </w:r>
      <w:r>
        <w:rPr>
          <w:rFonts w:hint="eastAsia"/>
          <w:color w:val="000000" w:themeColor="text1"/>
          <w:kern w:val="0"/>
        </w:rPr>
        <w:t>）基本污染物</w:t>
      </w:r>
    </w:p>
    <w:p>
      <w:pPr>
        <w:ind w:firstLine="480"/>
        <w:rPr>
          <w:bCs/>
          <w:color w:val="000000" w:themeColor="text1"/>
          <w:kern w:val="0"/>
        </w:rPr>
      </w:pPr>
      <w:r>
        <w:rPr>
          <w:rFonts w:hint="eastAsia"/>
          <w:color w:val="000000" w:themeColor="text1"/>
        </w:rPr>
        <w:t>根据</w:t>
      </w:r>
      <w:r>
        <w:rPr>
          <w:rFonts w:hint="eastAsia"/>
          <w:bCs/>
          <w:color w:val="000000" w:themeColor="text1"/>
          <w:kern w:val="0"/>
        </w:rPr>
        <w:t>《</w:t>
      </w:r>
      <w:r>
        <w:rPr>
          <w:rFonts w:hint="eastAsia"/>
          <w:color w:val="000000" w:themeColor="text1"/>
        </w:rPr>
        <w:t>文山州</w:t>
      </w:r>
      <w:r>
        <w:rPr>
          <w:color w:val="000000" w:themeColor="text1"/>
        </w:rPr>
        <w:t>201</w:t>
      </w:r>
      <w:r>
        <w:rPr>
          <w:rFonts w:hint="eastAsia"/>
          <w:color w:val="000000" w:themeColor="text1"/>
        </w:rPr>
        <w:t>9年环境状况公报</w:t>
      </w:r>
      <w:r>
        <w:rPr>
          <w:rFonts w:hint="eastAsia"/>
          <w:bCs/>
          <w:color w:val="000000" w:themeColor="text1"/>
          <w:kern w:val="0"/>
        </w:rPr>
        <w:t>》监测结果</w:t>
      </w:r>
      <w:r>
        <w:rPr>
          <w:rFonts w:hint="eastAsia"/>
          <w:color w:val="000000" w:themeColor="text1"/>
        </w:rPr>
        <w:t>，砚山县环境空气年评价结果均能满足《环境空气质量标准》（</w:t>
      </w:r>
      <w:r>
        <w:rPr>
          <w:color w:val="000000" w:themeColor="text1"/>
        </w:rPr>
        <w:t>GB3095-2012</w:t>
      </w:r>
      <w:r>
        <w:rPr>
          <w:rFonts w:hint="eastAsia"/>
          <w:color w:val="000000" w:themeColor="text1"/>
        </w:rPr>
        <w:t>）二级标准限值，可判断砚山县区域为达标区。</w:t>
      </w:r>
    </w:p>
    <w:p>
      <w:pPr>
        <w:ind w:firstLine="480"/>
        <w:rPr>
          <w:color w:val="000000" w:themeColor="text1"/>
          <w:kern w:val="0"/>
        </w:rPr>
      </w:pPr>
      <w:r>
        <w:rPr>
          <w:rFonts w:hint="eastAsia"/>
          <w:color w:val="000000" w:themeColor="text1"/>
          <w:kern w:val="0"/>
        </w:rPr>
        <w:t>（</w:t>
      </w:r>
      <w:r>
        <w:rPr>
          <w:color w:val="000000" w:themeColor="text1"/>
          <w:kern w:val="0"/>
        </w:rPr>
        <w:t>2</w:t>
      </w:r>
      <w:r>
        <w:rPr>
          <w:rFonts w:hint="eastAsia"/>
          <w:color w:val="000000" w:themeColor="text1"/>
          <w:kern w:val="0"/>
        </w:rPr>
        <w:t>）其他污染物</w:t>
      </w:r>
    </w:p>
    <w:p>
      <w:pPr>
        <w:ind w:firstLine="480"/>
        <w:rPr>
          <w:bCs/>
          <w:color w:val="000000" w:themeColor="text1"/>
          <w:kern w:val="0"/>
        </w:rPr>
      </w:pPr>
      <w:r>
        <w:rPr>
          <w:rFonts w:hint="eastAsia"/>
          <w:color w:val="000000" w:themeColor="text1"/>
          <w:kern w:val="0"/>
        </w:rPr>
        <w:t>由表4.1.1-2可知，项目所在地</w:t>
      </w:r>
      <w:r>
        <w:rPr>
          <w:color w:val="000000" w:themeColor="text1"/>
          <w:kern w:val="0"/>
        </w:rPr>
        <w:t>2</w:t>
      </w:r>
      <w:r>
        <w:rPr>
          <w:rFonts w:hint="eastAsia"/>
          <w:color w:val="000000" w:themeColor="text1"/>
          <w:kern w:val="0"/>
        </w:rPr>
        <w:t>个监测点的</w:t>
      </w:r>
      <w:r>
        <w:rPr>
          <w:color w:val="000000" w:themeColor="text1"/>
          <w:szCs w:val="24"/>
        </w:rPr>
        <w:t>NH</w:t>
      </w:r>
      <w:r>
        <w:rPr>
          <w:color w:val="000000" w:themeColor="text1"/>
          <w:szCs w:val="24"/>
          <w:vertAlign w:val="subscript"/>
        </w:rPr>
        <w:t>3</w:t>
      </w:r>
      <w:r>
        <w:rPr>
          <w:rFonts w:hint="eastAsia"/>
          <w:color w:val="000000" w:themeColor="text1"/>
          <w:szCs w:val="24"/>
        </w:rPr>
        <w:t>、</w:t>
      </w:r>
      <w:r>
        <w:rPr>
          <w:color w:val="000000" w:themeColor="text1"/>
          <w:szCs w:val="24"/>
        </w:rPr>
        <w:t>H</w:t>
      </w:r>
      <w:r>
        <w:rPr>
          <w:color w:val="000000" w:themeColor="text1"/>
          <w:szCs w:val="24"/>
          <w:vertAlign w:val="subscript"/>
        </w:rPr>
        <w:t>2</w:t>
      </w:r>
      <w:r>
        <w:rPr>
          <w:color w:val="000000" w:themeColor="text1"/>
          <w:szCs w:val="24"/>
        </w:rPr>
        <w:t>S</w:t>
      </w:r>
      <w:r>
        <w:rPr>
          <w:rFonts w:hint="eastAsia"/>
          <w:color w:val="000000" w:themeColor="text1"/>
          <w:kern w:val="0"/>
        </w:rPr>
        <w:t>、臭气浓度，在</w:t>
      </w:r>
      <w:r>
        <w:rPr>
          <w:color w:val="000000" w:themeColor="text1"/>
          <w:kern w:val="0"/>
        </w:rPr>
        <w:t xml:space="preserve"> 20</w:t>
      </w:r>
      <w:r>
        <w:rPr>
          <w:rFonts w:hint="eastAsia"/>
          <w:color w:val="000000" w:themeColor="text1"/>
          <w:kern w:val="0"/>
        </w:rPr>
        <w:t>20</w:t>
      </w:r>
      <w:r>
        <w:rPr>
          <w:color w:val="000000" w:themeColor="text1"/>
          <w:kern w:val="0"/>
        </w:rPr>
        <w:t>.</w:t>
      </w:r>
      <w:r>
        <w:rPr>
          <w:rFonts w:hint="eastAsia"/>
          <w:color w:val="000000" w:themeColor="text1"/>
          <w:kern w:val="0"/>
        </w:rPr>
        <w:t>05</w:t>
      </w:r>
      <w:r>
        <w:rPr>
          <w:color w:val="000000" w:themeColor="text1"/>
          <w:kern w:val="0"/>
        </w:rPr>
        <w:t>.</w:t>
      </w:r>
      <w:r>
        <w:rPr>
          <w:rFonts w:hint="eastAsia"/>
          <w:color w:val="000000" w:themeColor="text1"/>
          <w:kern w:val="0"/>
        </w:rPr>
        <w:t>09～</w:t>
      </w:r>
      <w:r>
        <w:rPr>
          <w:color w:val="000000" w:themeColor="text1"/>
          <w:kern w:val="0"/>
        </w:rPr>
        <w:t>20</w:t>
      </w:r>
      <w:r>
        <w:rPr>
          <w:rFonts w:hint="eastAsia"/>
          <w:color w:val="000000" w:themeColor="text1"/>
          <w:kern w:val="0"/>
        </w:rPr>
        <w:t>20</w:t>
      </w:r>
      <w:r>
        <w:rPr>
          <w:color w:val="000000" w:themeColor="text1"/>
          <w:kern w:val="0"/>
        </w:rPr>
        <w:t>.</w:t>
      </w:r>
      <w:r>
        <w:rPr>
          <w:rFonts w:hint="eastAsia"/>
          <w:color w:val="000000" w:themeColor="text1"/>
          <w:kern w:val="0"/>
        </w:rPr>
        <w:t>05</w:t>
      </w:r>
      <w:r>
        <w:rPr>
          <w:color w:val="000000" w:themeColor="text1"/>
          <w:kern w:val="0"/>
        </w:rPr>
        <w:t>.</w:t>
      </w:r>
      <w:r>
        <w:rPr>
          <w:rFonts w:hint="eastAsia"/>
          <w:color w:val="000000" w:themeColor="text1"/>
          <w:kern w:val="0"/>
        </w:rPr>
        <w:t>15</w:t>
      </w:r>
      <w:r>
        <w:rPr>
          <w:color w:val="000000" w:themeColor="text1"/>
          <w:kern w:val="0"/>
        </w:rPr>
        <w:t xml:space="preserve"> </w:t>
      </w:r>
      <w:r>
        <w:rPr>
          <w:rFonts w:hint="eastAsia"/>
          <w:color w:val="000000" w:themeColor="text1"/>
          <w:kern w:val="0"/>
        </w:rPr>
        <w:t>监测时段内，</w:t>
      </w:r>
      <w:r>
        <w:rPr>
          <w:rFonts w:cs="Times New Roman"/>
          <w:color w:val="000000" w:themeColor="text1"/>
          <w:szCs w:val="24"/>
        </w:rPr>
        <w:t>NH</w:t>
      </w:r>
      <w:r>
        <w:rPr>
          <w:rFonts w:cs="Times New Roman"/>
          <w:color w:val="000000" w:themeColor="text1"/>
          <w:szCs w:val="24"/>
          <w:vertAlign w:val="subscript"/>
        </w:rPr>
        <w:t>3</w:t>
      </w:r>
      <w:r>
        <w:rPr>
          <w:rFonts w:hAnsi="宋体" w:cs="Times New Roman"/>
          <w:color w:val="000000" w:themeColor="text1"/>
          <w:szCs w:val="24"/>
        </w:rPr>
        <w:t>和</w:t>
      </w:r>
      <w:r>
        <w:rPr>
          <w:rFonts w:cs="Times New Roman"/>
          <w:color w:val="000000" w:themeColor="text1"/>
          <w:szCs w:val="24"/>
        </w:rPr>
        <w:t>H</w:t>
      </w:r>
      <w:r>
        <w:rPr>
          <w:rFonts w:cs="Times New Roman"/>
          <w:color w:val="000000" w:themeColor="text1"/>
          <w:szCs w:val="24"/>
          <w:vertAlign w:val="subscript"/>
        </w:rPr>
        <w:t>2</w:t>
      </w:r>
      <w:r>
        <w:rPr>
          <w:rFonts w:cs="Times New Roman"/>
          <w:color w:val="000000" w:themeColor="text1"/>
          <w:szCs w:val="24"/>
        </w:rPr>
        <w:t>S</w:t>
      </w:r>
      <w:r>
        <w:rPr>
          <w:rFonts w:hint="eastAsia" w:hAnsi="宋体" w:cs="Times New Roman"/>
          <w:color w:val="000000" w:themeColor="text1"/>
          <w:szCs w:val="24"/>
        </w:rPr>
        <w:t>可满足</w:t>
      </w:r>
      <w:r>
        <w:rPr>
          <w:rFonts w:hAnsi="宋体" w:cs="Times New Roman"/>
          <w:color w:val="000000" w:themeColor="text1"/>
          <w:szCs w:val="24"/>
        </w:rPr>
        <w:t>《环境影响评价技术导则</w:t>
      </w:r>
      <w:r>
        <w:rPr>
          <w:rFonts w:cs="Times New Roman"/>
          <w:color w:val="000000" w:themeColor="text1"/>
          <w:szCs w:val="24"/>
        </w:rPr>
        <w:t xml:space="preserve">  </w:t>
      </w:r>
      <w:r>
        <w:rPr>
          <w:rFonts w:hAnsi="宋体" w:cs="Times New Roman"/>
          <w:color w:val="000000" w:themeColor="text1"/>
          <w:szCs w:val="24"/>
        </w:rPr>
        <w:t>大气环境》（</w:t>
      </w:r>
      <w:r>
        <w:rPr>
          <w:rFonts w:cs="Times New Roman"/>
          <w:color w:val="000000" w:themeColor="text1"/>
          <w:szCs w:val="24"/>
        </w:rPr>
        <w:t>HJ2.2</w:t>
      </w:r>
      <w:r>
        <w:rPr>
          <w:rFonts w:hAnsi="宋体" w:cs="Times New Roman"/>
          <w:color w:val="000000" w:themeColor="text1"/>
          <w:szCs w:val="24"/>
        </w:rPr>
        <w:t>－</w:t>
      </w:r>
      <w:r>
        <w:rPr>
          <w:rFonts w:cs="Times New Roman"/>
          <w:color w:val="000000" w:themeColor="text1"/>
          <w:szCs w:val="24"/>
        </w:rPr>
        <w:t>2018</w:t>
      </w:r>
      <w:r>
        <w:rPr>
          <w:rFonts w:hAnsi="宋体" w:cs="Times New Roman"/>
          <w:color w:val="000000" w:themeColor="text1"/>
          <w:szCs w:val="24"/>
        </w:rPr>
        <w:t>）附录</w:t>
      </w:r>
      <w:r>
        <w:rPr>
          <w:rFonts w:cs="Times New Roman"/>
          <w:color w:val="000000" w:themeColor="text1"/>
          <w:szCs w:val="24"/>
        </w:rPr>
        <w:t>D</w:t>
      </w:r>
      <w:r>
        <w:rPr>
          <w:rFonts w:hAnsi="宋体" w:cs="Times New Roman"/>
          <w:color w:val="000000" w:themeColor="text1"/>
          <w:szCs w:val="24"/>
        </w:rPr>
        <w:t>表</w:t>
      </w:r>
      <w:r>
        <w:rPr>
          <w:rFonts w:cs="Times New Roman"/>
          <w:color w:val="000000" w:themeColor="text1"/>
          <w:szCs w:val="24"/>
        </w:rPr>
        <w:t>D.1</w:t>
      </w:r>
      <w:r>
        <w:rPr>
          <w:rFonts w:hAnsi="宋体" w:cs="Times New Roman"/>
          <w:color w:val="000000" w:themeColor="text1"/>
          <w:szCs w:val="24"/>
        </w:rPr>
        <w:t>标准</w:t>
      </w:r>
      <w:r>
        <w:rPr>
          <w:rFonts w:hint="eastAsia"/>
          <w:bCs/>
          <w:color w:val="000000" w:themeColor="text1"/>
          <w:kern w:val="0"/>
        </w:rPr>
        <w:t>，臭气浓度满足</w:t>
      </w:r>
      <w:r>
        <w:rPr>
          <w:rFonts w:hint="eastAsia"/>
          <w:color w:val="000000" w:themeColor="text1"/>
          <w:kern w:val="0"/>
          <w:szCs w:val="24"/>
        </w:rPr>
        <w:t>《恶臭污染物排放标准》表</w:t>
      </w:r>
      <w:r>
        <w:rPr>
          <w:color w:val="000000" w:themeColor="text1"/>
          <w:kern w:val="0"/>
          <w:szCs w:val="24"/>
        </w:rPr>
        <w:t>1</w:t>
      </w:r>
      <w:r>
        <w:rPr>
          <w:rFonts w:hint="eastAsia"/>
          <w:color w:val="000000" w:themeColor="text1"/>
          <w:kern w:val="0"/>
          <w:szCs w:val="24"/>
        </w:rPr>
        <w:t>中的二级标准限值</w:t>
      </w:r>
      <w:r>
        <w:rPr>
          <w:rFonts w:hint="eastAsia"/>
          <w:bCs/>
          <w:color w:val="000000" w:themeColor="text1"/>
          <w:kern w:val="0"/>
        </w:rPr>
        <w:t>。</w:t>
      </w:r>
    </w:p>
    <w:p>
      <w:pPr>
        <w:ind w:firstLine="480"/>
        <w:rPr>
          <w:color w:val="000000" w:themeColor="text1"/>
          <w:kern w:val="0"/>
          <w:szCs w:val="24"/>
        </w:rPr>
      </w:pPr>
      <w:r>
        <w:rPr>
          <w:rFonts w:hint="eastAsia"/>
          <w:bCs/>
          <w:color w:val="000000" w:themeColor="text1"/>
          <w:kern w:val="0"/>
        </w:rPr>
        <w:t>综上所述，项目所在区域环境空气质量良好。</w:t>
      </w:r>
    </w:p>
    <w:p>
      <w:pPr>
        <w:pStyle w:val="3"/>
        <w:rPr>
          <w:color w:val="000000" w:themeColor="text1"/>
        </w:rPr>
      </w:pPr>
      <w:bookmarkStart w:id="101" w:name="_Toc47375845"/>
      <w:r>
        <w:rPr>
          <w:rFonts w:hint="eastAsia"/>
          <w:color w:val="000000" w:themeColor="text1"/>
        </w:rPr>
        <w:t>4.2地表水质量现状监测与评价</w:t>
      </w:r>
      <w:bookmarkEnd w:id="101"/>
    </w:p>
    <w:p>
      <w:pPr>
        <w:ind w:firstLine="480"/>
        <w:rPr>
          <w:color w:val="000000" w:themeColor="text1"/>
          <w:shd w:val="clear" w:color="auto" w:fill="FFFFFF"/>
        </w:rPr>
      </w:pPr>
      <w:r>
        <w:rPr>
          <w:rFonts w:hint="eastAsia"/>
          <w:color w:val="000000" w:themeColor="text1"/>
        </w:rPr>
        <w:t>项目附近无河流，距项目区最近的地表水体为听湖水库。听湖水库分布于项目区东南侧约3175</w:t>
      </w:r>
      <w:r>
        <w:rPr>
          <w:color w:val="000000" w:themeColor="text1"/>
        </w:rPr>
        <w:t>m</w:t>
      </w:r>
      <w:r>
        <w:rPr>
          <w:rFonts w:hint="eastAsia"/>
          <w:color w:val="000000" w:themeColor="text1"/>
        </w:rPr>
        <w:t>处，</w:t>
      </w:r>
      <w:r>
        <w:rPr>
          <w:rFonts w:hint="eastAsia"/>
          <w:color w:val="000000" w:themeColor="text1"/>
          <w:shd w:val="clear" w:color="auto" w:fill="FFFFFF"/>
        </w:rPr>
        <w:t>根据《云南省地表水水功能区划》（</w:t>
      </w:r>
      <w:r>
        <w:rPr>
          <w:color w:val="000000" w:themeColor="text1"/>
          <w:shd w:val="clear" w:color="auto" w:fill="FFFFFF"/>
        </w:rPr>
        <w:t>2010-2020</w:t>
      </w:r>
      <w:r>
        <w:rPr>
          <w:rFonts w:hint="eastAsia"/>
          <w:color w:val="000000" w:themeColor="text1"/>
          <w:shd w:val="clear" w:color="auto" w:fill="FFFFFF"/>
        </w:rPr>
        <w:t>），听湖水库水环境功能为工业用水、农业用水</w:t>
      </w:r>
      <w:r>
        <w:rPr>
          <w:rFonts w:hint="eastAsia"/>
          <w:color w:val="000000" w:themeColor="text1"/>
        </w:rPr>
        <w:t>，执行Ⅲ类水质标准</w:t>
      </w:r>
      <w:r>
        <w:rPr>
          <w:rFonts w:hint="eastAsia"/>
          <w:color w:val="000000" w:themeColor="text1"/>
          <w:shd w:val="clear" w:color="auto" w:fill="FFFFFF"/>
        </w:rPr>
        <w:t>。</w:t>
      </w:r>
    </w:p>
    <w:p>
      <w:pPr>
        <w:ind w:firstLine="480"/>
        <w:rPr>
          <w:color w:val="000000" w:themeColor="text1"/>
        </w:rPr>
      </w:pPr>
      <w:r>
        <w:rPr>
          <w:rFonts w:hint="eastAsia"/>
          <w:color w:val="000000" w:themeColor="text1"/>
        </w:rPr>
        <w:t>听湖水库地表水水质引用砚山县环境监测站</w:t>
      </w:r>
      <w:r>
        <w:rPr>
          <w:color w:val="000000" w:themeColor="text1"/>
        </w:rPr>
        <w:t>2018</w:t>
      </w:r>
      <w:r>
        <w:rPr>
          <w:rFonts w:hint="eastAsia"/>
          <w:color w:val="000000" w:themeColor="text1"/>
        </w:rPr>
        <w:t>年</w:t>
      </w:r>
      <w:r>
        <w:rPr>
          <w:color w:val="000000" w:themeColor="text1"/>
        </w:rPr>
        <w:t>2</w:t>
      </w:r>
      <w:r>
        <w:rPr>
          <w:rFonts w:hint="eastAsia"/>
          <w:color w:val="000000" w:themeColor="text1"/>
        </w:rPr>
        <w:t>月（砚环监字〔</w:t>
      </w:r>
      <w:r>
        <w:rPr>
          <w:color w:val="000000" w:themeColor="text1"/>
        </w:rPr>
        <w:t>2018</w:t>
      </w:r>
      <w:r>
        <w:rPr>
          <w:rFonts w:hint="eastAsia"/>
          <w:color w:val="000000" w:themeColor="text1"/>
        </w:rPr>
        <w:t>〕</w:t>
      </w:r>
      <w:r>
        <w:rPr>
          <w:color w:val="000000" w:themeColor="text1"/>
        </w:rPr>
        <w:t>-009</w:t>
      </w:r>
      <w:r>
        <w:rPr>
          <w:rFonts w:hint="eastAsia"/>
          <w:color w:val="000000" w:themeColor="text1"/>
        </w:rPr>
        <w:t>号）监测数据进行分析，监测结果见表4.</w:t>
      </w:r>
      <w:r>
        <w:rPr>
          <w:color w:val="000000" w:themeColor="text1"/>
        </w:rPr>
        <w:t>2-1</w:t>
      </w:r>
      <w:r>
        <w:rPr>
          <w:rFonts w:hint="eastAsia"/>
          <w:color w:val="000000" w:themeColor="text1"/>
        </w:rPr>
        <w:t>。</w:t>
      </w:r>
    </w:p>
    <w:p>
      <w:pPr>
        <w:pStyle w:val="54"/>
        <w:rPr>
          <w:color w:val="000000" w:themeColor="text1"/>
        </w:rPr>
      </w:pPr>
      <w:r>
        <w:rPr>
          <w:rFonts w:hint="eastAsia"/>
          <w:color w:val="000000" w:themeColor="text1"/>
        </w:rPr>
        <w:t>表4</w:t>
      </w:r>
      <w:r>
        <w:rPr>
          <w:color w:val="000000" w:themeColor="text1"/>
        </w:rPr>
        <w:t xml:space="preserve">.2-1  </w:t>
      </w:r>
      <w:r>
        <w:rPr>
          <w:rFonts w:hint="eastAsia"/>
          <w:color w:val="000000" w:themeColor="text1"/>
        </w:rPr>
        <w:t>听湖水库水质监测数据</w:t>
      </w:r>
    </w:p>
    <w:tbl>
      <w:tblPr>
        <w:tblStyle w:val="42"/>
        <w:tblW w:w="81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8"/>
        <w:gridCol w:w="1298"/>
        <w:gridCol w:w="3505"/>
        <w:gridCol w:w="1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94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项目</w:t>
            </w:r>
          </w:p>
        </w:tc>
        <w:tc>
          <w:tcPr>
            <w:tcW w:w="129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检测值</w:t>
            </w:r>
          </w:p>
        </w:tc>
        <w:tc>
          <w:tcPr>
            <w:tcW w:w="35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《地表水环境质量标准》</w:t>
            </w:r>
            <w:r>
              <w:rPr>
                <w:color w:val="000000" w:themeColor="text1"/>
              </w:rPr>
              <w:fldChar w:fldCharType="begin"/>
            </w:r>
            <w:r>
              <w:rPr>
                <w:color w:val="000000" w:themeColor="text1"/>
              </w:rPr>
              <w:instrText xml:space="preserve"> = 3 \* ROMAN </w:instrText>
            </w:r>
            <w:r>
              <w:rPr>
                <w:color w:val="000000" w:themeColor="text1"/>
              </w:rPr>
              <w:fldChar w:fldCharType="separate"/>
            </w:r>
            <w:r>
              <w:rPr>
                <w:color w:val="000000" w:themeColor="text1"/>
              </w:rPr>
              <w:t>III</w:t>
            </w:r>
            <w:r>
              <w:rPr>
                <w:color w:val="000000" w:themeColor="text1"/>
              </w:rPr>
              <w:fldChar w:fldCharType="end"/>
            </w:r>
            <w:r>
              <w:rPr>
                <w:rFonts w:hint="eastAsia"/>
                <w:color w:val="000000" w:themeColor="text1"/>
              </w:rPr>
              <w:t>类标准</w:t>
            </w:r>
          </w:p>
        </w:tc>
        <w:tc>
          <w:tcPr>
            <w:tcW w:w="136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94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pH</w:t>
            </w:r>
          </w:p>
        </w:tc>
        <w:tc>
          <w:tcPr>
            <w:tcW w:w="129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8.30</w:t>
            </w:r>
          </w:p>
        </w:tc>
        <w:tc>
          <w:tcPr>
            <w:tcW w:w="35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6~9</w:t>
            </w:r>
          </w:p>
        </w:tc>
        <w:tc>
          <w:tcPr>
            <w:tcW w:w="136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94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氨氮</w:t>
            </w:r>
          </w:p>
        </w:tc>
        <w:tc>
          <w:tcPr>
            <w:tcW w:w="129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0.74</w:t>
            </w:r>
          </w:p>
        </w:tc>
        <w:tc>
          <w:tcPr>
            <w:tcW w:w="35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≤1.0</w:t>
            </w:r>
          </w:p>
        </w:tc>
        <w:tc>
          <w:tcPr>
            <w:tcW w:w="136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94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溶解氧</w:t>
            </w:r>
          </w:p>
        </w:tc>
        <w:tc>
          <w:tcPr>
            <w:tcW w:w="129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7.30</w:t>
            </w:r>
          </w:p>
        </w:tc>
        <w:tc>
          <w:tcPr>
            <w:tcW w:w="35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kern w:val="0"/>
              </w:rPr>
              <w:t>≥5</w:t>
            </w:r>
          </w:p>
        </w:tc>
        <w:tc>
          <w:tcPr>
            <w:tcW w:w="136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94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BOD</w:t>
            </w:r>
            <w:r>
              <w:rPr>
                <w:color w:val="000000" w:themeColor="text1"/>
                <w:vertAlign w:val="subscript"/>
              </w:rPr>
              <w:t>5</w:t>
            </w:r>
          </w:p>
        </w:tc>
        <w:tc>
          <w:tcPr>
            <w:tcW w:w="129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2.0</w:t>
            </w:r>
          </w:p>
        </w:tc>
        <w:tc>
          <w:tcPr>
            <w:tcW w:w="35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rPr>
              <w:t>≤4</w:t>
            </w:r>
          </w:p>
        </w:tc>
        <w:tc>
          <w:tcPr>
            <w:tcW w:w="136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94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总磷（以</w:t>
            </w:r>
            <w:r>
              <w:rPr>
                <w:color w:val="000000" w:themeColor="text1"/>
              </w:rPr>
              <w:t>P</w:t>
            </w:r>
            <w:r>
              <w:rPr>
                <w:rFonts w:hint="eastAsia"/>
                <w:color w:val="000000" w:themeColor="text1"/>
              </w:rPr>
              <w:t>计）</w:t>
            </w:r>
          </w:p>
        </w:tc>
        <w:tc>
          <w:tcPr>
            <w:tcW w:w="129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0.06</w:t>
            </w:r>
          </w:p>
        </w:tc>
        <w:tc>
          <w:tcPr>
            <w:tcW w:w="35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≤0.2</w:t>
            </w:r>
            <w:r>
              <w:rPr>
                <w:rFonts w:hint="eastAsia"/>
                <w:color w:val="000000" w:themeColor="text1"/>
              </w:rPr>
              <w:t>（湖、库</w:t>
            </w:r>
            <w:r>
              <w:rPr>
                <w:color w:val="000000" w:themeColor="text1"/>
              </w:rPr>
              <w:t>0.05</w:t>
            </w:r>
            <w:r>
              <w:rPr>
                <w:rFonts w:hint="eastAsia"/>
                <w:color w:val="000000" w:themeColor="text1"/>
              </w:rPr>
              <w:t>）</w:t>
            </w:r>
          </w:p>
        </w:tc>
        <w:tc>
          <w:tcPr>
            <w:tcW w:w="136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94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总氮</w:t>
            </w:r>
          </w:p>
        </w:tc>
        <w:tc>
          <w:tcPr>
            <w:tcW w:w="129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1.76</w:t>
            </w:r>
          </w:p>
        </w:tc>
        <w:tc>
          <w:tcPr>
            <w:tcW w:w="35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≤1.0</w:t>
            </w:r>
          </w:p>
        </w:tc>
        <w:tc>
          <w:tcPr>
            <w:tcW w:w="136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94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氟化物（以</w:t>
            </w:r>
            <w:r>
              <w:rPr>
                <w:color w:val="000000" w:themeColor="text1"/>
              </w:rPr>
              <w:t>F</w:t>
            </w:r>
            <w:r>
              <w:rPr>
                <w:color w:val="000000" w:themeColor="text1"/>
                <w:vertAlign w:val="superscript"/>
              </w:rPr>
              <w:t>-</w:t>
            </w:r>
            <w:r>
              <w:rPr>
                <w:rFonts w:hint="eastAsia"/>
                <w:color w:val="000000" w:themeColor="text1"/>
              </w:rPr>
              <w:t>计）</w:t>
            </w:r>
          </w:p>
        </w:tc>
        <w:tc>
          <w:tcPr>
            <w:tcW w:w="129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0.216</w:t>
            </w:r>
          </w:p>
        </w:tc>
        <w:tc>
          <w:tcPr>
            <w:tcW w:w="35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≤1.0</w:t>
            </w:r>
          </w:p>
        </w:tc>
        <w:tc>
          <w:tcPr>
            <w:tcW w:w="136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94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高锰酸盐指数</w:t>
            </w:r>
          </w:p>
        </w:tc>
        <w:tc>
          <w:tcPr>
            <w:tcW w:w="129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4.7</w:t>
            </w:r>
          </w:p>
        </w:tc>
        <w:tc>
          <w:tcPr>
            <w:tcW w:w="35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≤6</w:t>
            </w:r>
          </w:p>
        </w:tc>
        <w:tc>
          <w:tcPr>
            <w:tcW w:w="136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94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石油类</w:t>
            </w:r>
          </w:p>
        </w:tc>
        <w:tc>
          <w:tcPr>
            <w:tcW w:w="129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0.02</w:t>
            </w:r>
          </w:p>
        </w:tc>
        <w:tc>
          <w:tcPr>
            <w:tcW w:w="35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w:t>
            </w:r>
            <w:r>
              <w:rPr>
                <w:bCs/>
                <w:color w:val="000000" w:themeColor="text1"/>
              </w:rPr>
              <w:t>0.05</w:t>
            </w:r>
          </w:p>
        </w:tc>
        <w:tc>
          <w:tcPr>
            <w:tcW w:w="136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94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阴离子表面活性剂</w:t>
            </w:r>
          </w:p>
        </w:tc>
        <w:tc>
          <w:tcPr>
            <w:tcW w:w="129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0.057</w:t>
            </w:r>
          </w:p>
        </w:tc>
        <w:tc>
          <w:tcPr>
            <w:tcW w:w="35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≤0.2</w:t>
            </w:r>
          </w:p>
        </w:tc>
        <w:tc>
          <w:tcPr>
            <w:tcW w:w="136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达标</w:t>
            </w:r>
          </w:p>
        </w:tc>
      </w:tr>
    </w:tbl>
    <w:p>
      <w:pPr>
        <w:ind w:firstLine="480"/>
        <w:rPr>
          <w:rFonts w:cs="Times New Roman"/>
          <w:color w:val="000000" w:themeColor="text1"/>
        </w:rPr>
      </w:pPr>
      <w:r>
        <w:rPr>
          <w:rFonts w:hint="eastAsia"/>
          <w:color w:val="000000" w:themeColor="text1"/>
        </w:rPr>
        <w:t>根据上表听湖水库水质监测数据分析，除总磷、总氮二项指标无法满足</w:t>
      </w:r>
      <w:r>
        <w:rPr>
          <w:color w:val="000000" w:themeColor="text1"/>
        </w:rPr>
        <w:t>III</w:t>
      </w:r>
      <w:r>
        <w:rPr>
          <w:rFonts w:hint="eastAsia"/>
          <w:color w:val="000000" w:themeColor="text1"/>
        </w:rPr>
        <w:t>类标准外，其他指标均满足《地表水环境质量标准》（</w:t>
      </w:r>
      <w:r>
        <w:rPr>
          <w:color w:val="000000" w:themeColor="text1"/>
        </w:rPr>
        <w:t>GB3838-2002</w:t>
      </w:r>
      <w:r>
        <w:rPr>
          <w:rFonts w:hint="eastAsia"/>
          <w:color w:val="000000" w:themeColor="text1"/>
        </w:rPr>
        <w:t>）</w:t>
      </w:r>
      <w:r>
        <w:rPr>
          <w:color w:val="000000" w:themeColor="text1"/>
        </w:rPr>
        <w:t>III</w:t>
      </w:r>
      <w:r>
        <w:rPr>
          <w:rFonts w:hint="eastAsia"/>
          <w:color w:val="000000" w:themeColor="text1"/>
        </w:rPr>
        <w:t>类标准。听湖水库水质主要受到砚山县城区居民生活面源污染。总体分析，听湖水库地表水环境一般。</w:t>
      </w:r>
    </w:p>
    <w:p>
      <w:pPr>
        <w:pStyle w:val="3"/>
        <w:rPr>
          <w:color w:val="000000" w:themeColor="text1"/>
        </w:rPr>
      </w:pPr>
      <w:bookmarkStart w:id="102" w:name="_Toc47375846"/>
      <w:r>
        <w:rPr>
          <w:rFonts w:hint="eastAsia"/>
          <w:color w:val="000000" w:themeColor="text1"/>
        </w:rPr>
        <w:t>4.3地下水质量现状监测与评价</w:t>
      </w:r>
      <w:bookmarkEnd w:id="102"/>
    </w:p>
    <w:p>
      <w:pPr>
        <w:ind w:firstLine="480"/>
        <w:rPr>
          <w:bCs/>
          <w:color w:val="000000" w:themeColor="text1"/>
          <w:kern w:val="0"/>
        </w:rPr>
      </w:pPr>
      <w:r>
        <w:rPr>
          <w:rFonts w:hint="eastAsia"/>
          <w:bCs/>
          <w:color w:val="000000" w:themeColor="text1"/>
          <w:kern w:val="0"/>
        </w:rPr>
        <w:t>1、引用数据</w:t>
      </w:r>
    </w:p>
    <w:p>
      <w:pPr>
        <w:ind w:firstLine="480"/>
        <w:rPr>
          <w:bCs/>
          <w:color w:val="000000" w:themeColor="text1"/>
          <w:kern w:val="0"/>
        </w:rPr>
      </w:pPr>
      <w:r>
        <w:rPr>
          <w:rFonts w:hint="eastAsia"/>
          <w:bCs/>
          <w:color w:val="000000" w:themeColor="text1"/>
          <w:kern w:val="0"/>
        </w:rPr>
        <w:t>本项目地下水环境敏感点布标村的地下水环境现状监测数据引用《云南宏泰新型材料有限公司年产203万吨电解铝建设项目环境影响报告书》中，云南浩辰环保科技有限公司于2019年11月8日对布标民井水质进行监测的数据，监测时段为枯水期。监测结果详见表4.3-1。</w:t>
      </w:r>
    </w:p>
    <w:p>
      <w:pPr>
        <w:pStyle w:val="54"/>
        <w:rPr>
          <w:color w:val="000000" w:themeColor="text1"/>
        </w:rPr>
      </w:pPr>
      <w:r>
        <w:rPr>
          <w:rFonts w:hint="eastAsia"/>
          <w:color w:val="000000" w:themeColor="text1"/>
        </w:rPr>
        <w:t>表4.3-1  布标民井地下水监测结果   单位：mg/L</w:t>
      </w:r>
    </w:p>
    <w:tbl>
      <w:tblPr>
        <w:tblStyle w:val="43"/>
        <w:tblW w:w="7763"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951"/>
        <w:gridCol w:w="1498"/>
        <w:gridCol w:w="1337"/>
        <w:gridCol w:w="1276"/>
        <w:gridCol w:w="170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1" w:type="dxa"/>
            <w:vAlign w:val="center"/>
          </w:tcPr>
          <w:p>
            <w:pPr>
              <w:pStyle w:val="55"/>
              <w:rPr>
                <w:color w:val="000000" w:themeColor="text1"/>
              </w:rPr>
            </w:pPr>
            <w:r>
              <w:rPr>
                <w:rFonts w:hint="eastAsia"/>
                <w:color w:val="000000" w:themeColor="text1"/>
              </w:rPr>
              <w:t>项目</w:t>
            </w:r>
          </w:p>
        </w:tc>
        <w:tc>
          <w:tcPr>
            <w:tcW w:w="1498" w:type="dxa"/>
            <w:vAlign w:val="center"/>
          </w:tcPr>
          <w:p>
            <w:pPr>
              <w:pStyle w:val="55"/>
              <w:rPr>
                <w:color w:val="000000" w:themeColor="text1"/>
              </w:rPr>
            </w:pPr>
            <w:r>
              <w:rPr>
                <w:rFonts w:hint="eastAsia"/>
                <w:color w:val="000000" w:themeColor="text1"/>
              </w:rPr>
              <w:t>检测值</w:t>
            </w:r>
          </w:p>
        </w:tc>
        <w:tc>
          <w:tcPr>
            <w:tcW w:w="1337" w:type="dxa"/>
            <w:vAlign w:val="center"/>
          </w:tcPr>
          <w:p>
            <w:pPr>
              <w:pStyle w:val="55"/>
              <w:rPr>
                <w:color w:val="000000" w:themeColor="text1"/>
              </w:rPr>
            </w:pPr>
            <w:r>
              <w:rPr>
                <w:rFonts w:hint="eastAsia"/>
                <w:color w:val="000000" w:themeColor="text1"/>
              </w:rPr>
              <w:t>标准值</w:t>
            </w:r>
          </w:p>
        </w:tc>
        <w:tc>
          <w:tcPr>
            <w:tcW w:w="1276" w:type="dxa"/>
            <w:vAlign w:val="center"/>
          </w:tcPr>
          <w:p>
            <w:pPr>
              <w:pStyle w:val="55"/>
              <w:rPr>
                <w:color w:val="000000" w:themeColor="text1"/>
              </w:rPr>
            </w:pPr>
            <w:r>
              <w:rPr>
                <w:rFonts w:hint="eastAsia"/>
                <w:color w:val="000000" w:themeColor="text1"/>
              </w:rPr>
              <w:t>占标率/%</w:t>
            </w:r>
          </w:p>
        </w:tc>
        <w:tc>
          <w:tcPr>
            <w:tcW w:w="1701" w:type="dxa"/>
            <w:vAlign w:val="center"/>
          </w:tcPr>
          <w:p>
            <w:pPr>
              <w:pStyle w:val="55"/>
              <w:rPr>
                <w:color w:val="000000" w:themeColor="text1"/>
              </w:rPr>
            </w:pPr>
            <w:r>
              <w:rPr>
                <w:rFonts w:hint="eastAsia"/>
                <w:color w:val="000000" w:themeColor="text1"/>
              </w:rPr>
              <w:t>达标情况</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1" w:type="dxa"/>
            <w:vAlign w:val="center"/>
          </w:tcPr>
          <w:p>
            <w:pPr>
              <w:pStyle w:val="55"/>
              <w:rPr>
                <w:color w:val="000000" w:themeColor="text1"/>
              </w:rPr>
            </w:pPr>
            <w:r>
              <w:rPr>
                <w:rFonts w:hint="eastAsia"/>
                <w:color w:val="000000" w:themeColor="text1"/>
              </w:rPr>
              <w:t>氨氮</w:t>
            </w:r>
          </w:p>
        </w:tc>
        <w:tc>
          <w:tcPr>
            <w:tcW w:w="1498" w:type="dxa"/>
            <w:vAlign w:val="center"/>
          </w:tcPr>
          <w:p>
            <w:pPr>
              <w:pStyle w:val="55"/>
              <w:rPr>
                <w:color w:val="000000" w:themeColor="text1"/>
              </w:rPr>
            </w:pPr>
            <w:r>
              <w:rPr>
                <w:rFonts w:hint="eastAsia"/>
                <w:color w:val="000000" w:themeColor="text1"/>
              </w:rPr>
              <w:t>0.166</w:t>
            </w:r>
          </w:p>
        </w:tc>
        <w:tc>
          <w:tcPr>
            <w:tcW w:w="1337" w:type="dxa"/>
            <w:vAlign w:val="center"/>
          </w:tcPr>
          <w:p>
            <w:pPr>
              <w:pStyle w:val="55"/>
              <w:rPr>
                <w:color w:val="000000" w:themeColor="text1"/>
              </w:rPr>
            </w:pPr>
            <w:r>
              <w:rPr>
                <w:rFonts w:hint="eastAsia"/>
                <w:color w:val="000000" w:themeColor="text1"/>
              </w:rPr>
              <w:t>≤0.50</w:t>
            </w:r>
          </w:p>
        </w:tc>
        <w:tc>
          <w:tcPr>
            <w:tcW w:w="1276" w:type="dxa"/>
            <w:vAlign w:val="center"/>
          </w:tcPr>
          <w:p>
            <w:pPr>
              <w:pStyle w:val="55"/>
              <w:rPr>
                <w:rFonts w:ascii="宋体" w:hAnsi="宋体" w:cs="宋体"/>
                <w:color w:val="000000" w:themeColor="text1"/>
              </w:rPr>
            </w:pPr>
            <w:r>
              <w:rPr>
                <w:rFonts w:hint="eastAsia"/>
                <w:color w:val="000000" w:themeColor="text1"/>
              </w:rPr>
              <w:t>33.2</w:t>
            </w:r>
          </w:p>
        </w:tc>
        <w:tc>
          <w:tcPr>
            <w:tcW w:w="1701" w:type="dxa"/>
            <w:vAlign w:val="center"/>
          </w:tcPr>
          <w:p>
            <w:pPr>
              <w:pStyle w:val="55"/>
              <w:rPr>
                <w:color w:val="000000" w:themeColor="text1"/>
              </w:rPr>
            </w:pPr>
            <w:r>
              <w:rPr>
                <w:color w:val="000000" w:themeColor="text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1" w:type="dxa"/>
            <w:vAlign w:val="center"/>
          </w:tcPr>
          <w:p>
            <w:pPr>
              <w:pStyle w:val="55"/>
              <w:rPr>
                <w:color w:val="000000" w:themeColor="text1"/>
              </w:rPr>
            </w:pPr>
            <w:r>
              <w:rPr>
                <w:rFonts w:hint="eastAsia"/>
                <w:color w:val="000000" w:themeColor="text1"/>
              </w:rPr>
              <w:t>砷</w:t>
            </w:r>
          </w:p>
        </w:tc>
        <w:tc>
          <w:tcPr>
            <w:tcW w:w="1498" w:type="dxa"/>
            <w:vAlign w:val="center"/>
          </w:tcPr>
          <w:p>
            <w:pPr>
              <w:pStyle w:val="55"/>
              <w:rPr>
                <w:color w:val="000000" w:themeColor="text1"/>
              </w:rPr>
            </w:pPr>
            <w:r>
              <w:rPr>
                <w:rFonts w:hint="eastAsia"/>
                <w:color w:val="000000" w:themeColor="text1"/>
              </w:rPr>
              <w:t>0.0003L</w:t>
            </w:r>
          </w:p>
        </w:tc>
        <w:tc>
          <w:tcPr>
            <w:tcW w:w="1337" w:type="dxa"/>
            <w:vAlign w:val="center"/>
          </w:tcPr>
          <w:p>
            <w:pPr>
              <w:pStyle w:val="55"/>
              <w:rPr>
                <w:color w:val="000000" w:themeColor="text1"/>
              </w:rPr>
            </w:pPr>
            <w:r>
              <w:rPr>
                <w:rFonts w:hint="eastAsia"/>
                <w:color w:val="000000" w:themeColor="text1"/>
              </w:rPr>
              <w:t>≤0.01</w:t>
            </w:r>
          </w:p>
        </w:tc>
        <w:tc>
          <w:tcPr>
            <w:tcW w:w="1276" w:type="dxa"/>
            <w:vAlign w:val="center"/>
          </w:tcPr>
          <w:p>
            <w:pPr>
              <w:pStyle w:val="55"/>
              <w:rPr>
                <w:rFonts w:ascii="宋体" w:hAnsi="宋体" w:cs="宋体"/>
                <w:color w:val="000000" w:themeColor="text1"/>
              </w:rPr>
            </w:pPr>
            <w:r>
              <w:rPr>
                <w:rFonts w:hint="eastAsia"/>
                <w:color w:val="000000" w:themeColor="text1"/>
              </w:rPr>
              <w:t>/</w:t>
            </w:r>
          </w:p>
        </w:tc>
        <w:tc>
          <w:tcPr>
            <w:tcW w:w="1701" w:type="dxa"/>
            <w:vAlign w:val="center"/>
          </w:tcPr>
          <w:p>
            <w:pPr>
              <w:pStyle w:val="55"/>
              <w:rPr>
                <w:color w:val="000000" w:themeColor="text1"/>
              </w:rPr>
            </w:pPr>
            <w:r>
              <w:rPr>
                <w:color w:val="000000" w:themeColor="text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1" w:type="dxa"/>
            <w:vAlign w:val="center"/>
          </w:tcPr>
          <w:p>
            <w:pPr>
              <w:pStyle w:val="55"/>
              <w:rPr>
                <w:color w:val="000000" w:themeColor="text1"/>
              </w:rPr>
            </w:pPr>
            <w:r>
              <w:rPr>
                <w:rFonts w:hint="eastAsia"/>
                <w:color w:val="000000" w:themeColor="text1"/>
              </w:rPr>
              <w:t>汞</w:t>
            </w:r>
          </w:p>
        </w:tc>
        <w:tc>
          <w:tcPr>
            <w:tcW w:w="1498" w:type="dxa"/>
            <w:vAlign w:val="center"/>
          </w:tcPr>
          <w:p>
            <w:pPr>
              <w:pStyle w:val="55"/>
              <w:rPr>
                <w:color w:val="000000" w:themeColor="text1"/>
              </w:rPr>
            </w:pPr>
            <w:r>
              <w:rPr>
                <w:rFonts w:hint="eastAsia"/>
                <w:color w:val="000000" w:themeColor="text1"/>
              </w:rPr>
              <w:t>0.00004L</w:t>
            </w:r>
          </w:p>
        </w:tc>
        <w:tc>
          <w:tcPr>
            <w:tcW w:w="1337" w:type="dxa"/>
            <w:vAlign w:val="center"/>
          </w:tcPr>
          <w:p>
            <w:pPr>
              <w:pStyle w:val="55"/>
              <w:rPr>
                <w:color w:val="000000" w:themeColor="text1"/>
              </w:rPr>
            </w:pPr>
            <w:r>
              <w:rPr>
                <w:rFonts w:hint="eastAsia"/>
                <w:color w:val="000000" w:themeColor="text1"/>
              </w:rPr>
              <w:t>≤0.001</w:t>
            </w:r>
          </w:p>
        </w:tc>
        <w:tc>
          <w:tcPr>
            <w:tcW w:w="1276" w:type="dxa"/>
            <w:vAlign w:val="center"/>
          </w:tcPr>
          <w:p>
            <w:pPr>
              <w:pStyle w:val="55"/>
              <w:rPr>
                <w:rFonts w:ascii="宋体" w:hAnsi="宋体" w:cs="宋体"/>
                <w:color w:val="000000" w:themeColor="text1"/>
              </w:rPr>
            </w:pPr>
            <w:r>
              <w:rPr>
                <w:rFonts w:hint="eastAsia"/>
                <w:color w:val="000000" w:themeColor="text1"/>
              </w:rPr>
              <w:t>/</w:t>
            </w:r>
          </w:p>
        </w:tc>
        <w:tc>
          <w:tcPr>
            <w:tcW w:w="1701" w:type="dxa"/>
            <w:vAlign w:val="center"/>
          </w:tcPr>
          <w:p>
            <w:pPr>
              <w:pStyle w:val="55"/>
              <w:rPr>
                <w:color w:val="000000" w:themeColor="text1"/>
              </w:rPr>
            </w:pPr>
            <w:r>
              <w:rPr>
                <w:color w:val="000000" w:themeColor="text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1" w:type="dxa"/>
            <w:vAlign w:val="center"/>
          </w:tcPr>
          <w:p>
            <w:pPr>
              <w:pStyle w:val="55"/>
              <w:rPr>
                <w:color w:val="000000" w:themeColor="text1"/>
              </w:rPr>
            </w:pPr>
            <w:r>
              <w:rPr>
                <w:rFonts w:hint="eastAsia"/>
                <w:color w:val="000000" w:themeColor="text1"/>
              </w:rPr>
              <w:t>pH（无量纲）</w:t>
            </w:r>
          </w:p>
        </w:tc>
        <w:tc>
          <w:tcPr>
            <w:tcW w:w="1498" w:type="dxa"/>
            <w:vAlign w:val="center"/>
          </w:tcPr>
          <w:p>
            <w:pPr>
              <w:pStyle w:val="55"/>
              <w:rPr>
                <w:color w:val="000000" w:themeColor="text1"/>
              </w:rPr>
            </w:pPr>
            <w:r>
              <w:rPr>
                <w:rFonts w:hint="eastAsia"/>
                <w:color w:val="000000" w:themeColor="text1"/>
              </w:rPr>
              <w:t>8.28</w:t>
            </w:r>
          </w:p>
        </w:tc>
        <w:tc>
          <w:tcPr>
            <w:tcW w:w="1337" w:type="dxa"/>
            <w:vAlign w:val="center"/>
          </w:tcPr>
          <w:p>
            <w:pPr>
              <w:pStyle w:val="55"/>
              <w:rPr>
                <w:color w:val="000000" w:themeColor="text1"/>
              </w:rPr>
            </w:pPr>
            <w:r>
              <w:rPr>
                <w:rFonts w:hint="eastAsia"/>
                <w:color w:val="000000" w:themeColor="text1"/>
              </w:rPr>
              <w:t>6.5~8.5</w:t>
            </w:r>
          </w:p>
        </w:tc>
        <w:tc>
          <w:tcPr>
            <w:tcW w:w="1276" w:type="dxa"/>
            <w:vAlign w:val="center"/>
          </w:tcPr>
          <w:p>
            <w:pPr>
              <w:pStyle w:val="55"/>
              <w:rPr>
                <w:rFonts w:ascii="宋体" w:hAnsi="宋体" w:cs="宋体"/>
                <w:color w:val="000000" w:themeColor="text1"/>
              </w:rPr>
            </w:pPr>
            <w:r>
              <w:rPr>
                <w:rFonts w:hint="eastAsia"/>
                <w:color w:val="000000" w:themeColor="text1"/>
              </w:rPr>
              <w:t>/</w:t>
            </w:r>
          </w:p>
        </w:tc>
        <w:tc>
          <w:tcPr>
            <w:tcW w:w="1701" w:type="dxa"/>
            <w:vAlign w:val="center"/>
          </w:tcPr>
          <w:p>
            <w:pPr>
              <w:pStyle w:val="55"/>
              <w:rPr>
                <w:color w:val="000000" w:themeColor="text1"/>
              </w:rPr>
            </w:pPr>
            <w:r>
              <w:rPr>
                <w:color w:val="000000" w:themeColor="text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1" w:type="dxa"/>
            <w:vAlign w:val="center"/>
          </w:tcPr>
          <w:p>
            <w:pPr>
              <w:pStyle w:val="55"/>
              <w:rPr>
                <w:color w:val="000000" w:themeColor="text1"/>
              </w:rPr>
            </w:pPr>
            <w:r>
              <w:rPr>
                <w:rFonts w:hint="eastAsia"/>
                <w:color w:val="000000" w:themeColor="text1"/>
              </w:rPr>
              <w:t>氟化物</w:t>
            </w:r>
          </w:p>
        </w:tc>
        <w:tc>
          <w:tcPr>
            <w:tcW w:w="1498" w:type="dxa"/>
            <w:vAlign w:val="center"/>
          </w:tcPr>
          <w:p>
            <w:pPr>
              <w:pStyle w:val="55"/>
              <w:rPr>
                <w:color w:val="000000" w:themeColor="text1"/>
              </w:rPr>
            </w:pPr>
            <w:r>
              <w:rPr>
                <w:rFonts w:hint="eastAsia"/>
                <w:color w:val="000000" w:themeColor="text1"/>
              </w:rPr>
              <w:t>0.34</w:t>
            </w:r>
          </w:p>
        </w:tc>
        <w:tc>
          <w:tcPr>
            <w:tcW w:w="1337" w:type="dxa"/>
            <w:vAlign w:val="center"/>
          </w:tcPr>
          <w:p>
            <w:pPr>
              <w:pStyle w:val="55"/>
              <w:rPr>
                <w:color w:val="000000" w:themeColor="text1"/>
              </w:rPr>
            </w:pPr>
            <w:r>
              <w:rPr>
                <w:rFonts w:hint="eastAsia"/>
                <w:color w:val="000000" w:themeColor="text1"/>
              </w:rPr>
              <w:t>≤1.0</w:t>
            </w:r>
          </w:p>
        </w:tc>
        <w:tc>
          <w:tcPr>
            <w:tcW w:w="1276" w:type="dxa"/>
            <w:vAlign w:val="center"/>
          </w:tcPr>
          <w:p>
            <w:pPr>
              <w:pStyle w:val="55"/>
              <w:rPr>
                <w:rFonts w:ascii="宋体" w:hAnsi="宋体" w:cs="宋体"/>
                <w:color w:val="000000" w:themeColor="text1"/>
              </w:rPr>
            </w:pPr>
            <w:r>
              <w:rPr>
                <w:rFonts w:hint="eastAsia"/>
                <w:color w:val="000000" w:themeColor="text1"/>
              </w:rPr>
              <w:t>34</w:t>
            </w:r>
          </w:p>
        </w:tc>
        <w:tc>
          <w:tcPr>
            <w:tcW w:w="1701" w:type="dxa"/>
            <w:vAlign w:val="center"/>
          </w:tcPr>
          <w:p>
            <w:pPr>
              <w:pStyle w:val="55"/>
              <w:rPr>
                <w:color w:val="000000" w:themeColor="text1"/>
              </w:rPr>
            </w:pPr>
            <w:r>
              <w:rPr>
                <w:color w:val="000000" w:themeColor="text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1" w:type="dxa"/>
            <w:vAlign w:val="center"/>
          </w:tcPr>
          <w:p>
            <w:pPr>
              <w:pStyle w:val="55"/>
              <w:rPr>
                <w:color w:val="000000" w:themeColor="text1"/>
              </w:rPr>
            </w:pPr>
            <w:r>
              <w:rPr>
                <w:rFonts w:hint="eastAsia"/>
                <w:color w:val="000000" w:themeColor="text1"/>
              </w:rPr>
              <w:t>六价铬</w:t>
            </w:r>
          </w:p>
        </w:tc>
        <w:tc>
          <w:tcPr>
            <w:tcW w:w="1498" w:type="dxa"/>
            <w:vAlign w:val="center"/>
          </w:tcPr>
          <w:p>
            <w:pPr>
              <w:pStyle w:val="55"/>
              <w:rPr>
                <w:color w:val="000000" w:themeColor="text1"/>
              </w:rPr>
            </w:pPr>
            <w:r>
              <w:rPr>
                <w:rFonts w:hint="eastAsia"/>
                <w:color w:val="000000" w:themeColor="text1"/>
              </w:rPr>
              <w:t>0.004</w:t>
            </w:r>
          </w:p>
        </w:tc>
        <w:tc>
          <w:tcPr>
            <w:tcW w:w="1337" w:type="dxa"/>
            <w:vAlign w:val="center"/>
          </w:tcPr>
          <w:p>
            <w:pPr>
              <w:pStyle w:val="55"/>
              <w:rPr>
                <w:color w:val="000000" w:themeColor="text1"/>
              </w:rPr>
            </w:pPr>
            <w:r>
              <w:rPr>
                <w:rFonts w:hint="eastAsia"/>
                <w:color w:val="000000" w:themeColor="text1"/>
              </w:rPr>
              <w:t>≤0.05</w:t>
            </w:r>
          </w:p>
        </w:tc>
        <w:tc>
          <w:tcPr>
            <w:tcW w:w="1276" w:type="dxa"/>
            <w:vAlign w:val="center"/>
          </w:tcPr>
          <w:p>
            <w:pPr>
              <w:pStyle w:val="55"/>
              <w:rPr>
                <w:rFonts w:ascii="宋体" w:hAnsi="宋体" w:cs="宋体"/>
                <w:color w:val="000000" w:themeColor="text1"/>
              </w:rPr>
            </w:pPr>
            <w:r>
              <w:rPr>
                <w:rFonts w:hint="eastAsia"/>
                <w:color w:val="000000" w:themeColor="text1"/>
              </w:rPr>
              <w:t>8</w:t>
            </w:r>
          </w:p>
        </w:tc>
        <w:tc>
          <w:tcPr>
            <w:tcW w:w="1701" w:type="dxa"/>
            <w:vAlign w:val="center"/>
          </w:tcPr>
          <w:p>
            <w:pPr>
              <w:pStyle w:val="55"/>
              <w:rPr>
                <w:color w:val="000000" w:themeColor="text1"/>
              </w:rPr>
            </w:pPr>
            <w:r>
              <w:rPr>
                <w:color w:val="000000" w:themeColor="text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1" w:type="dxa"/>
            <w:vAlign w:val="center"/>
          </w:tcPr>
          <w:p>
            <w:pPr>
              <w:pStyle w:val="55"/>
              <w:rPr>
                <w:color w:val="000000" w:themeColor="text1"/>
              </w:rPr>
            </w:pPr>
            <w:r>
              <w:rPr>
                <w:rFonts w:hint="eastAsia"/>
                <w:color w:val="000000" w:themeColor="text1"/>
              </w:rPr>
              <w:t>阴离子表面活性剂</w:t>
            </w:r>
          </w:p>
        </w:tc>
        <w:tc>
          <w:tcPr>
            <w:tcW w:w="1498" w:type="dxa"/>
            <w:vAlign w:val="center"/>
          </w:tcPr>
          <w:p>
            <w:pPr>
              <w:pStyle w:val="55"/>
              <w:rPr>
                <w:color w:val="000000" w:themeColor="text1"/>
              </w:rPr>
            </w:pPr>
            <w:r>
              <w:rPr>
                <w:rFonts w:hint="eastAsia"/>
                <w:color w:val="000000" w:themeColor="text1"/>
              </w:rPr>
              <w:t>0.11</w:t>
            </w:r>
          </w:p>
        </w:tc>
        <w:tc>
          <w:tcPr>
            <w:tcW w:w="1337" w:type="dxa"/>
            <w:vAlign w:val="center"/>
          </w:tcPr>
          <w:p>
            <w:pPr>
              <w:pStyle w:val="55"/>
              <w:rPr>
                <w:color w:val="000000" w:themeColor="text1"/>
              </w:rPr>
            </w:pPr>
            <w:r>
              <w:rPr>
                <w:rFonts w:hint="eastAsia"/>
                <w:color w:val="000000" w:themeColor="text1"/>
              </w:rPr>
              <w:t>≤0.30</w:t>
            </w:r>
          </w:p>
        </w:tc>
        <w:tc>
          <w:tcPr>
            <w:tcW w:w="1276" w:type="dxa"/>
            <w:vAlign w:val="center"/>
          </w:tcPr>
          <w:p>
            <w:pPr>
              <w:pStyle w:val="55"/>
              <w:rPr>
                <w:rFonts w:ascii="宋体" w:hAnsi="宋体" w:cs="宋体"/>
                <w:color w:val="000000" w:themeColor="text1"/>
              </w:rPr>
            </w:pPr>
            <w:r>
              <w:rPr>
                <w:rFonts w:hint="eastAsia"/>
                <w:color w:val="000000" w:themeColor="text1"/>
              </w:rPr>
              <w:t>36.67</w:t>
            </w:r>
          </w:p>
        </w:tc>
        <w:tc>
          <w:tcPr>
            <w:tcW w:w="1701" w:type="dxa"/>
            <w:vAlign w:val="center"/>
          </w:tcPr>
          <w:p>
            <w:pPr>
              <w:pStyle w:val="55"/>
              <w:rPr>
                <w:color w:val="000000" w:themeColor="text1"/>
              </w:rPr>
            </w:pPr>
            <w:r>
              <w:rPr>
                <w:color w:val="000000" w:themeColor="text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1" w:type="dxa"/>
            <w:vAlign w:val="center"/>
          </w:tcPr>
          <w:p>
            <w:pPr>
              <w:pStyle w:val="55"/>
              <w:rPr>
                <w:color w:val="000000" w:themeColor="text1"/>
              </w:rPr>
            </w:pPr>
            <w:r>
              <w:rPr>
                <w:rFonts w:hint="eastAsia"/>
                <w:color w:val="000000" w:themeColor="text1"/>
              </w:rPr>
              <w:t>氯化物</w:t>
            </w:r>
          </w:p>
        </w:tc>
        <w:tc>
          <w:tcPr>
            <w:tcW w:w="1498" w:type="dxa"/>
            <w:vAlign w:val="center"/>
          </w:tcPr>
          <w:p>
            <w:pPr>
              <w:pStyle w:val="55"/>
              <w:rPr>
                <w:color w:val="000000" w:themeColor="text1"/>
              </w:rPr>
            </w:pPr>
            <w:r>
              <w:rPr>
                <w:rFonts w:hint="eastAsia"/>
                <w:color w:val="000000" w:themeColor="text1"/>
              </w:rPr>
              <w:t>9.3</w:t>
            </w:r>
          </w:p>
        </w:tc>
        <w:tc>
          <w:tcPr>
            <w:tcW w:w="1337" w:type="dxa"/>
            <w:vAlign w:val="center"/>
          </w:tcPr>
          <w:p>
            <w:pPr>
              <w:pStyle w:val="55"/>
              <w:rPr>
                <w:color w:val="000000" w:themeColor="text1"/>
              </w:rPr>
            </w:pPr>
            <w:r>
              <w:rPr>
                <w:rFonts w:hint="eastAsia"/>
                <w:color w:val="000000" w:themeColor="text1"/>
              </w:rPr>
              <w:t>≤250</w:t>
            </w:r>
          </w:p>
        </w:tc>
        <w:tc>
          <w:tcPr>
            <w:tcW w:w="1276" w:type="dxa"/>
            <w:vAlign w:val="center"/>
          </w:tcPr>
          <w:p>
            <w:pPr>
              <w:pStyle w:val="55"/>
              <w:rPr>
                <w:rFonts w:ascii="宋体" w:hAnsi="宋体" w:cs="宋体"/>
                <w:color w:val="000000" w:themeColor="text1"/>
              </w:rPr>
            </w:pPr>
            <w:r>
              <w:rPr>
                <w:rFonts w:hint="eastAsia"/>
                <w:color w:val="000000" w:themeColor="text1"/>
              </w:rPr>
              <w:t>3.72</w:t>
            </w:r>
          </w:p>
        </w:tc>
        <w:tc>
          <w:tcPr>
            <w:tcW w:w="1701" w:type="dxa"/>
            <w:vAlign w:val="center"/>
          </w:tcPr>
          <w:p>
            <w:pPr>
              <w:pStyle w:val="55"/>
              <w:rPr>
                <w:color w:val="000000" w:themeColor="text1"/>
              </w:rPr>
            </w:pPr>
            <w:r>
              <w:rPr>
                <w:color w:val="000000" w:themeColor="text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1" w:type="dxa"/>
            <w:vAlign w:val="center"/>
          </w:tcPr>
          <w:p>
            <w:pPr>
              <w:pStyle w:val="55"/>
              <w:rPr>
                <w:color w:val="000000" w:themeColor="text1"/>
              </w:rPr>
            </w:pPr>
            <w:r>
              <w:rPr>
                <w:rFonts w:hint="eastAsia"/>
                <w:color w:val="000000" w:themeColor="text1"/>
              </w:rPr>
              <w:t>铜</w:t>
            </w:r>
          </w:p>
        </w:tc>
        <w:tc>
          <w:tcPr>
            <w:tcW w:w="1498" w:type="dxa"/>
            <w:vAlign w:val="center"/>
          </w:tcPr>
          <w:p>
            <w:pPr>
              <w:pStyle w:val="55"/>
              <w:rPr>
                <w:color w:val="000000" w:themeColor="text1"/>
              </w:rPr>
            </w:pPr>
            <w:r>
              <w:rPr>
                <w:rFonts w:hint="eastAsia"/>
                <w:color w:val="000000" w:themeColor="text1"/>
              </w:rPr>
              <w:t>0.05L</w:t>
            </w:r>
          </w:p>
        </w:tc>
        <w:tc>
          <w:tcPr>
            <w:tcW w:w="1337" w:type="dxa"/>
            <w:vAlign w:val="center"/>
          </w:tcPr>
          <w:p>
            <w:pPr>
              <w:pStyle w:val="55"/>
              <w:rPr>
                <w:color w:val="000000" w:themeColor="text1"/>
              </w:rPr>
            </w:pPr>
            <w:r>
              <w:rPr>
                <w:rFonts w:hint="eastAsia"/>
                <w:color w:val="000000" w:themeColor="text1"/>
              </w:rPr>
              <w:t>≤1.0</w:t>
            </w:r>
          </w:p>
        </w:tc>
        <w:tc>
          <w:tcPr>
            <w:tcW w:w="1276" w:type="dxa"/>
            <w:vAlign w:val="center"/>
          </w:tcPr>
          <w:p>
            <w:pPr>
              <w:pStyle w:val="55"/>
              <w:rPr>
                <w:rFonts w:ascii="宋体" w:hAnsi="宋体" w:cs="宋体"/>
                <w:color w:val="000000" w:themeColor="text1"/>
              </w:rPr>
            </w:pPr>
            <w:r>
              <w:rPr>
                <w:rFonts w:hint="eastAsia"/>
                <w:color w:val="000000" w:themeColor="text1"/>
              </w:rPr>
              <w:t>/</w:t>
            </w:r>
          </w:p>
        </w:tc>
        <w:tc>
          <w:tcPr>
            <w:tcW w:w="1701" w:type="dxa"/>
            <w:vAlign w:val="center"/>
          </w:tcPr>
          <w:p>
            <w:pPr>
              <w:pStyle w:val="55"/>
              <w:rPr>
                <w:color w:val="000000" w:themeColor="text1"/>
              </w:rPr>
            </w:pPr>
            <w:r>
              <w:rPr>
                <w:color w:val="000000" w:themeColor="text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1" w:type="dxa"/>
            <w:vAlign w:val="center"/>
          </w:tcPr>
          <w:p>
            <w:pPr>
              <w:pStyle w:val="55"/>
              <w:rPr>
                <w:color w:val="000000" w:themeColor="text1"/>
              </w:rPr>
            </w:pPr>
            <w:r>
              <w:rPr>
                <w:rFonts w:hint="eastAsia"/>
                <w:color w:val="000000" w:themeColor="text1"/>
              </w:rPr>
              <w:t>锌</w:t>
            </w:r>
          </w:p>
        </w:tc>
        <w:tc>
          <w:tcPr>
            <w:tcW w:w="1498" w:type="dxa"/>
            <w:vAlign w:val="center"/>
          </w:tcPr>
          <w:p>
            <w:pPr>
              <w:pStyle w:val="55"/>
              <w:rPr>
                <w:color w:val="000000" w:themeColor="text1"/>
              </w:rPr>
            </w:pPr>
            <w:r>
              <w:rPr>
                <w:rFonts w:hint="eastAsia"/>
                <w:color w:val="000000" w:themeColor="text1"/>
              </w:rPr>
              <w:t>0.05L</w:t>
            </w:r>
          </w:p>
        </w:tc>
        <w:tc>
          <w:tcPr>
            <w:tcW w:w="1337" w:type="dxa"/>
            <w:vAlign w:val="center"/>
          </w:tcPr>
          <w:p>
            <w:pPr>
              <w:pStyle w:val="55"/>
              <w:rPr>
                <w:color w:val="000000" w:themeColor="text1"/>
              </w:rPr>
            </w:pPr>
            <w:r>
              <w:rPr>
                <w:rFonts w:hint="eastAsia"/>
                <w:color w:val="000000" w:themeColor="text1"/>
              </w:rPr>
              <w:t>≤1.0</w:t>
            </w:r>
          </w:p>
        </w:tc>
        <w:tc>
          <w:tcPr>
            <w:tcW w:w="1276" w:type="dxa"/>
            <w:vAlign w:val="center"/>
          </w:tcPr>
          <w:p>
            <w:pPr>
              <w:pStyle w:val="55"/>
              <w:rPr>
                <w:rFonts w:ascii="宋体" w:hAnsi="宋体" w:cs="宋体"/>
                <w:color w:val="000000" w:themeColor="text1"/>
              </w:rPr>
            </w:pPr>
            <w:r>
              <w:rPr>
                <w:rFonts w:hint="eastAsia"/>
                <w:color w:val="000000" w:themeColor="text1"/>
              </w:rPr>
              <w:t>/</w:t>
            </w:r>
          </w:p>
        </w:tc>
        <w:tc>
          <w:tcPr>
            <w:tcW w:w="1701" w:type="dxa"/>
            <w:vAlign w:val="center"/>
          </w:tcPr>
          <w:p>
            <w:pPr>
              <w:pStyle w:val="55"/>
              <w:rPr>
                <w:color w:val="000000" w:themeColor="text1"/>
              </w:rPr>
            </w:pPr>
            <w:r>
              <w:rPr>
                <w:color w:val="000000" w:themeColor="text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1" w:type="dxa"/>
            <w:vAlign w:val="center"/>
          </w:tcPr>
          <w:p>
            <w:pPr>
              <w:pStyle w:val="55"/>
              <w:rPr>
                <w:color w:val="000000" w:themeColor="text1"/>
              </w:rPr>
            </w:pPr>
            <w:r>
              <w:rPr>
                <w:rFonts w:hint="eastAsia"/>
                <w:color w:val="000000" w:themeColor="text1"/>
              </w:rPr>
              <w:t>铁</w:t>
            </w:r>
          </w:p>
        </w:tc>
        <w:tc>
          <w:tcPr>
            <w:tcW w:w="1498" w:type="dxa"/>
            <w:vAlign w:val="center"/>
          </w:tcPr>
          <w:p>
            <w:pPr>
              <w:pStyle w:val="55"/>
              <w:rPr>
                <w:color w:val="000000" w:themeColor="text1"/>
              </w:rPr>
            </w:pPr>
            <w:r>
              <w:rPr>
                <w:rFonts w:hint="eastAsia"/>
                <w:color w:val="000000" w:themeColor="text1"/>
              </w:rPr>
              <w:t>0.03L</w:t>
            </w:r>
          </w:p>
        </w:tc>
        <w:tc>
          <w:tcPr>
            <w:tcW w:w="1337" w:type="dxa"/>
            <w:vAlign w:val="center"/>
          </w:tcPr>
          <w:p>
            <w:pPr>
              <w:pStyle w:val="55"/>
              <w:rPr>
                <w:color w:val="000000" w:themeColor="text1"/>
              </w:rPr>
            </w:pPr>
            <w:r>
              <w:rPr>
                <w:rFonts w:hint="eastAsia"/>
                <w:color w:val="000000" w:themeColor="text1"/>
              </w:rPr>
              <w:t>≤0.30</w:t>
            </w:r>
          </w:p>
        </w:tc>
        <w:tc>
          <w:tcPr>
            <w:tcW w:w="1276" w:type="dxa"/>
            <w:vAlign w:val="center"/>
          </w:tcPr>
          <w:p>
            <w:pPr>
              <w:pStyle w:val="55"/>
              <w:rPr>
                <w:rFonts w:ascii="宋体" w:hAnsi="宋体" w:cs="宋体"/>
                <w:color w:val="000000" w:themeColor="text1"/>
              </w:rPr>
            </w:pPr>
            <w:r>
              <w:rPr>
                <w:rFonts w:hint="eastAsia"/>
                <w:color w:val="000000" w:themeColor="text1"/>
              </w:rPr>
              <w:t>/</w:t>
            </w:r>
          </w:p>
        </w:tc>
        <w:tc>
          <w:tcPr>
            <w:tcW w:w="1701" w:type="dxa"/>
            <w:vAlign w:val="center"/>
          </w:tcPr>
          <w:p>
            <w:pPr>
              <w:pStyle w:val="55"/>
              <w:rPr>
                <w:color w:val="000000" w:themeColor="text1"/>
              </w:rPr>
            </w:pPr>
            <w:r>
              <w:rPr>
                <w:color w:val="000000" w:themeColor="text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1" w:type="dxa"/>
            <w:vAlign w:val="center"/>
          </w:tcPr>
          <w:p>
            <w:pPr>
              <w:pStyle w:val="55"/>
              <w:rPr>
                <w:color w:val="000000" w:themeColor="text1"/>
              </w:rPr>
            </w:pPr>
            <w:r>
              <w:rPr>
                <w:rFonts w:hint="eastAsia"/>
                <w:color w:val="000000" w:themeColor="text1"/>
              </w:rPr>
              <w:t>锰</w:t>
            </w:r>
          </w:p>
        </w:tc>
        <w:tc>
          <w:tcPr>
            <w:tcW w:w="1498" w:type="dxa"/>
            <w:vAlign w:val="center"/>
          </w:tcPr>
          <w:p>
            <w:pPr>
              <w:pStyle w:val="55"/>
              <w:rPr>
                <w:color w:val="000000" w:themeColor="text1"/>
              </w:rPr>
            </w:pPr>
            <w:r>
              <w:rPr>
                <w:rFonts w:hint="eastAsia"/>
                <w:color w:val="000000" w:themeColor="text1"/>
              </w:rPr>
              <w:t>0.01L</w:t>
            </w:r>
          </w:p>
        </w:tc>
        <w:tc>
          <w:tcPr>
            <w:tcW w:w="1337" w:type="dxa"/>
            <w:vAlign w:val="center"/>
          </w:tcPr>
          <w:p>
            <w:pPr>
              <w:pStyle w:val="55"/>
              <w:rPr>
                <w:color w:val="000000" w:themeColor="text1"/>
              </w:rPr>
            </w:pPr>
            <w:r>
              <w:rPr>
                <w:rFonts w:hint="eastAsia"/>
                <w:color w:val="000000" w:themeColor="text1"/>
              </w:rPr>
              <w:t>≤0.10</w:t>
            </w:r>
          </w:p>
        </w:tc>
        <w:tc>
          <w:tcPr>
            <w:tcW w:w="1276" w:type="dxa"/>
            <w:vAlign w:val="center"/>
          </w:tcPr>
          <w:p>
            <w:pPr>
              <w:pStyle w:val="55"/>
              <w:rPr>
                <w:rFonts w:ascii="宋体" w:hAnsi="宋体" w:cs="宋体"/>
                <w:color w:val="000000" w:themeColor="text1"/>
              </w:rPr>
            </w:pPr>
            <w:r>
              <w:rPr>
                <w:rFonts w:hint="eastAsia"/>
                <w:color w:val="000000" w:themeColor="text1"/>
              </w:rPr>
              <w:t>/</w:t>
            </w:r>
          </w:p>
        </w:tc>
        <w:tc>
          <w:tcPr>
            <w:tcW w:w="1701" w:type="dxa"/>
            <w:vAlign w:val="center"/>
          </w:tcPr>
          <w:p>
            <w:pPr>
              <w:pStyle w:val="55"/>
              <w:rPr>
                <w:color w:val="000000" w:themeColor="text1"/>
              </w:rPr>
            </w:pPr>
            <w:r>
              <w:rPr>
                <w:color w:val="000000" w:themeColor="text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1" w:type="dxa"/>
            <w:vAlign w:val="center"/>
          </w:tcPr>
          <w:p>
            <w:pPr>
              <w:pStyle w:val="55"/>
              <w:rPr>
                <w:color w:val="000000" w:themeColor="text1"/>
              </w:rPr>
            </w:pPr>
            <w:r>
              <w:rPr>
                <w:rFonts w:hint="eastAsia"/>
                <w:color w:val="000000" w:themeColor="text1"/>
              </w:rPr>
              <w:t>镍</w:t>
            </w:r>
          </w:p>
        </w:tc>
        <w:tc>
          <w:tcPr>
            <w:tcW w:w="1498" w:type="dxa"/>
            <w:vAlign w:val="center"/>
          </w:tcPr>
          <w:p>
            <w:pPr>
              <w:pStyle w:val="55"/>
              <w:rPr>
                <w:color w:val="000000" w:themeColor="text1"/>
              </w:rPr>
            </w:pPr>
            <w:r>
              <w:rPr>
                <w:rFonts w:hint="eastAsia"/>
                <w:color w:val="000000" w:themeColor="text1"/>
              </w:rPr>
              <w:t>0.005L</w:t>
            </w:r>
          </w:p>
        </w:tc>
        <w:tc>
          <w:tcPr>
            <w:tcW w:w="1337" w:type="dxa"/>
            <w:vAlign w:val="center"/>
          </w:tcPr>
          <w:p>
            <w:pPr>
              <w:pStyle w:val="55"/>
              <w:rPr>
                <w:color w:val="000000" w:themeColor="text1"/>
              </w:rPr>
            </w:pPr>
            <w:r>
              <w:rPr>
                <w:rFonts w:hint="eastAsia"/>
                <w:color w:val="000000" w:themeColor="text1"/>
              </w:rPr>
              <w:t>≤0.02</w:t>
            </w:r>
          </w:p>
        </w:tc>
        <w:tc>
          <w:tcPr>
            <w:tcW w:w="1276" w:type="dxa"/>
            <w:vAlign w:val="center"/>
          </w:tcPr>
          <w:p>
            <w:pPr>
              <w:pStyle w:val="55"/>
              <w:rPr>
                <w:rFonts w:ascii="宋体" w:hAnsi="宋体" w:cs="宋体"/>
                <w:color w:val="000000" w:themeColor="text1"/>
              </w:rPr>
            </w:pPr>
            <w:r>
              <w:rPr>
                <w:rFonts w:hint="eastAsia"/>
                <w:color w:val="000000" w:themeColor="text1"/>
              </w:rPr>
              <w:t>/</w:t>
            </w:r>
          </w:p>
        </w:tc>
        <w:tc>
          <w:tcPr>
            <w:tcW w:w="1701" w:type="dxa"/>
            <w:vAlign w:val="center"/>
          </w:tcPr>
          <w:p>
            <w:pPr>
              <w:pStyle w:val="55"/>
              <w:rPr>
                <w:color w:val="000000" w:themeColor="text1"/>
              </w:rPr>
            </w:pPr>
            <w:r>
              <w:rPr>
                <w:color w:val="000000" w:themeColor="text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1" w:type="dxa"/>
            <w:vAlign w:val="center"/>
          </w:tcPr>
          <w:p>
            <w:pPr>
              <w:pStyle w:val="55"/>
              <w:rPr>
                <w:color w:val="000000" w:themeColor="text1"/>
              </w:rPr>
            </w:pPr>
            <w:r>
              <w:rPr>
                <w:rFonts w:hint="eastAsia"/>
                <w:color w:val="000000" w:themeColor="text1"/>
              </w:rPr>
              <w:t>铅</w:t>
            </w:r>
          </w:p>
        </w:tc>
        <w:tc>
          <w:tcPr>
            <w:tcW w:w="1498" w:type="dxa"/>
            <w:vAlign w:val="center"/>
          </w:tcPr>
          <w:p>
            <w:pPr>
              <w:pStyle w:val="55"/>
              <w:rPr>
                <w:color w:val="000000" w:themeColor="text1"/>
              </w:rPr>
            </w:pPr>
            <w:r>
              <w:rPr>
                <w:rFonts w:hint="eastAsia"/>
                <w:color w:val="000000" w:themeColor="text1"/>
              </w:rPr>
              <w:t>0.001L</w:t>
            </w:r>
          </w:p>
        </w:tc>
        <w:tc>
          <w:tcPr>
            <w:tcW w:w="1337" w:type="dxa"/>
            <w:vAlign w:val="center"/>
          </w:tcPr>
          <w:p>
            <w:pPr>
              <w:pStyle w:val="55"/>
              <w:rPr>
                <w:color w:val="000000" w:themeColor="text1"/>
              </w:rPr>
            </w:pPr>
            <w:r>
              <w:rPr>
                <w:rFonts w:hint="eastAsia"/>
                <w:color w:val="000000" w:themeColor="text1"/>
              </w:rPr>
              <w:t>≤0.01</w:t>
            </w:r>
          </w:p>
        </w:tc>
        <w:tc>
          <w:tcPr>
            <w:tcW w:w="1276" w:type="dxa"/>
            <w:vAlign w:val="center"/>
          </w:tcPr>
          <w:p>
            <w:pPr>
              <w:pStyle w:val="55"/>
              <w:rPr>
                <w:rFonts w:ascii="宋体" w:hAnsi="宋体" w:cs="宋体"/>
                <w:color w:val="000000" w:themeColor="text1"/>
              </w:rPr>
            </w:pPr>
            <w:r>
              <w:rPr>
                <w:rFonts w:hint="eastAsia"/>
                <w:color w:val="000000" w:themeColor="text1"/>
              </w:rPr>
              <w:t>/</w:t>
            </w:r>
          </w:p>
        </w:tc>
        <w:tc>
          <w:tcPr>
            <w:tcW w:w="1701" w:type="dxa"/>
            <w:vAlign w:val="center"/>
          </w:tcPr>
          <w:p>
            <w:pPr>
              <w:pStyle w:val="55"/>
              <w:rPr>
                <w:color w:val="000000" w:themeColor="text1"/>
              </w:rPr>
            </w:pPr>
            <w:r>
              <w:rPr>
                <w:color w:val="000000" w:themeColor="text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1" w:type="dxa"/>
            <w:vAlign w:val="center"/>
          </w:tcPr>
          <w:p>
            <w:pPr>
              <w:pStyle w:val="55"/>
              <w:rPr>
                <w:color w:val="000000" w:themeColor="text1"/>
              </w:rPr>
            </w:pPr>
            <w:r>
              <w:rPr>
                <w:rFonts w:hint="eastAsia"/>
                <w:color w:val="000000" w:themeColor="text1"/>
              </w:rPr>
              <w:t>镉</w:t>
            </w:r>
          </w:p>
        </w:tc>
        <w:tc>
          <w:tcPr>
            <w:tcW w:w="1498" w:type="dxa"/>
            <w:vAlign w:val="center"/>
          </w:tcPr>
          <w:p>
            <w:pPr>
              <w:pStyle w:val="55"/>
              <w:rPr>
                <w:color w:val="000000" w:themeColor="text1"/>
              </w:rPr>
            </w:pPr>
            <w:r>
              <w:rPr>
                <w:rFonts w:hint="eastAsia"/>
                <w:color w:val="000000" w:themeColor="text1"/>
              </w:rPr>
              <w:t>0.0001L</w:t>
            </w:r>
          </w:p>
        </w:tc>
        <w:tc>
          <w:tcPr>
            <w:tcW w:w="1337" w:type="dxa"/>
            <w:vAlign w:val="center"/>
          </w:tcPr>
          <w:p>
            <w:pPr>
              <w:pStyle w:val="55"/>
              <w:rPr>
                <w:color w:val="000000" w:themeColor="text1"/>
              </w:rPr>
            </w:pPr>
            <w:r>
              <w:rPr>
                <w:rFonts w:hint="eastAsia"/>
                <w:color w:val="000000" w:themeColor="text1"/>
              </w:rPr>
              <w:t>≤0.005</w:t>
            </w:r>
          </w:p>
        </w:tc>
        <w:tc>
          <w:tcPr>
            <w:tcW w:w="1276" w:type="dxa"/>
            <w:vAlign w:val="center"/>
          </w:tcPr>
          <w:p>
            <w:pPr>
              <w:pStyle w:val="55"/>
              <w:rPr>
                <w:rFonts w:ascii="宋体" w:hAnsi="宋体" w:cs="宋体"/>
                <w:color w:val="000000" w:themeColor="text1"/>
              </w:rPr>
            </w:pPr>
            <w:r>
              <w:rPr>
                <w:rFonts w:hint="eastAsia"/>
                <w:color w:val="000000" w:themeColor="text1"/>
              </w:rPr>
              <w:t>/</w:t>
            </w:r>
          </w:p>
        </w:tc>
        <w:tc>
          <w:tcPr>
            <w:tcW w:w="1701" w:type="dxa"/>
            <w:vAlign w:val="center"/>
          </w:tcPr>
          <w:p>
            <w:pPr>
              <w:pStyle w:val="55"/>
              <w:rPr>
                <w:color w:val="000000" w:themeColor="text1"/>
              </w:rPr>
            </w:pPr>
            <w:r>
              <w:rPr>
                <w:color w:val="000000" w:themeColor="text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1" w:type="dxa"/>
            <w:vAlign w:val="center"/>
          </w:tcPr>
          <w:p>
            <w:pPr>
              <w:pStyle w:val="55"/>
              <w:rPr>
                <w:color w:val="000000" w:themeColor="text1"/>
              </w:rPr>
            </w:pPr>
            <w:r>
              <w:rPr>
                <w:rFonts w:hint="eastAsia"/>
                <w:color w:val="000000" w:themeColor="text1"/>
              </w:rPr>
              <w:t>铝</w:t>
            </w:r>
          </w:p>
        </w:tc>
        <w:tc>
          <w:tcPr>
            <w:tcW w:w="1498" w:type="dxa"/>
            <w:vAlign w:val="center"/>
          </w:tcPr>
          <w:p>
            <w:pPr>
              <w:pStyle w:val="55"/>
              <w:rPr>
                <w:color w:val="000000" w:themeColor="text1"/>
              </w:rPr>
            </w:pPr>
            <w:r>
              <w:rPr>
                <w:rFonts w:hint="eastAsia"/>
                <w:color w:val="000000" w:themeColor="text1"/>
              </w:rPr>
              <w:t>0.008L</w:t>
            </w:r>
          </w:p>
        </w:tc>
        <w:tc>
          <w:tcPr>
            <w:tcW w:w="1337" w:type="dxa"/>
            <w:vAlign w:val="center"/>
          </w:tcPr>
          <w:p>
            <w:pPr>
              <w:pStyle w:val="55"/>
              <w:rPr>
                <w:color w:val="000000" w:themeColor="text1"/>
              </w:rPr>
            </w:pPr>
            <w:r>
              <w:rPr>
                <w:rFonts w:hint="eastAsia"/>
                <w:color w:val="000000" w:themeColor="text1"/>
              </w:rPr>
              <w:t>≤0.20</w:t>
            </w:r>
          </w:p>
        </w:tc>
        <w:tc>
          <w:tcPr>
            <w:tcW w:w="1276" w:type="dxa"/>
            <w:vAlign w:val="center"/>
          </w:tcPr>
          <w:p>
            <w:pPr>
              <w:pStyle w:val="55"/>
              <w:rPr>
                <w:rFonts w:ascii="宋体" w:hAnsi="宋体" w:cs="宋体"/>
                <w:color w:val="000000" w:themeColor="text1"/>
              </w:rPr>
            </w:pPr>
            <w:r>
              <w:rPr>
                <w:rFonts w:hint="eastAsia"/>
                <w:color w:val="000000" w:themeColor="text1"/>
              </w:rPr>
              <w:t>/</w:t>
            </w:r>
          </w:p>
        </w:tc>
        <w:tc>
          <w:tcPr>
            <w:tcW w:w="1701" w:type="dxa"/>
            <w:vAlign w:val="center"/>
          </w:tcPr>
          <w:p>
            <w:pPr>
              <w:pStyle w:val="55"/>
              <w:rPr>
                <w:color w:val="000000" w:themeColor="text1"/>
              </w:rPr>
            </w:pPr>
            <w:r>
              <w:rPr>
                <w:color w:val="000000" w:themeColor="text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1" w:type="dxa"/>
            <w:vAlign w:val="center"/>
          </w:tcPr>
          <w:p>
            <w:pPr>
              <w:pStyle w:val="55"/>
              <w:rPr>
                <w:color w:val="000000" w:themeColor="text1"/>
              </w:rPr>
            </w:pPr>
            <w:r>
              <w:rPr>
                <w:rFonts w:hint="eastAsia"/>
                <w:color w:val="000000" w:themeColor="text1"/>
              </w:rPr>
              <w:t>氰化物</w:t>
            </w:r>
          </w:p>
        </w:tc>
        <w:tc>
          <w:tcPr>
            <w:tcW w:w="1498" w:type="dxa"/>
            <w:vAlign w:val="center"/>
          </w:tcPr>
          <w:p>
            <w:pPr>
              <w:pStyle w:val="55"/>
              <w:rPr>
                <w:color w:val="000000" w:themeColor="text1"/>
              </w:rPr>
            </w:pPr>
            <w:r>
              <w:rPr>
                <w:rFonts w:hint="eastAsia"/>
                <w:color w:val="000000" w:themeColor="text1"/>
              </w:rPr>
              <w:t>0.004L</w:t>
            </w:r>
          </w:p>
        </w:tc>
        <w:tc>
          <w:tcPr>
            <w:tcW w:w="1337" w:type="dxa"/>
            <w:vAlign w:val="center"/>
          </w:tcPr>
          <w:p>
            <w:pPr>
              <w:pStyle w:val="55"/>
              <w:rPr>
                <w:color w:val="000000" w:themeColor="text1"/>
              </w:rPr>
            </w:pPr>
            <w:r>
              <w:rPr>
                <w:rFonts w:hint="eastAsia"/>
                <w:color w:val="000000" w:themeColor="text1"/>
              </w:rPr>
              <w:t>≤0.05</w:t>
            </w:r>
          </w:p>
        </w:tc>
        <w:tc>
          <w:tcPr>
            <w:tcW w:w="1276" w:type="dxa"/>
            <w:vAlign w:val="center"/>
          </w:tcPr>
          <w:p>
            <w:pPr>
              <w:pStyle w:val="55"/>
              <w:rPr>
                <w:rFonts w:ascii="宋体" w:hAnsi="宋体" w:cs="宋体"/>
                <w:color w:val="000000" w:themeColor="text1"/>
              </w:rPr>
            </w:pPr>
            <w:r>
              <w:rPr>
                <w:rFonts w:hint="eastAsia"/>
                <w:color w:val="000000" w:themeColor="text1"/>
              </w:rPr>
              <w:t>/</w:t>
            </w:r>
          </w:p>
        </w:tc>
        <w:tc>
          <w:tcPr>
            <w:tcW w:w="1701" w:type="dxa"/>
            <w:vAlign w:val="center"/>
          </w:tcPr>
          <w:p>
            <w:pPr>
              <w:pStyle w:val="55"/>
              <w:rPr>
                <w:color w:val="000000" w:themeColor="text1"/>
              </w:rPr>
            </w:pPr>
            <w:r>
              <w:rPr>
                <w:color w:val="000000" w:themeColor="text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1" w:type="dxa"/>
            <w:vAlign w:val="center"/>
          </w:tcPr>
          <w:p>
            <w:pPr>
              <w:pStyle w:val="55"/>
              <w:rPr>
                <w:color w:val="000000" w:themeColor="text1"/>
              </w:rPr>
            </w:pPr>
            <w:r>
              <w:rPr>
                <w:rFonts w:hint="eastAsia"/>
                <w:color w:val="000000" w:themeColor="text1"/>
              </w:rPr>
              <w:t>总硬度</w:t>
            </w:r>
          </w:p>
        </w:tc>
        <w:tc>
          <w:tcPr>
            <w:tcW w:w="1498" w:type="dxa"/>
            <w:vAlign w:val="center"/>
          </w:tcPr>
          <w:p>
            <w:pPr>
              <w:pStyle w:val="55"/>
              <w:rPr>
                <w:color w:val="000000" w:themeColor="text1"/>
              </w:rPr>
            </w:pPr>
            <w:r>
              <w:rPr>
                <w:rFonts w:hint="eastAsia"/>
                <w:color w:val="000000" w:themeColor="text1"/>
              </w:rPr>
              <w:t>166</w:t>
            </w:r>
          </w:p>
        </w:tc>
        <w:tc>
          <w:tcPr>
            <w:tcW w:w="1337" w:type="dxa"/>
            <w:vAlign w:val="center"/>
          </w:tcPr>
          <w:p>
            <w:pPr>
              <w:pStyle w:val="55"/>
              <w:rPr>
                <w:color w:val="000000" w:themeColor="text1"/>
              </w:rPr>
            </w:pPr>
            <w:r>
              <w:rPr>
                <w:rFonts w:hint="eastAsia"/>
                <w:color w:val="000000" w:themeColor="text1"/>
              </w:rPr>
              <w:t>≤450</w:t>
            </w:r>
          </w:p>
        </w:tc>
        <w:tc>
          <w:tcPr>
            <w:tcW w:w="1276" w:type="dxa"/>
            <w:vAlign w:val="center"/>
          </w:tcPr>
          <w:p>
            <w:pPr>
              <w:pStyle w:val="55"/>
              <w:rPr>
                <w:rFonts w:ascii="宋体" w:hAnsi="宋体" w:cs="宋体"/>
                <w:color w:val="000000" w:themeColor="text1"/>
              </w:rPr>
            </w:pPr>
            <w:r>
              <w:rPr>
                <w:rFonts w:hint="eastAsia"/>
                <w:color w:val="000000" w:themeColor="text1"/>
              </w:rPr>
              <w:t>36.89</w:t>
            </w:r>
          </w:p>
        </w:tc>
        <w:tc>
          <w:tcPr>
            <w:tcW w:w="1701" w:type="dxa"/>
            <w:vAlign w:val="center"/>
          </w:tcPr>
          <w:p>
            <w:pPr>
              <w:pStyle w:val="55"/>
              <w:rPr>
                <w:color w:val="000000" w:themeColor="text1"/>
              </w:rPr>
            </w:pPr>
            <w:r>
              <w:rPr>
                <w:color w:val="000000" w:themeColor="text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1" w:type="dxa"/>
            <w:vAlign w:val="center"/>
          </w:tcPr>
          <w:p>
            <w:pPr>
              <w:pStyle w:val="55"/>
              <w:rPr>
                <w:color w:val="000000" w:themeColor="text1"/>
              </w:rPr>
            </w:pPr>
            <w:r>
              <w:rPr>
                <w:rFonts w:hint="eastAsia"/>
                <w:color w:val="000000" w:themeColor="text1"/>
              </w:rPr>
              <w:t>溶解性总固体</w:t>
            </w:r>
          </w:p>
        </w:tc>
        <w:tc>
          <w:tcPr>
            <w:tcW w:w="1498" w:type="dxa"/>
            <w:vAlign w:val="center"/>
          </w:tcPr>
          <w:p>
            <w:pPr>
              <w:pStyle w:val="55"/>
              <w:rPr>
                <w:color w:val="000000" w:themeColor="text1"/>
              </w:rPr>
            </w:pPr>
            <w:r>
              <w:rPr>
                <w:rFonts w:hint="eastAsia"/>
                <w:color w:val="000000" w:themeColor="text1"/>
              </w:rPr>
              <w:t>282</w:t>
            </w:r>
          </w:p>
        </w:tc>
        <w:tc>
          <w:tcPr>
            <w:tcW w:w="1337" w:type="dxa"/>
            <w:vAlign w:val="center"/>
          </w:tcPr>
          <w:p>
            <w:pPr>
              <w:pStyle w:val="55"/>
              <w:rPr>
                <w:color w:val="000000" w:themeColor="text1"/>
              </w:rPr>
            </w:pPr>
            <w:r>
              <w:rPr>
                <w:rFonts w:hint="eastAsia"/>
                <w:color w:val="000000" w:themeColor="text1"/>
              </w:rPr>
              <w:t>≤1000</w:t>
            </w:r>
          </w:p>
        </w:tc>
        <w:tc>
          <w:tcPr>
            <w:tcW w:w="1276" w:type="dxa"/>
            <w:vAlign w:val="center"/>
          </w:tcPr>
          <w:p>
            <w:pPr>
              <w:pStyle w:val="55"/>
              <w:rPr>
                <w:rFonts w:ascii="宋体" w:hAnsi="宋体" w:cs="宋体"/>
                <w:color w:val="000000" w:themeColor="text1"/>
              </w:rPr>
            </w:pPr>
            <w:r>
              <w:rPr>
                <w:rFonts w:hint="eastAsia"/>
                <w:color w:val="000000" w:themeColor="text1"/>
              </w:rPr>
              <w:t>28.2</w:t>
            </w:r>
          </w:p>
        </w:tc>
        <w:tc>
          <w:tcPr>
            <w:tcW w:w="1701" w:type="dxa"/>
            <w:vAlign w:val="center"/>
          </w:tcPr>
          <w:p>
            <w:pPr>
              <w:pStyle w:val="55"/>
              <w:rPr>
                <w:color w:val="000000" w:themeColor="text1"/>
              </w:rPr>
            </w:pPr>
            <w:r>
              <w:rPr>
                <w:color w:val="000000" w:themeColor="text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1" w:type="dxa"/>
            <w:vAlign w:val="center"/>
          </w:tcPr>
          <w:p>
            <w:pPr>
              <w:pStyle w:val="55"/>
              <w:rPr>
                <w:color w:val="000000" w:themeColor="text1"/>
              </w:rPr>
            </w:pPr>
            <w:r>
              <w:rPr>
                <w:rFonts w:hint="eastAsia"/>
                <w:color w:val="000000" w:themeColor="text1"/>
              </w:rPr>
              <w:t>硫酸盐</w:t>
            </w:r>
          </w:p>
        </w:tc>
        <w:tc>
          <w:tcPr>
            <w:tcW w:w="1498" w:type="dxa"/>
            <w:vAlign w:val="center"/>
          </w:tcPr>
          <w:p>
            <w:pPr>
              <w:pStyle w:val="55"/>
              <w:rPr>
                <w:color w:val="000000" w:themeColor="text1"/>
              </w:rPr>
            </w:pPr>
            <w:r>
              <w:rPr>
                <w:rFonts w:hint="eastAsia"/>
                <w:color w:val="000000" w:themeColor="text1"/>
              </w:rPr>
              <w:t>58</w:t>
            </w:r>
          </w:p>
        </w:tc>
        <w:tc>
          <w:tcPr>
            <w:tcW w:w="1337" w:type="dxa"/>
            <w:vAlign w:val="center"/>
          </w:tcPr>
          <w:p>
            <w:pPr>
              <w:pStyle w:val="55"/>
              <w:rPr>
                <w:color w:val="000000" w:themeColor="text1"/>
              </w:rPr>
            </w:pPr>
            <w:r>
              <w:rPr>
                <w:rFonts w:hint="eastAsia"/>
                <w:color w:val="000000" w:themeColor="text1"/>
              </w:rPr>
              <w:t>≤250</w:t>
            </w:r>
          </w:p>
        </w:tc>
        <w:tc>
          <w:tcPr>
            <w:tcW w:w="1276" w:type="dxa"/>
            <w:vAlign w:val="center"/>
          </w:tcPr>
          <w:p>
            <w:pPr>
              <w:pStyle w:val="55"/>
              <w:rPr>
                <w:rFonts w:ascii="宋体" w:hAnsi="宋体" w:cs="宋体"/>
                <w:color w:val="000000" w:themeColor="text1"/>
              </w:rPr>
            </w:pPr>
            <w:r>
              <w:rPr>
                <w:rFonts w:hint="eastAsia"/>
                <w:color w:val="000000" w:themeColor="text1"/>
              </w:rPr>
              <w:t>23.2</w:t>
            </w:r>
          </w:p>
        </w:tc>
        <w:tc>
          <w:tcPr>
            <w:tcW w:w="1701" w:type="dxa"/>
            <w:vAlign w:val="center"/>
          </w:tcPr>
          <w:p>
            <w:pPr>
              <w:pStyle w:val="55"/>
              <w:rPr>
                <w:color w:val="000000" w:themeColor="text1"/>
              </w:rPr>
            </w:pPr>
            <w:r>
              <w:rPr>
                <w:color w:val="000000" w:themeColor="text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1" w:type="dxa"/>
            <w:vAlign w:val="center"/>
          </w:tcPr>
          <w:p>
            <w:pPr>
              <w:pStyle w:val="55"/>
              <w:rPr>
                <w:color w:val="000000" w:themeColor="text1"/>
              </w:rPr>
            </w:pPr>
            <w:r>
              <w:rPr>
                <w:rFonts w:hint="eastAsia"/>
                <w:color w:val="000000" w:themeColor="text1"/>
              </w:rPr>
              <w:t>耗氧量</w:t>
            </w:r>
          </w:p>
        </w:tc>
        <w:tc>
          <w:tcPr>
            <w:tcW w:w="1498" w:type="dxa"/>
            <w:vAlign w:val="center"/>
          </w:tcPr>
          <w:p>
            <w:pPr>
              <w:pStyle w:val="55"/>
              <w:rPr>
                <w:color w:val="000000" w:themeColor="text1"/>
              </w:rPr>
            </w:pPr>
            <w:r>
              <w:rPr>
                <w:rFonts w:hint="eastAsia"/>
                <w:color w:val="000000" w:themeColor="text1"/>
              </w:rPr>
              <w:t>0.05L</w:t>
            </w:r>
          </w:p>
        </w:tc>
        <w:tc>
          <w:tcPr>
            <w:tcW w:w="1337" w:type="dxa"/>
            <w:vAlign w:val="center"/>
          </w:tcPr>
          <w:p>
            <w:pPr>
              <w:pStyle w:val="55"/>
              <w:rPr>
                <w:color w:val="000000" w:themeColor="text1"/>
              </w:rPr>
            </w:pPr>
            <w:r>
              <w:rPr>
                <w:rFonts w:hint="eastAsia"/>
                <w:color w:val="000000" w:themeColor="text1"/>
              </w:rPr>
              <w:t>≤3.0</w:t>
            </w:r>
          </w:p>
        </w:tc>
        <w:tc>
          <w:tcPr>
            <w:tcW w:w="1276" w:type="dxa"/>
            <w:vAlign w:val="center"/>
          </w:tcPr>
          <w:p>
            <w:pPr>
              <w:pStyle w:val="55"/>
              <w:rPr>
                <w:rFonts w:ascii="宋体" w:hAnsi="宋体" w:cs="宋体"/>
                <w:color w:val="000000" w:themeColor="text1"/>
              </w:rPr>
            </w:pPr>
            <w:r>
              <w:rPr>
                <w:rFonts w:hint="eastAsia"/>
                <w:color w:val="000000" w:themeColor="text1"/>
              </w:rPr>
              <w:t>/</w:t>
            </w:r>
          </w:p>
        </w:tc>
        <w:tc>
          <w:tcPr>
            <w:tcW w:w="1701" w:type="dxa"/>
            <w:vAlign w:val="center"/>
          </w:tcPr>
          <w:p>
            <w:pPr>
              <w:pStyle w:val="55"/>
              <w:rPr>
                <w:color w:val="000000" w:themeColor="text1"/>
              </w:rPr>
            </w:pPr>
            <w:r>
              <w:rPr>
                <w:color w:val="000000" w:themeColor="text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1" w:type="dxa"/>
            <w:vAlign w:val="center"/>
          </w:tcPr>
          <w:p>
            <w:pPr>
              <w:pStyle w:val="55"/>
              <w:rPr>
                <w:color w:val="000000" w:themeColor="text1"/>
              </w:rPr>
            </w:pPr>
            <w:r>
              <w:rPr>
                <w:rFonts w:hint="eastAsia"/>
                <w:color w:val="000000" w:themeColor="text1"/>
              </w:rPr>
              <w:t>硝酸盐氮</w:t>
            </w:r>
          </w:p>
        </w:tc>
        <w:tc>
          <w:tcPr>
            <w:tcW w:w="1498" w:type="dxa"/>
            <w:vAlign w:val="center"/>
          </w:tcPr>
          <w:p>
            <w:pPr>
              <w:pStyle w:val="55"/>
              <w:rPr>
                <w:color w:val="000000" w:themeColor="text1"/>
              </w:rPr>
            </w:pPr>
            <w:r>
              <w:rPr>
                <w:rFonts w:hint="eastAsia"/>
                <w:color w:val="000000" w:themeColor="text1"/>
              </w:rPr>
              <w:t>11.9</w:t>
            </w:r>
          </w:p>
        </w:tc>
        <w:tc>
          <w:tcPr>
            <w:tcW w:w="1337" w:type="dxa"/>
            <w:vAlign w:val="center"/>
          </w:tcPr>
          <w:p>
            <w:pPr>
              <w:pStyle w:val="55"/>
              <w:rPr>
                <w:color w:val="000000" w:themeColor="text1"/>
              </w:rPr>
            </w:pPr>
            <w:r>
              <w:rPr>
                <w:rFonts w:hint="eastAsia"/>
                <w:color w:val="000000" w:themeColor="text1"/>
              </w:rPr>
              <w:t>≤20</w:t>
            </w:r>
          </w:p>
        </w:tc>
        <w:tc>
          <w:tcPr>
            <w:tcW w:w="1276" w:type="dxa"/>
            <w:vAlign w:val="center"/>
          </w:tcPr>
          <w:p>
            <w:pPr>
              <w:pStyle w:val="55"/>
              <w:rPr>
                <w:rFonts w:ascii="宋体" w:hAnsi="宋体" w:cs="宋体"/>
                <w:color w:val="000000" w:themeColor="text1"/>
              </w:rPr>
            </w:pPr>
            <w:r>
              <w:rPr>
                <w:rFonts w:hint="eastAsia"/>
                <w:color w:val="000000" w:themeColor="text1"/>
              </w:rPr>
              <w:t>59.5</w:t>
            </w:r>
          </w:p>
        </w:tc>
        <w:tc>
          <w:tcPr>
            <w:tcW w:w="1701" w:type="dxa"/>
            <w:vAlign w:val="center"/>
          </w:tcPr>
          <w:p>
            <w:pPr>
              <w:pStyle w:val="55"/>
              <w:rPr>
                <w:color w:val="000000" w:themeColor="text1"/>
              </w:rPr>
            </w:pPr>
            <w:r>
              <w:rPr>
                <w:color w:val="000000" w:themeColor="text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1" w:type="dxa"/>
            <w:vAlign w:val="center"/>
          </w:tcPr>
          <w:p>
            <w:pPr>
              <w:pStyle w:val="55"/>
              <w:rPr>
                <w:color w:val="000000" w:themeColor="text1"/>
              </w:rPr>
            </w:pPr>
            <w:r>
              <w:rPr>
                <w:rFonts w:hint="eastAsia"/>
                <w:color w:val="000000" w:themeColor="text1"/>
              </w:rPr>
              <w:t>亚硝酸盐氮</w:t>
            </w:r>
          </w:p>
        </w:tc>
        <w:tc>
          <w:tcPr>
            <w:tcW w:w="1498" w:type="dxa"/>
            <w:vAlign w:val="center"/>
          </w:tcPr>
          <w:p>
            <w:pPr>
              <w:pStyle w:val="55"/>
              <w:rPr>
                <w:color w:val="000000" w:themeColor="text1"/>
              </w:rPr>
            </w:pPr>
            <w:r>
              <w:rPr>
                <w:rFonts w:hint="eastAsia"/>
                <w:color w:val="000000" w:themeColor="text1"/>
              </w:rPr>
              <w:t>0.136</w:t>
            </w:r>
          </w:p>
        </w:tc>
        <w:tc>
          <w:tcPr>
            <w:tcW w:w="1337" w:type="dxa"/>
            <w:vAlign w:val="center"/>
          </w:tcPr>
          <w:p>
            <w:pPr>
              <w:pStyle w:val="55"/>
              <w:rPr>
                <w:color w:val="000000" w:themeColor="text1"/>
              </w:rPr>
            </w:pPr>
            <w:r>
              <w:rPr>
                <w:rFonts w:hint="eastAsia"/>
                <w:color w:val="000000" w:themeColor="text1"/>
              </w:rPr>
              <w:t>≤1.0</w:t>
            </w:r>
          </w:p>
        </w:tc>
        <w:tc>
          <w:tcPr>
            <w:tcW w:w="1276" w:type="dxa"/>
            <w:vAlign w:val="center"/>
          </w:tcPr>
          <w:p>
            <w:pPr>
              <w:pStyle w:val="55"/>
              <w:rPr>
                <w:rFonts w:ascii="宋体" w:hAnsi="宋体" w:cs="宋体"/>
                <w:color w:val="000000" w:themeColor="text1"/>
              </w:rPr>
            </w:pPr>
            <w:r>
              <w:rPr>
                <w:rFonts w:hint="eastAsia"/>
                <w:color w:val="000000" w:themeColor="text1"/>
              </w:rPr>
              <w:t>13.6</w:t>
            </w:r>
          </w:p>
        </w:tc>
        <w:tc>
          <w:tcPr>
            <w:tcW w:w="1701" w:type="dxa"/>
            <w:vAlign w:val="center"/>
          </w:tcPr>
          <w:p>
            <w:pPr>
              <w:pStyle w:val="55"/>
              <w:rPr>
                <w:color w:val="000000" w:themeColor="text1"/>
              </w:rPr>
            </w:pPr>
            <w:r>
              <w:rPr>
                <w:color w:val="000000" w:themeColor="text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1" w:type="dxa"/>
            <w:vAlign w:val="center"/>
          </w:tcPr>
          <w:p>
            <w:pPr>
              <w:pStyle w:val="55"/>
              <w:rPr>
                <w:color w:val="000000" w:themeColor="text1"/>
              </w:rPr>
            </w:pPr>
            <w:r>
              <w:rPr>
                <w:rFonts w:hint="eastAsia"/>
                <w:color w:val="000000" w:themeColor="text1"/>
              </w:rPr>
              <w:t>挥发性酚类</w:t>
            </w:r>
          </w:p>
        </w:tc>
        <w:tc>
          <w:tcPr>
            <w:tcW w:w="1498" w:type="dxa"/>
            <w:vAlign w:val="center"/>
          </w:tcPr>
          <w:p>
            <w:pPr>
              <w:pStyle w:val="55"/>
              <w:rPr>
                <w:color w:val="000000" w:themeColor="text1"/>
              </w:rPr>
            </w:pPr>
            <w:r>
              <w:rPr>
                <w:rFonts w:hint="eastAsia"/>
                <w:color w:val="000000" w:themeColor="text1"/>
              </w:rPr>
              <w:t>0.0004</w:t>
            </w:r>
          </w:p>
        </w:tc>
        <w:tc>
          <w:tcPr>
            <w:tcW w:w="1337" w:type="dxa"/>
            <w:vAlign w:val="center"/>
          </w:tcPr>
          <w:p>
            <w:pPr>
              <w:pStyle w:val="55"/>
              <w:rPr>
                <w:color w:val="000000" w:themeColor="text1"/>
              </w:rPr>
            </w:pPr>
            <w:r>
              <w:rPr>
                <w:rFonts w:hint="eastAsia"/>
                <w:color w:val="000000" w:themeColor="text1"/>
              </w:rPr>
              <w:t>≤0.002</w:t>
            </w:r>
          </w:p>
        </w:tc>
        <w:tc>
          <w:tcPr>
            <w:tcW w:w="1276" w:type="dxa"/>
            <w:vAlign w:val="center"/>
          </w:tcPr>
          <w:p>
            <w:pPr>
              <w:pStyle w:val="55"/>
              <w:rPr>
                <w:rFonts w:ascii="宋体" w:hAnsi="宋体" w:cs="宋体"/>
                <w:color w:val="000000" w:themeColor="text1"/>
              </w:rPr>
            </w:pPr>
            <w:r>
              <w:rPr>
                <w:rFonts w:hint="eastAsia"/>
                <w:color w:val="000000" w:themeColor="text1"/>
              </w:rPr>
              <w:t>20</w:t>
            </w:r>
          </w:p>
        </w:tc>
        <w:tc>
          <w:tcPr>
            <w:tcW w:w="1701" w:type="dxa"/>
            <w:vAlign w:val="center"/>
          </w:tcPr>
          <w:p>
            <w:pPr>
              <w:pStyle w:val="55"/>
              <w:rPr>
                <w:color w:val="000000" w:themeColor="text1"/>
              </w:rPr>
            </w:pPr>
            <w:r>
              <w:rPr>
                <w:color w:val="000000" w:themeColor="text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1" w:type="dxa"/>
            <w:vAlign w:val="center"/>
          </w:tcPr>
          <w:p>
            <w:pPr>
              <w:pStyle w:val="55"/>
              <w:rPr>
                <w:color w:val="000000" w:themeColor="text1"/>
              </w:rPr>
            </w:pPr>
            <w:r>
              <w:rPr>
                <w:rFonts w:hint="eastAsia"/>
                <w:color w:val="000000" w:themeColor="text1"/>
              </w:rPr>
              <w:t>总大肠菌群</w:t>
            </w:r>
          </w:p>
          <w:p>
            <w:pPr>
              <w:pStyle w:val="55"/>
              <w:rPr>
                <w:color w:val="000000" w:themeColor="text1"/>
              </w:rPr>
            </w:pPr>
            <w:r>
              <w:rPr>
                <w:rFonts w:hint="eastAsia"/>
                <w:color w:val="000000" w:themeColor="text1"/>
              </w:rPr>
              <w:t>（MPN/100mL）</w:t>
            </w:r>
          </w:p>
        </w:tc>
        <w:tc>
          <w:tcPr>
            <w:tcW w:w="1498" w:type="dxa"/>
            <w:vAlign w:val="center"/>
          </w:tcPr>
          <w:p>
            <w:pPr>
              <w:pStyle w:val="55"/>
              <w:rPr>
                <w:color w:val="000000" w:themeColor="text1"/>
              </w:rPr>
            </w:pPr>
            <w:r>
              <w:rPr>
                <w:rFonts w:hint="eastAsia"/>
                <w:color w:val="000000" w:themeColor="text1"/>
              </w:rPr>
              <w:t>＜2</w:t>
            </w:r>
          </w:p>
        </w:tc>
        <w:tc>
          <w:tcPr>
            <w:tcW w:w="1337" w:type="dxa"/>
            <w:vAlign w:val="center"/>
          </w:tcPr>
          <w:p>
            <w:pPr>
              <w:pStyle w:val="55"/>
              <w:rPr>
                <w:color w:val="000000" w:themeColor="text1"/>
              </w:rPr>
            </w:pPr>
            <w:r>
              <w:rPr>
                <w:rFonts w:hint="eastAsia"/>
                <w:color w:val="000000" w:themeColor="text1"/>
              </w:rPr>
              <w:t>≤3.0</w:t>
            </w:r>
          </w:p>
        </w:tc>
        <w:tc>
          <w:tcPr>
            <w:tcW w:w="1276" w:type="dxa"/>
            <w:vAlign w:val="center"/>
          </w:tcPr>
          <w:p>
            <w:pPr>
              <w:pStyle w:val="55"/>
              <w:rPr>
                <w:rFonts w:ascii="宋体" w:hAnsi="宋体" w:cs="宋体"/>
                <w:color w:val="000000" w:themeColor="text1"/>
              </w:rPr>
            </w:pPr>
            <w:r>
              <w:rPr>
                <w:rFonts w:hint="eastAsia"/>
                <w:color w:val="000000" w:themeColor="text1"/>
              </w:rPr>
              <w:t>/</w:t>
            </w:r>
          </w:p>
        </w:tc>
        <w:tc>
          <w:tcPr>
            <w:tcW w:w="1701" w:type="dxa"/>
            <w:vAlign w:val="center"/>
          </w:tcPr>
          <w:p>
            <w:pPr>
              <w:pStyle w:val="55"/>
              <w:rPr>
                <w:color w:val="000000" w:themeColor="text1"/>
              </w:rPr>
            </w:pPr>
            <w:r>
              <w:rPr>
                <w:color w:val="000000" w:themeColor="text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1" w:type="dxa"/>
            <w:vAlign w:val="center"/>
          </w:tcPr>
          <w:p>
            <w:pPr>
              <w:pStyle w:val="55"/>
              <w:rPr>
                <w:color w:val="000000" w:themeColor="text1"/>
              </w:rPr>
            </w:pPr>
            <w:r>
              <w:rPr>
                <w:rFonts w:hint="eastAsia"/>
                <w:color w:val="000000" w:themeColor="text1"/>
              </w:rPr>
              <w:t>菌落总数</w:t>
            </w:r>
          </w:p>
          <w:p>
            <w:pPr>
              <w:pStyle w:val="55"/>
              <w:rPr>
                <w:color w:val="000000" w:themeColor="text1"/>
              </w:rPr>
            </w:pPr>
            <w:r>
              <w:rPr>
                <w:rFonts w:hint="eastAsia"/>
                <w:color w:val="000000" w:themeColor="text1"/>
              </w:rPr>
              <w:t>（CUF/mL）</w:t>
            </w:r>
          </w:p>
        </w:tc>
        <w:tc>
          <w:tcPr>
            <w:tcW w:w="1498" w:type="dxa"/>
            <w:vAlign w:val="center"/>
          </w:tcPr>
          <w:p>
            <w:pPr>
              <w:pStyle w:val="55"/>
              <w:rPr>
                <w:color w:val="000000" w:themeColor="text1"/>
              </w:rPr>
            </w:pPr>
            <w:r>
              <w:rPr>
                <w:rFonts w:hint="eastAsia"/>
                <w:color w:val="000000" w:themeColor="text1"/>
              </w:rPr>
              <w:t>50</w:t>
            </w:r>
          </w:p>
        </w:tc>
        <w:tc>
          <w:tcPr>
            <w:tcW w:w="1337" w:type="dxa"/>
            <w:vAlign w:val="center"/>
          </w:tcPr>
          <w:p>
            <w:pPr>
              <w:pStyle w:val="55"/>
              <w:rPr>
                <w:color w:val="000000" w:themeColor="text1"/>
              </w:rPr>
            </w:pPr>
            <w:r>
              <w:rPr>
                <w:rFonts w:hint="eastAsia"/>
                <w:color w:val="000000" w:themeColor="text1"/>
              </w:rPr>
              <w:t>≤100</w:t>
            </w:r>
          </w:p>
        </w:tc>
        <w:tc>
          <w:tcPr>
            <w:tcW w:w="1276" w:type="dxa"/>
            <w:vAlign w:val="center"/>
          </w:tcPr>
          <w:p>
            <w:pPr>
              <w:pStyle w:val="55"/>
              <w:rPr>
                <w:rFonts w:ascii="宋体" w:hAnsi="宋体" w:cs="宋体"/>
                <w:color w:val="000000" w:themeColor="text1"/>
              </w:rPr>
            </w:pPr>
            <w:r>
              <w:rPr>
                <w:rFonts w:hint="eastAsia"/>
                <w:color w:val="000000" w:themeColor="text1"/>
              </w:rPr>
              <w:t>50</w:t>
            </w:r>
          </w:p>
        </w:tc>
        <w:tc>
          <w:tcPr>
            <w:tcW w:w="1701" w:type="dxa"/>
            <w:vAlign w:val="center"/>
          </w:tcPr>
          <w:p>
            <w:pPr>
              <w:pStyle w:val="55"/>
              <w:rPr>
                <w:color w:val="000000" w:themeColor="text1"/>
              </w:rPr>
            </w:pPr>
            <w:r>
              <w:rPr>
                <w:color w:val="000000" w:themeColor="text1"/>
              </w:rPr>
              <w:t>达标</w:t>
            </w:r>
          </w:p>
        </w:tc>
      </w:tr>
    </w:tbl>
    <w:p>
      <w:pPr>
        <w:ind w:firstLine="480"/>
        <w:rPr>
          <w:color w:val="000000" w:themeColor="text1"/>
        </w:rPr>
      </w:pPr>
      <w:r>
        <w:rPr>
          <w:rFonts w:hint="eastAsia"/>
          <w:color w:val="000000" w:themeColor="text1"/>
          <w:szCs w:val="21"/>
        </w:rPr>
        <w:t>根据上表可知，布标民井的地下水水质各项检测因子均能满足</w:t>
      </w:r>
      <w:r>
        <w:rPr>
          <w:rFonts w:hint="eastAsia"/>
          <w:color w:val="000000" w:themeColor="text1"/>
        </w:rPr>
        <w:t>《地下水质量标准》（</w:t>
      </w:r>
      <w:r>
        <w:rPr>
          <w:color w:val="000000" w:themeColor="text1"/>
        </w:rPr>
        <w:t>GB/T14848-2017</w:t>
      </w:r>
      <w:r>
        <w:rPr>
          <w:rFonts w:hint="eastAsia"/>
          <w:color w:val="000000" w:themeColor="text1"/>
        </w:rPr>
        <w:t>）</w:t>
      </w:r>
      <w:r>
        <w:rPr>
          <w:color w:val="000000" w:themeColor="text1"/>
        </w:rPr>
        <w:t>III</w:t>
      </w:r>
      <w:r>
        <w:rPr>
          <w:rFonts w:hint="eastAsia"/>
          <w:color w:val="000000" w:themeColor="text1"/>
        </w:rPr>
        <w:t>类标准，说明该区域地下水质量现状良好。</w:t>
      </w:r>
    </w:p>
    <w:p>
      <w:pPr>
        <w:ind w:firstLine="480"/>
        <w:rPr>
          <w:bCs/>
          <w:color w:val="000000" w:themeColor="text1"/>
          <w:kern w:val="0"/>
        </w:rPr>
      </w:pPr>
      <w:r>
        <w:rPr>
          <w:rFonts w:hint="eastAsia"/>
          <w:bCs/>
          <w:color w:val="000000" w:themeColor="text1"/>
          <w:kern w:val="0"/>
        </w:rPr>
        <w:t>2、补充监测</w:t>
      </w:r>
    </w:p>
    <w:p>
      <w:pPr>
        <w:ind w:firstLine="480"/>
        <w:rPr>
          <w:bCs/>
          <w:color w:val="000000" w:themeColor="text1"/>
          <w:kern w:val="0"/>
        </w:rPr>
      </w:pPr>
      <w:r>
        <w:rPr>
          <w:rFonts w:hint="eastAsia"/>
          <w:bCs/>
          <w:color w:val="000000" w:themeColor="text1"/>
          <w:kern w:val="0"/>
        </w:rPr>
        <w:t>除布标村外的其他地下水环境敏感点委托云南环清环境检测技术有限公司进行了补充监测：</w:t>
      </w:r>
    </w:p>
    <w:p>
      <w:pPr>
        <w:ind w:firstLine="480"/>
        <w:rPr>
          <w:color w:val="000000" w:themeColor="text1"/>
          <w:kern w:val="0"/>
        </w:rPr>
      </w:pPr>
      <w:r>
        <w:rPr>
          <w:rFonts w:hint="eastAsia"/>
          <w:color w:val="000000" w:themeColor="text1"/>
          <w:kern w:val="0"/>
        </w:rPr>
        <w:t>（</w:t>
      </w:r>
      <w:r>
        <w:rPr>
          <w:color w:val="000000" w:themeColor="text1"/>
          <w:kern w:val="0"/>
        </w:rPr>
        <w:t>1</w:t>
      </w:r>
      <w:r>
        <w:rPr>
          <w:rFonts w:hint="eastAsia"/>
          <w:color w:val="000000" w:themeColor="text1"/>
          <w:kern w:val="0"/>
        </w:rPr>
        <w:t>）监测点位</w:t>
      </w:r>
    </w:p>
    <w:p>
      <w:pPr>
        <w:ind w:firstLine="480"/>
        <w:rPr>
          <w:color w:val="000000" w:themeColor="text1"/>
        </w:rPr>
      </w:pPr>
      <w:r>
        <w:rPr>
          <w:rFonts w:hint="eastAsia"/>
          <w:color w:val="000000" w:themeColor="text1"/>
          <w:kern w:val="0"/>
        </w:rPr>
        <w:t>此次监测点布置是根据项目特点、周边环境概况，在现有场区结合敏感目标处布点。水质现状监测点共</w:t>
      </w:r>
      <w:r>
        <w:rPr>
          <w:color w:val="000000" w:themeColor="text1"/>
          <w:kern w:val="0"/>
        </w:rPr>
        <w:t>3</w:t>
      </w:r>
      <w:r>
        <w:rPr>
          <w:rFonts w:hint="eastAsia"/>
          <w:color w:val="000000" w:themeColor="text1"/>
          <w:kern w:val="0"/>
        </w:rPr>
        <w:t>个点，为</w:t>
      </w:r>
      <w:r>
        <w:rPr>
          <w:rFonts w:hint="eastAsia"/>
          <w:color w:val="000000" w:themeColor="text1"/>
          <w:szCs w:val="24"/>
        </w:rPr>
        <w:t>厂址西南侧</w:t>
      </w:r>
      <w:r>
        <w:rPr>
          <w:color w:val="000000" w:themeColor="text1"/>
          <w:szCs w:val="24"/>
        </w:rPr>
        <w:t>150</w:t>
      </w:r>
      <w:r>
        <w:rPr>
          <w:color w:val="000000" w:themeColor="text1"/>
        </w:rPr>
        <w:t>0m</w:t>
      </w:r>
      <w:r>
        <w:rPr>
          <w:rFonts w:hint="eastAsia"/>
          <w:color w:val="000000" w:themeColor="text1"/>
        </w:rPr>
        <w:t>上舍克村民井（</w:t>
      </w:r>
      <w:r>
        <w:rPr>
          <w:color w:val="000000" w:themeColor="text1"/>
        </w:rPr>
        <w:t>1#</w:t>
      </w:r>
      <w:r>
        <w:rPr>
          <w:rFonts w:hint="eastAsia"/>
          <w:color w:val="000000" w:themeColor="text1"/>
        </w:rPr>
        <w:t>）、厂址东南侧小龙白（</w:t>
      </w:r>
      <w:r>
        <w:rPr>
          <w:color w:val="000000" w:themeColor="text1"/>
        </w:rPr>
        <w:t>2#</w:t>
      </w:r>
      <w:r>
        <w:rPr>
          <w:rFonts w:hint="eastAsia"/>
          <w:color w:val="000000" w:themeColor="text1"/>
        </w:rPr>
        <w:t>），厂址下游东北侧</w:t>
      </w:r>
      <w:r>
        <w:rPr>
          <w:color w:val="000000" w:themeColor="text1"/>
        </w:rPr>
        <w:t>2500m</w:t>
      </w:r>
      <w:r>
        <w:rPr>
          <w:rFonts w:hint="eastAsia"/>
          <w:color w:val="000000" w:themeColor="text1"/>
        </w:rPr>
        <w:t>碧云村民井（</w:t>
      </w:r>
      <w:r>
        <w:rPr>
          <w:color w:val="000000" w:themeColor="text1"/>
        </w:rPr>
        <w:t>3#</w:t>
      </w:r>
      <w:r>
        <w:rPr>
          <w:rFonts w:hint="eastAsia"/>
          <w:color w:val="000000" w:themeColor="text1"/>
        </w:rPr>
        <w:t>），各监测点位布设情况见表4.3-2。</w:t>
      </w:r>
    </w:p>
    <w:p>
      <w:pPr>
        <w:pStyle w:val="54"/>
        <w:rPr>
          <w:color w:val="000000" w:themeColor="text1"/>
        </w:rPr>
      </w:pPr>
      <w:r>
        <w:rPr>
          <w:rFonts w:hint="eastAsia"/>
          <w:color w:val="000000" w:themeColor="text1"/>
        </w:rPr>
        <w:t>表4.3-2  地下水补充监测点位设置一览表</w:t>
      </w:r>
    </w:p>
    <w:tbl>
      <w:tblPr>
        <w:tblStyle w:val="42"/>
        <w:tblW w:w="818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79"/>
        <w:gridCol w:w="2061"/>
        <w:gridCol w:w="1915"/>
        <w:gridCol w:w="1789"/>
        <w:gridCol w:w="154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9" w:hRule="atLeast"/>
          <w:jc w:val="center"/>
        </w:trPr>
        <w:tc>
          <w:tcPr>
            <w:tcW w:w="879" w:type="dxa"/>
            <w:vAlign w:val="center"/>
          </w:tcPr>
          <w:p>
            <w:pPr>
              <w:pStyle w:val="55"/>
              <w:rPr>
                <w:color w:val="000000" w:themeColor="text1"/>
              </w:rPr>
            </w:pPr>
            <w:r>
              <w:rPr>
                <w:rFonts w:hint="eastAsia"/>
                <w:color w:val="000000" w:themeColor="text1"/>
              </w:rPr>
              <w:t>序号</w:t>
            </w:r>
          </w:p>
        </w:tc>
        <w:tc>
          <w:tcPr>
            <w:tcW w:w="2061" w:type="dxa"/>
            <w:vAlign w:val="center"/>
          </w:tcPr>
          <w:p>
            <w:pPr>
              <w:pStyle w:val="55"/>
              <w:rPr>
                <w:color w:val="000000" w:themeColor="text1"/>
              </w:rPr>
            </w:pPr>
            <w:r>
              <w:rPr>
                <w:rFonts w:hint="eastAsia"/>
                <w:color w:val="000000" w:themeColor="text1"/>
              </w:rPr>
              <w:t>检测点名称</w:t>
            </w:r>
          </w:p>
        </w:tc>
        <w:tc>
          <w:tcPr>
            <w:tcW w:w="1915" w:type="dxa"/>
            <w:vAlign w:val="center"/>
          </w:tcPr>
          <w:p>
            <w:pPr>
              <w:pStyle w:val="55"/>
              <w:rPr>
                <w:color w:val="000000" w:themeColor="text1"/>
              </w:rPr>
            </w:pPr>
            <w:r>
              <w:rPr>
                <w:rFonts w:hint="eastAsia"/>
                <w:color w:val="000000" w:themeColor="text1"/>
              </w:rPr>
              <w:t>方位</w:t>
            </w:r>
          </w:p>
        </w:tc>
        <w:tc>
          <w:tcPr>
            <w:tcW w:w="1789" w:type="dxa"/>
            <w:vAlign w:val="center"/>
          </w:tcPr>
          <w:p>
            <w:pPr>
              <w:pStyle w:val="55"/>
              <w:rPr>
                <w:color w:val="000000" w:themeColor="text1"/>
              </w:rPr>
            </w:pPr>
            <w:r>
              <w:rPr>
                <w:rFonts w:hint="eastAsia"/>
                <w:color w:val="000000" w:themeColor="text1"/>
              </w:rPr>
              <w:t>距离（</w:t>
            </w:r>
            <w:r>
              <w:rPr>
                <w:color w:val="000000" w:themeColor="text1"/>
              </w:rPr>
              <w:t>m</w:t>
            </w:r>
            <w:r>
              <w:rPr>
                <w:rFonts w:hint="eastAsia"/>
                <w:color w:val="000000" w:themeColor="text1"/>
              </w:rPr>
              <w:t>）</w:t>
            </w:r>
          </w:p>
        </w:tc>
        <w:tc>
          <w:tcPr>
            <w:tcW w:w="1544" w:type="dxa"/>
            <w:vAlign w:val="center"/>
          </w:tcPr>
          <w:p>
            <w:pPr>
              <w:pStyle w:val="55"/>
              <w:rPr>
                <w:color w:val="000000" w:themeColor="text1"/>
              </w:rPr>
            </w:pPr>
            <w:r>
              <w:rPr>
                <w:rFonts w:hint="eastAsia"/>
                <w:color w:val="000000" w:themeColor="text1"/>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9" w:hRule="atLeast"/>
          <w:jc w:val="center"/>
        </w:trPr>
        <w:tc>
          <w:tcPr>
            <w:tcW w:w="879" w:type="dxa"/>
            <w:vAlign w:val="center"/>
          </w:tcPr>
          <w:p>
            <w:pPr>
              <w:pStyle w:val="55"/>
              <w:rPr>
                <w:color w:val="000000" w:themeColor="text1"/>
              </w:rPr>
            </w:pPr>
            <w:r>
              <w:rPr>
                <w:color w:val="000000" w:themeColor="text1"/>
              </w:rPr>
              <w:t>1</w:t>
            </w:r>
          </w:p>
        </w:tc>
        <w:tc>
          <w:tcPr>
            <w:tcW w:w="2061" w:type="dxa"/>
            <w:vAlign w:val="center"/>
          </w:tcPr>
          <w:p>
            <w:pPr>
              <w:pStyle w:val="55"/>
              <w:rPr>
                <w:color w:val="000000" w:themeColor="text1"/>
              </w:rPr>
            </w:pPr>
            <w:r>
              <w:rPr>
                <w:rFonts w:hint="eastAsia"/>
                <w:color w:val="000000" w:themeColor="text1"/>
              </w:rPr>
              <w:t>上舍克村</w:t>
            </w:r>
          </w:p>
        </w:tc>
        <w:tc>
          <w:tcPr>
            <w:tcW w:w="1915" w:type="dxa"/>
            <w:vAlign w:val="center"/>
          </w:tcPr>
          <w:p>
            <w:pPr>
              <w:pStyle w:val="55"/>
              <w:rPr>
                <w:color w:val="000000" w:themeColor="text1"/>
              </w:rPr>
            </w:pPr>
            <w:r>
              <w:rPr>
                <w:rFonts w:hint="eastAsia"/>
                <w:color w:val="000000" w:themeColor="text1"/>
              </w:rPr>
              <w:t>西南侧、上游</w:t>
            </w:r>
          </w:p>
        </w:tc>
        <w:tc>
          <w:tcPr>
            <w:tcW w:w="1789" w:type="dxa"/>
            <w:vAlign w:val="center"/>
          </w:tcPr>
          <w:p>
            <w:pPr>
              <w:pStyle w:val="55"/>
              <w:rPr>
                <w:color w:val="000000" w:themeColor="text1"/>
              </w:rPr>
            </w:pPr>
            <w:r>
              <w:rPr>
                <w:rFonts w:hint="eastAsia"/>
                <w:color w:val="000000" w:themeColor="text1"/>
              </w:rPr>
              <w:t>1500</w:t>
            </w:r>
          </w:p>
        </w:tc>
        <w:tc>
          <w:tcPr>
            <w:tcW w:w="1544" w:type="dxa"/>
            <w:vMerge w:val="restart"/>
            <w:vAlign w:val="center"/>
          </w:tcPr>
          <w:p>
            <w:pPr>
              <w:pStyle w:val="55"/>
              <w:rPr>
                <w:color w:val="000000" w:themeColor="text1"/>
              </w:rPr>
            </w:pPr>
            <w:r>
              <w:rPr>
                <w:rFonts w:hint="eastAsia"/>
                <w:color w:val="000000" w:themeColor="text1"/>
              </w:rPr>
              <w:t>水质检测点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9" w:hRule="atLeast"/>
          <w:jc w:val="center"/>
        </w:trPr>
        <w:tc>
          <w:tcPr>
            <w:tcW w:w="879" w:type="dxa"/>
            <w:vAlign w:val="center"/>
          </w:tcPr>
          <w:p>
            <w:pPr>
              <w:pStyle w:val="55"/>
              <w:rPr>
                <w:color w:val="000000" w:themeColor="text1"/>
              </w:rPr>
            </w:pPr>
            <w:r>
              <w:rPr>
                <w:rFonts w:hint="eastAsia"/>
                <w:color w:val="000000" w:themeColor="text1"/>
              </w:rPr>
              <w:t>2</w:t>
            </w:r>
          </w:p>
        </w:tc>
        <w:tc>
          <w:tcPr>
            <w:tcW w:w="2061" w:type="dxa"/>
            <w:vAlign w:val="center"/>
          </w:tcPr>
          <w:p>
            <w:pPr>
              <w:pStyle w:val="55"/>
              <w:rPr>
                <w:color w:val="000000" w:themeColor="text1"/>
              </w:rPr>
            </w:pPr>
            <w:r>
              <w:rPr>
                <w:rFonts w:hint="eastAsia"/>
                <w:color w:val="000000" w:themeColor="text1"/>
              </w:rPr>
              <w:t>小龙白</w:t>
            </w:r>
          </w:p>
        </w:tc>
        <w:tc>
          <w:tcPr>
            <w:tcW w:w="1915" w:type="dxa"/>
            <w:vAlign w:val="center"/>
          </w:tcPr>
          <w:p>
            <w:pPr>
              <w:pStyle w:val="55"/>
              <w:rPr>
                <w:color w:val="000000" w:themeColor="text1"/>
              </w:rPr>
            </w:pPr>
            <w:r>
              <w:rPr>
                <w:rFonts w:hint="eastAsia"/>
                <w:color w:val="000000" w:themeColor="text1"/>
              </w:rPr>
              <w:t>东南侧</w:t>
            </w:r>
          </w:p>
        </w:tc>
        <w:tc>
          <w:tcPr>
            <w:tcW w:w="1789" w:type="dxa"/>
            <w:vAlign w:val="center"/>
          </w:tcPr>
          <w:p>
            <w:pPr>
              <w:pStyle w:val="55"/>
              <w:rPr>
                <w:color w:val="000000" w:themeColor="text1"/>
              </w:rPr>
            </w:pPr>
            <w:r>
              <w:rPr>
                <w:rFonts w:hint="eastAsia"/>
                <w:color w:val="000000" w:themeColor="text1"/>
              </w:rPr>
              <w:t>500</w:t>
            </w:r>
          </w:p>
        </w:tc>
        <w:tc>
          <w:tcPr>
            <w:tcW w:w="1544" w:type="dxa"/>
            <w:vMerge w:val="continue"/>
            <w:vAlign w:val="center"/>
          </w:tcPr>
          <w:p>
            <w:pPr>
              <w:pStyle w:val="55"/>
              <w:rPr>
                <w:color w:val="000000" w:themeColor="text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9" w:hRule="atLeast"/>
          <w:jc w:val="center"/>
        </w:trPr>
        <w:tc>
          <w:tcPr>
            <w:tcW w:w="879" w:type="dxa"/>
            <w:vAlign w:val="center"/>
          </w:tcPr>
          <w:p>
            <w:pPr>
              <w:pStyle w:val="55"/>
              <w:rPr>
                <w:color w:val="000000" w:themeColor="text1"/>
              </w:rPr>
            </w:pPr>
            <w:r>
              <w:rPr>
                <w:rFonts w:hint="eastAsia"/>
                <w:color w:val="000000" w:themeColor="text1"/>
              </w:rPr>
              <w:t>3</w:t>
            </w:r>
          </w:p>
        </w:tc>
        <w:tc>
          <w:tcPr>
            <w:tcW w:w="2061" w:type="dxa"/>
            <w:vAlign w:val="center"/>
          </w:tcPr>
          <w:p>
            <w:pPr>
              <w:pStyle w:val="55"/>
              <w:rPr>
                <w:color w:val="000000" w:themeColor="text1"/>
              </w:rPr>
            </w:pPr>
            <w:r>
              <w:rPr>
                <w:rFonts w:hint="eastAsia"/>
                <w:color w:val="000000" w:themeColor="text1"/>
              </w:rPr>
              <w:t>碧云村</w:t>
            </w:r>
          </w:p>
        </w:tc>
        <w:tc>
          <w:tcPr>
            <w:tcW w:w="1915" w:type="dxa"/>
            <w:vAlign w:val="center"/>
          </w:tcPr>
          <w:p>
            <w:pPr>
              <w:pStyle w:val="55"/>
              <w:rPr>
                <w:color w:val="000000" w:themeColor="text1"/>
              </w:rPr>
            </w:pPr>
            <w:r>
              <w:rPr>
                <w:rFonts w:hint="eastAsia"/>
                <w:color w:val="000000" w:themeColor="text1"/>
              </w:rPr>
              <w:t>东北侧、下游</w:t>
            </w:r>
          </w:p>
        </w:tc>
        <w:tc>
          <w:tcPr>
            <w:tcW w:w="1789" w:type="dxa"/>
            <w:vAlign w:val="center"/>
          </w:tcPr>
          <w:p>
            <w:pPr>
              <w:pStyle w:val="55"/>
              <w:rPr>
                <w:color w:val="000000" w:themeColor="text1"/>
              </w:rPr>
            </w:pPr>
            <w:r>
              <w:rPr>
                <w:rFonts w:hint="eastAsia"/>
                <w:color w:val="000000" w:themeColor="text1"/>
              </w:rPr>
              <w:t>2500</w:t>
            </w:r>
          </w:p>
        </w:tc>
        <w:tc>
          <w:tcPr>
            <w:tcW w:w="1544" w:type="dxa"/>
            <w:vMerge w:val="continue"/>
            <w:vAlign w:val="center"/>
          </w:tcPr>
          <w:p>
            <w:pPr>
              <w:pStyle w:val="55"/>
              <w:rPr>
                <w:color w:val="000000" w:themeColor="text1"/>
              </w:rPr>
            </w:pPr>
          </w:p>
        </w:tc>
      </w:tr>
    </w:tbl>
    <w:p>
      <w:pPr>
        <w:ind w:firstLine="480"/>
        <w:rPr>
          <w:color w:val="000000" w:themeColor="text1"/>
          <w:kern w:val="0"/>
        </w:rPr>
      </w:pPr>
      <w:r>
        <w:rPr>
          <w:rFonts w:hint="eastAsia"/>
          <w:color w:val="000000" w:themeColor="text1"/>
          <w:kern w:val="0"/>
        </w:rPr>
        <w:t>（</w:t>
      </w:r>
      <w:r>
        <w:rPr>
          <w:color w:val="000000" w:themeColor="text1"/>
          <w:kern w:val="0"/>
        </w:rPr>
        <w:t>2</w:t>
      </w:r>
      <w:r>
        <w:rPr>
          <w:rFonts w:hint="eastAsia"/>
          <w:color w:val="000000" w:themeColor="text1"/>
          <w:kern w:val="0"/>
        </w:rPr>
        <w:t>）监测项目</w:t>
      </w:r>
    </w:p>
    <w:p>
      <w:pPr>
        <w:ind w:firstLine="480"/>
        <w:rPr>
          <w:rFonts w:hAnsi="宋体"/>
          <w:color w:val="000000" w:themeColor="text1"/>
        </w:rPr>
      </w:pPr>
      <w:r>
        <w:rPr>
          <w:rFonts w:hint="eastAsia"/>
          <w:color w:val="000000" w:themeColor="text1"/>
        </w:rPr>
        <w:t>①八大离子：</w:t>
      </w:r>
      <w:r>
        <w:rPr>
          <w:color w:val="000000" w:themeColor="text1"/>
        </w:rPr>
        <w:t>Na</w:t>
      </w:r>
      <w:r>
        <w:rPr>
          <w:color w:val="000000" w:themeColor="text1"/>
          <w:vertAlign w:val="superscript"/>
        </w:rPr>
        <w:t>+</w:t>
      </w:r>
      <w:r>
        <w:rPr>
          <w:rFonts w:hint="eastAsia" w:hAnsi="宋体"/>
          <w:color w:val="000000" w:themeColor="text1"/>
        </w:rPr>
        <w:t>、</w:t>
      </w:r>
      <w:r>
        <w:rPr>
          <w:color w:val="000000" w:themeColor="text1"/>
        </w:rPr>
        <w:t>K</w:t>
      </w:r>
      <w:r>
        <w:rPr>
          <w:color w:val="000000" w:themeColor="text1"/>
          <w:vertAlign w:val="superscript"/>
        </w:rPr>
        <w:t>+</w:t>
      </w:r>
      <w:r>
        <w:rPr>
          <w:rFonts w:hint="eastAsia" w:hAnsi="宋体"/>
          <w:color w:val="000000" w:themeColor="text1"/>
        </w:rPr>
        <w:t>、</w:t>
      </w:r>
      <w:r>
        <w:rPr>
          <w:color w:val="000000" w:themeColor="text1"/>
        </w:rPr>
        <w:t>Mg</w:t>
      </w:r>
      <w:r>
        <w:rPr>
          <w:color w:val="000000" w:themeColor="text1"/>
          <w:vertAlign w:val="superscript"/>
        </w:rPr>
        <w:t>2+</w:t>
      </w:r>
      <w:r>
        <w:rPr>
          <w:rFonts w:hint="eastAsia" w:hAnsi="宋体"/>
          <w:color w:val="000000" w:themeColor="text1"/>
        </w:rPr>
        <w:t>、</w:t>
      </w:r>
      <w:r>
        <w:rPr>
          <w:color w:val="000000" w:themeColor="text1"/>
        </w:rPr>
        <w:t>Ca</w:t>
      </w:r>
      <w:r>
        <w:rPr>
          <w:color w:val="000000" w:themeColor="text1"/>
          <w:vertAlign w:val="superscript"/>
        </w:rPr>
        <w:t>2+</w:t>
      </w:r>
      <w:r>
        <w:rPr>
          <w:rFonts w:hint="eastAsia" w:hAnsi="宋体"/>
          <w:color w:val="000000" w:themeColor="text1"/>
        </w:rPr>
        <w:t>、</w:t>
      </w:r>
      <w:r>
        <w:rPr>
          <w:color w:val="000000" w:themeColor="text1"/>
        </w:rPr>
        <w:t>Cl</w:t>
      </w:r>
      <w:r>
        <w:rPr>
          <w:color w:val="000000" w:themeColor="text1"/>
          <w:vertAlign w:val="superscript"/>
        </w:rPr>
        <w:t>-</w:t>
      </w:r>
      <w:r>
        <w:rPr>
          <w:rFonts w:hint="eastAsia" w:hAnsi="宋体"/>
          <w:color w:val="000000" w:themeColor="text1"/>
        </w:rPr>
        <w:t>、</w:t>
      </w:r>
      <w:r>
        <w:rPr>
          <w:color w:val="000000" w:themeColor="text1"/>
        </w:rPr>
        <w:t>SO</w:t>
      </w:r>
      <w:r>
        <w:rPr>
          <w:color w:val="000000" w:themeColor="text1"/>
          <w:vertAlign w:val="subscript"/>
        </w:rPr>
        <w:t>4</w:t>
      </w:r>
      <w:r>
        <w:rPr>
          <w:color w:val="000000" w:themeColor="text1"/>
          <w:vertAlign w:val="superscript"/>
        </w:rPr>
        <w:t>2-</w:t>
      </w:r>
      <w:r>
        <w:rPr>
          <w:rFonts w:hint="eastAsia" w:hAnsi="宋体"/>
          <w:color w:val="000000" w:themeColor="text1"/>
        </w:rPr>
        <w:t>、</w:t>
      </w:r>
      <w:r>
        <w:rPr>
          <w:color w:val="000000" w:themeColor="text1"/>
        </w:rPr>
        <w:t>HCO</w:t>
      </w:r>
      <w:r>
        <w:rPr>
          <w:color w:val="000000" w:themeColor="text1"/>
          <w:vertAlign w:val="subscript"/>
        </w:rPr>
        <w:t>3</w:t>
      </w:r>
      <w:r>
        <w:rPr>
          <w:color w:val="000000" w:themeColor="text1"/>
          <w:vertAlign w:val="superscript"/>
        </w:rPr>
        <w:t>-</w:t>
      </w:r>
      <w:r>
        <w:rPr>
          <w:rFonts w:hint="eastAsia" w:hAnsi="宋体"/>
          <w:color w:val="000000" w:themeColor="text1"/>
        </w:rPr>
        <w:t>、</w:t>
      </w:r>
      <w:r>
        <w:rPr>
          <w:color w:val="000000" w:themeColor="text1"/>
        </w:rPr>
        <w:t>CO</w:t>
      </w:r>
      <w:r>
        <w:rPr>
          <w:color w:val="000000" w:themeColor="text1"/>
          <w:vertAlign w:val="subscript"/>
        </w:rPr>
        <w:t>3</w:t>
      </w:r>
      <w:r>
        <w:rPr>
          <w:color w:val="000000" w:themeColor="text1"/>
          <w:vertAlign w:val="superscript"/>
        </w:rPr>
        <w:t>2-</w:t>
      </w:r>
      <w:r>
        <w:rPr>
          <w:rFonts w:hint="eastAsia" w:hAnsi="宋体"/>
          <w:color w:val="000000" w:themeColor="text1"/>
        </w:rPr>
        <w:t>。</w:t>
      </w:r>
    </w:p>
    <w:p>
      <w:pPr>
        <w:ind w:firstLine="480"/>
        <w:rPr>
          <w:color w:val="000000" w:themeColor="text1"/>
        </w:rPr>
      </w:pPr>
      <w:r>
        <w:rPr>
          <w:rFonts w:hint="eastAsia" w:hAnsi="宋体"/>
          <w:color w:val="000000" w:themeColor="text1"/>
        </w:rPr>
        <w:t>②基本水质因子：</w:t>
      </w:r>
      <w:r>
        <w:rPr>
          <w:color w:val="000000" w:themeColor="text1"/>
        </w:rPr>
        <w:t>pH</w:t>
      </w:r>
      <w:r>
        <w:rPr>
          <w:rFonts w:hint="eastAsia" w:hAnsi="宋体"/>
          <w:color w:val="000000" w:themeColor="text1"/>
        </w:rPr>
        <w:t>、氨氮、</w:t>
      </w:r>
      <w:r>
        <w:rPr>
          <w:color w:val="000000" w:themeColor="text1"/>
          <w:spacing w:val="-20"/>
        </w:rPr>
        <w:t>COD</w:t>
      </w:r>
      <w:r>
        <w:rPr>
          <w:rFonts w:hint="eastAsia" w:hAnsi="宋体"/>
          <w:color w:val="000000" w:themeColor="text1"/>
        </w:rPr>
        <w:t>、硝酸盐、亚硝酸盐、挥发酚、氰化物、汞、砷、六价铬、铅、镉、铁、锰、铜、锌、总硬度、溶解性总固体、高锰酸盐指数、硫酸盐、氯化物、总大肠菌群、细菌总数，共</w:t>
      </w:r>
      <w:r>
        <w:rPr>
          <w:rFonts w:hAnsi="宋体"/>
          <w:color w:val="000000" w:themeColor="text1"/>
        </w:rPr>
        <w:t>23</w:t>
      </w:r>
      <w:r>
        <w:rPr>
          <w:rFonts w:hint="eastAsia" w:hAnsi="宋体"/>
          <w:color w:val="000000" w:themeColor="text1"/>
        </w:rPr>
        <w:t>项</w:t>
      </w:r>
      <w:r>
        <w:rPr>
          <w:rFonts w:hint="eastAsia"/>
          <w:color w:val="000000" w:themeColor="text1"/>
          <w:kern w:val="0"/>
        </w:rPr>
        <w:t>。</w:t>
      </w:r>
    </w:p>
    <w:p>
      <w:pPr>
        <w:ind w:firstLine="480"/>
        <w:rPr>
          <w:color w:val="000000" w:themeColor="text1"/>
          <w:kern w:val="0"/>
        </w:rPr>
      </w:pPr>
      <w:r>
        <w:rPr>
          <w:rFonts w:hint="eastAsia"/>
          <w:color w:val="000000" w:themeColor="text1"/>
          <w:kern w:val="0"/>
        </w:rPr>
        <w:t>（</w:t>
      </w:r>
      <w:r>
        <w:rPr>
          <w:color w:val="000000" w:themeColor="text1"/>
          <w:kern w:val="0"/>
        </w:rPr>
        <w:t>3</w:t>
      </w:r>
      <w:r>
        <w:rPr>
          <w:rFonts w:hint="eastAsia"/>
          <w:color w:val="000000" w:themeColor="text1"/>
          <w:kern w:val="0"/>
        </w:rPr>
        <w:t>）监测频次和时间</w:t>
      </w:r>
    </w:p>
    <w:p>
      <w:pPr>
        <w:ind w:firstLine="480"/>
        <w:rPr>
          <w:color w:val="000000" w:themeColor="text1"/>
          <w:kern w:val="0"/>
        </w:rPr>
      </w:pPr>
      <w:r>
        <w:rPr>
          <w:rFonts w:hint="eastAsia"/>
          <w:color w:val="000000" w:themeColor="text1"/>
          <w:szCs w:val="21"/>
        </w:rPr>
        <w:t>上舍克村、小龙白、碧云村民井</w:t>
      </w:r>
      <w:r>
        <w:rPr>
          <w:rFonts w:hint="eastAsia"/>
          <w:color w:val="000000" w:themeColor="text1"/>
          <w:kern w:val="0"/>
        </w:rPr>
        <w:t>：</w:t>
      </w:r>
      <w:r>
        <w:rPr>
          <w:color w:val="000000" w:themeColor="text1"/>
          <w:kern w:val="0"/>
        </w:rPr>
        <w:t>20</w:t>
      </w:r>
      <w:r>
        <w:rPr>
          <w:rFonts w:hint="eastAsia"/>
          <w:color w:val="000000" w:themeColor="text1"/>
          <w:kern w:val="0"/>
        </w:rPr>
        <w:t>20年06月03日-06月05日，连续采样</w:t>
      </w:r>
      <w:r>
        <w:rPr>
          <w:color w:val="000000" w:themeColor="text1"/>
          <w:kern w:val="0"/>
        </w:rPr>
        <w:t>3</w:t>
      </w:r>
      <w:r>
        <w:rPr>
          <w:rFonts w:hint="eastAsia"/>
          <w:color w:val="000000" w:themeColor="text1"/>
          <w:kern w:val="0"/>
        </w:rPr>
        <w:t>天，每天采样监测分析</w:t>
      </w:r>
      <w:r>
        <w:rPr>
          <w:color w:val="000000" w:themeColor="text1"/>
          <w:kern w:val="0"/>
        </w:rPr>
        <w:t>1</w:t>
      </w:r>
      <w:r>
        <w:rPr>
          <w:rFonts w:hint="eastAsia"/>
          <w:color w:val="000000" w:themeColor="text1"/>
          <w:kern w:val="0"/>
        </w:rPr>
        <w:t>次。</w:t>
      </w:r>
    </w:p>
    <w:p>
      <w:pPr>
        <w:ind w:firstLine="480"/>
        <w:rPr>
          <w:color w:val="000000" w:themeColor="text1"/>
          <w:kern w:val="0"/>
        </w:rPr>
      </w:pPr>
      <w:r>
        <w:rPr>
          <w:rFonts w:hint="eastAsia"/>
          <w:color w:val="000000" w:themeColor="text1"/>
          <w:kern w:val="0"/>
        </w:rPr>
        <w:t>（</w:t>
      </w:r>
      <w:r>
        <w:rPr>
          <w:color w:val="000000" w:themeColor="text1"/>
          <w:kern w:val="0"/>
        </w:rPr>
        <w:t>4</w:t>
      </w:r>
      <w:r>
        <w:rPr>
          <w:rFonts w:hint="eastAsia"/>
          <w:color w:val="000000" w:themeColor="text1"/>
          <w:kern w:val="0"/>
        </w:rPr>
        <w:t>）评价区环境空气质量标准</w:t>
      </w:r>
    </w:p>
    <w:p>
      <w:pPr>
        <w:ind w:firstLine="480"/>
        <w:rPr>
          <w:color w:val="000000" w:themeColor="text1"/>
          <w:kern w:val="0"/>
        </w:rPr>
      </w:pPr>
      <w:r>
        <w:rPr>
          <w:rFonts w:hint="eastAsia"/>
          <w:color w:val="000000" w:themeColor="text1"/>
          <w:kern w:val="0"/>
        </w:rPr>
        <w:t>评价区和各关心点执行《地下水质量标准》（</w:t>
      </w:r>
      <w:r>
        <w:rPr>
          <w:color w:val="000000" w:themeColor="text1"/>
          <w:kern w:val="0"/>
        </w:rPr>
        <w:t>GB/T14848-2017</w:t>
      </w:r>
      <w:r>
        <w:rPr>
          <w:rFonts w:hint="eastAsia"/>
          <w:color w:val="000000" w:themeColor="text1"/>
          <w:kern w:val="0"/>
        </w:rPr>
        <w:t>）</w:t>
      </w:r>
      <w:r>
        <w:rPr>
          <w:color w:val="000000" w:themeColor="text1"/>
          <w:kern w:val="0"/>
        </w:rPr>
        <w:t>Ⅲ</w:t>
      </w:r>
      <w:r>
        <w:rPr>
          <w:rFonts w:hint="eastAsia"/>
          <w:color w:val="000000" w:themeColor="text1"/>
          <w:kern w:val="0"/>
        </w:rPr>
        <w:t>类标准。</w:t>
      </w:r>
    </w:p>
    <w:p>
      <w:pPr>
        <w:ind w:firstLine="480"/>
        <w:rPr>
          <w:color w:val="000000" w:themeColor="text1"/>
          <w:kern w:val="0"/>
        </w:rPr>
      </w:pPr>
      <w:r>
        <w:rPr>
          <w:rFonts w:hint="eastAsia"/>
          <w:color w:val="000000" w:themeColor="text1"/>
          <w:kern w:val="0"/>
        </w:rPr>
        <w:t>（</w:t>
      </w:r>
      <w:r>
        <w:rPr>
          <w:color w:val="000000" w:themeColor="text1"/>
          <w:kern w:val="0"/>
        </w:rPr>
        <w:t>5</w:t>
      </w:r>
      <w:r>
        <w:rPr>
          <w:rFonts w:hint="eastAsia"/>
          <w:color w:val="000000" w:themeColor="text1"/>
          <w:kern w:val="0"/>
        </w:rPr>
        <w:t>）监测结果</w:t>
      </w:r>
    </w:p>
    <w:p>
      <w:pPr>
        <w:ind w:firstLine="480"/>
        <w:rPr>
          <w:rFonts w:cs="Times New Roman"/>
          <w:color w:val="000000" w:themeColor="text1"/>
        </w:rPr>
      </w:pPr>
      <w:r>
        <w:rPr>
          <w:rFonts w:hAnsi="Calibri" w:cs="Times New Roman"/>
          <w:color w:val="000000" w:themeColor="text1"/>
        </w:rPr>
        <w:t>地下水各测点八大因子检测结果见</w:t>
      </w:r>
      <w:r>
        <w:rPr>
          <w:rFonts w:cs="Times New Roman"/>
          <w:color w:val="000000" w:themeColor="text1"/>
          <w:kern w:val="0"/>
        </w:rPr>
        <w:t>表4.3-</w:t>
      </w:r>
      <w:r>
        <w:rPr>
          <w:rFonts w:hint="eastAsia" w:cs="Times New Roman"/>
          <w:color w:val="000000" w:themeColor="text1"/>
          <w:kern w:val="0"/>
        </w:rPr>
        <w:t>3</w:t>
      </w:r>
      <w:r>
        <w:rPr>
          <w:rFonts w:cs="Times New Roman"/>
          <w:color w:val="000000" w:themeColor="text1"/>
          <w:kern w:val="0"/>
        </w:rPr>
        <w:t>，</w:t>
      </w:r>
      <w:r>
        <w:rPr>
          <w:rFonts w:hAnsi="Calibri" w:cs="Times New Roman"/>
          <w:color w:val="000000" w:themeColor="text1"/>
        </w:rPr>
        <w:t>地下水各测点评价因子检测结果及分析见表</w:t>
      </w:r>
      <w:r>
        <w:rPr>
          <w:rFonts w:cs="Times New Roman"/>
          <w:color w:val="000000" w:themeColor="text1"/>
        </w:rPr>
        <w:t>4.3-</w:t>
      </w:r>
      <w:r>
        <w:rPr>
          <w:rFonts w:hint="eastAsia" w:cs="Times New Roman"/>
          <w:color w:val="000000" w:themeColor="text1"/>
        </w:rPr>
        <w:t>4</w:t>
      </w:r>
      <w:r>
        <w:rPr>
          <w:rFonts w:cs="Times New Roman"/>
          <w:color w:val="000000" w:themeColor="text1"/>
          <w:kern w:val="0"/>
        </w:rPr>
        <w:t>。</w:t>
      </w:r>
    </w:p>
    <w:p>
      <w:pPr>
        <w:pStyle w:val="54"/>
        <w:rPr>
          <w:color w:val="000000" w:themeColor="text1"/>
          <w:szCs w:val="21"/>
        </w:rPr>
      </w:pPr>
      <w:r>
        <w:rPr>
          <w:rFonts w:hint="eastAsia"/>
          <w:color w:val="000000" w:themeColor="text1"/>
          <w:szCs w:val="21"/>
        </w:rPr>
        <w:t>表4.3-3  地下水各测点八大因子检测结果</w:t>
      </w:r>
      <w:r>
        <w:rPr>
          <w:color w:val="000000" w:themeColor="text1"/>
          <w:szCs w:val="21"/>
        </w:rPr>
        <w:t xml:space="preserve">  </w:t>
      </w:r>
      <w:r>
        <w:rPr>
          <w:rFonts w:hint="eastAsia"/>
          <w:color w:val="000000" w:themeColor="text1"/>
          <w:szCs w:val="21"/>
        </w:rPr>
        <w:t>单位：</w:t>
      </w:r>
      <w:r>
        <w:rPr>
          <w:color w:val="000000" w:themeColor="text1"/>
          <w:szCs w:val="21"/>
        </w:rPr>
        <w:t>mg/L</w:t>
      </w:r>
    </w:p>
    <w:tbl>
      <w:tblPr>
        <w:tblStyle w:val="42"/>
        <w:tblW w:w="807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47"/>
        <w:gridCol w:w="1307"/>
        <w:gridCol w:w="1985"/>
        <w:gridCol w:w="2048"/>
        <w:gridCol w:w="189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847" w:type="dxa"/>
            <w:vAlign w:val="center"/>
          </w:tcPr>
          <w:p>
            <w:pPr>
              <w:pStyle w:val="55"/>
              <w:rPr>
                <w:color w:val="000000" w:themeColor="text1"/>
              </w:rPr>
            </w:pPr>
            <w:r>
              <w:rPr>
                <w:rFonts w:hint="eastAsia"/>
                <w:color w:val="000000" w:themeColor="text1"/>
              </w:rPr>
              <w:t>序号</w:t>
            </w:r>
          </w:p>
        </w:tc>
        <w:tc>
          <w:tcPr>
            <w:tcW w:w="1307" w:type="dxa"/>
            <w:vAlign w:val="center"/>
          </w:tcPr>
          <w:p>
            <w:pPr>
              <w:pStyle w:val="55"/>
              <w:rPr>
                <w:color w:val="000000" w:themeColor="text1"/>
              </w:rPr>
            </w:pPr>
            <w:r>
              <w:rPr>
                <w:rFonts w:hint="eastAsia"/>
                <w:color w:val="000000" w:themeColor="text1"/>
              </w:rPr>
              <w:t>评价因子</w:t>
            </w:r>
          </w:p>
        </w:tc>
        <w:tc>
          <w:tcPr>
            <w:tcW w:w="1985" w:type="dxa"/>
            <w:vAlign w:val="center"/>
          </w:tcPr>
          <w:p>
            <w:pPr>
              <w:pStyle w:val="55"/>
              <w:rPr>
                <w:color w:val="000000" w:themeColor="text1"/>
              </w:rPr>
            </w:pPr>
            <w:r>
              <w:rPr>
                <w:rFonts w:hint="eastAsia"/>
                <w:color w:val="000000" w:themeColor="text1"/>
              </w:rPr>
              <w:t>上舍克村</w:t>
            </w:r>
          </w:p>
        </w:tc>
        <w:tc>
          <w:tcPr>
            <w:tcW w:w="2048" w:type="dxa"/>
            <w:vAlign w:val="center"/>
          </w:tcPr>
          <w:p>
            <w:pPr>
              <w:pStyle w:val="55"/>
              <w:rPr>
                <w:color w:val="000000" w:themeColor="text1"/>
              </w:rPr>
            </w:pPr>
            <w:r>
              <w:rPr>
                <w:rFonts w:hint="eastAsia"/>
                <w:color w:val="000000" w:themeColor="text1"/>
              </w:rPr>
              <w:t>小龙白</w:t>
            </w:r>
          </w:p>
        </w:tc>
        <w:tc>
          <w:tcPr>
            <w:tcW w:w="1891" w:type="dxa"/>
            <w:vAlign w:val="center"/>
          </w:tcPr>
          <w:p>
            <w:pPr>
              <w:pStyle w:val="55"/>
              <w:rPr>
                <w:color w:val="000000" w:themeColor="text1"/>
              </w:rPr>
            </w:pPr>
            <w:r>
              <w:rPr>
                <w:rFonts w:hint="eastAsia"/>
                <w:color w:val="000000" w:themeColor="text1"/>
              </w:rPr>
              <w:t>碧云村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847" w:type="dxa"/>
            <w:vAlign w:val="center"/>
          </w:tcPr>
          <w:p>
            <w:pPr>
              <w:pStyle w:val="55"/>
              <w:rPr>
                <w:bCs/>
                <w:color w:val="000000" w:themeColor="text1"/>
              </w:rPr>
            </w:pPr>
            <w:r>
              <w:rPr>
                <w:bCs/>
                <w:color w:val="000000" w:themeColor="text1"/>
              </w:rPr>
              <w:t>1</w:t>
            </w:r>
          </w:p>
        </w:tc>
        <w:tc>
          <w:tcPr>
            <w:tcW w:w="1307" w:type="dxa"/>
            <w:vAlign w:val="center"/>
          </w:tcPr>
          <w:p>
            <w:pPr>
              <w:pStyle w:val="55"/>
              <w:rPr>
                <w:color w:val="000000" w:themeColor="text1"/>
              </w:rPr>
            </w:pPr>
            <w:r>
              <w:rPr>
                <w:color w:val="000000" w:themeColor="text1"/>
              </w:rPr>
              <w:t>K</w:t>
            </w:r>
            <w:r>
              <w:rPr>
                <w:color w:val="000000" w:themeColor="text1"/>
                <w:vertAlign w:val="superscript"/>
              </w:rPr>
              <w:t>+</w:t>
            </w:r>
          </w:p>
        </w:tc>
        <w:tc>
          <w:tcPr>
            <w:tcW w:w="1985" w:type="dxa"/>
            <w:vAlign w:val="center"/>
          </w:tcPr>
          <w:p>
            <w:pPr>
              <w:pStyle w:val="55"/>
              <w:rPr>
                <w:color w:val="000000" w:themeColor="text1"/>
              </w:rPr>
            </w:pPr>
            <w:r>
              <w:rPr>
                <w:rFonts w:hint="eastAsia"/>
                <w:color w:val="000000" w:themeColor="text1"/>
              </w:rPr>
              <w:t>1.62~2.79</w:t>
            </w:r>
          </w:p>
        </w:tc>
        <w:tc>
          <w:tcPr>
            <w:tcW w:w="2048" w:type="dxa"/>
            <w:vAlign w:val="center"/>
          </w:tcPr>
          <w:p>
            <w:pPr>
              <w:pStyle w:val="55"/>
              <w:rPr>
                <w:color w:val="000000" w:themeColor="text1"/>
              </w:rPr>
            </w:pPr>
            <w:r>
              <w:rPr>
                <w:rFonts w:hint="eastAsia"/>
                <w:color w:val="000000" w:themeColor="text1"/>
              </w:rPr>
              <w:t>4.73~4.85</w:t>
            </w:r>
          </w:p>
        </w:tc>
        <w:tc>
          <w:tcPr>
            <w:tcW w:w="1891" w:type="dxa"/>
            <w:vAlign w:val="center"/>
          </w:tcPr>
          <w:p>
            <w:pPr>
              <w:pStyle w:val="55"/>
              <w:rPr>
                <w:color w:val="000000" w:themeColor="text1"/>
              </w:rPr>
            </w:pPr>
            <w:r>
              <w:rPr>
                <w:rFonts w:hint="eastAsia"/>
                <w:color w:val="000000" w:themeColor="text1"/>
              </w:rPr>
              <w:t>2.28~2.67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847" w:type="dxa"/>
            <w:vAlign w:val="center"/>
          </w:tcPr>
          <w:p>
            <w:pPr>
              <w:pStyle w:val="55"/>
              <w:rPr>
                <w:color w:val="000000" w:themeColor="text1"/>
              </w:rPr>
            </w:pPr>
            <w:r>
              <w:rPr>
                <w:color w:val="000000" w:themeColor="text1"/>
              </w:rPr>
              <w:t>2</w:t>
            </w:r>
          </w:p>
        </w:tc>
        <w:tc>
          <w:tcPr>
            <w:tcW w:w="1307" w:type="dxa"/>
            <w:vAlign w:val="center"/>
          </w:tcPr>
          <w:p>
            <w:pPr>
              <w:pStyle w:val="55"/>
              <w:rPr>
                <w:color w:val="000000" w:themeColor="text1"/>
              </w:rPr>
            </w:pPr>
            <w:r>
              <w:rPr>
                <w:color w:val="000000" w:themeColor="text1"/>
              </w:rPr>
              <w:t>Na</w:t>
            </w:r>
            <w:r>
              <w:rPr>
                <w:color w:val="000000" w:themeColor="text1"/>
                <w:vertAlign w:val="superscript"/>
              </w:rPr>
              <w:t>+</w:t>
            </w:r>
          </w:p>
        </w:tc>
        <w:tc>
          <w:tcPr>
            <w:tcW w:w="1985" w:type="dxa"/>
            <w:vAlign w:val="center"/>
          </w:tcPr>
          <w:p>
            <w:pPr>
              <w:pStyle w:val="55"/>
              <w:rPr>
                <w:color w:val="000000" w:themeColor="text1"/>
              </w:rPr>
            </w:pPr>
            <w:r>
              <w:rPr>
                <w:rFonts w:hint="eastAsia"/>
                <w:color w:val="000000" w:themeColor="text1"/>
              </w:rPr>
              <w:t>6.89~7.14</w:t>
            </w:r>
          </w:p>
        </w:tc>
        <w:tc>
          <w:tcPr>
            <w:tcW w:w="2048" w:type="dxa"/>
            <w:vAlign w:val="center"/>
          </w:tcPr>
          <w:p>
            <w:pPr>
              <w:pStyle w:val="55"/>
              <w:rPr>
                <w:color w:val="000000" w:themeColor="text1"/>
              </w:rPr>
            </w:pPr>
            <w:r>
              <w:rPr>
                <w:rFonts w:hint="eastAsia"/>
                <w:color w:val="000000" w:themeColor="text1"/>
              </w:rPr>
              <w:t>5.64~5.88</w:t>
            </w:r>
          </w:p>
        </w:tc>
        <w:tc>
          <w:tcPr>
            <w:tcW w:w="1891" w:type="dxa"/>
            <w:vAlign w:val="center"/>
          </w:tcPr>
          <w:p>
            <w:pPr>
              <w:pStyle w:val="55"/>
              <w:rPr>
                <w:color w:val="000000" w:themeColor="text1"/>
              </w:rPr>
            </w:pPr>
            <w:r>
              <w:rPr>
                <w:rFonts w:hint="eastAsia"/>
                <w:color w:val="000000" w:themeColor="text1"/>
              </w:rPr>
              <w:t>6.73~7.31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847" w:type="dxa"/>
            <w:vAlign w:val="center"/>
          </w:tcPr>
          <w:p>
            <w:pPr>
              <w:pStyle w:val="55"/>
              <w:rPr>
                <w:color w:val="000000" w:themeColor="text1"/>
              </w:rPr>
            </w:pPr>
            <w:r>
              <w:rPr>
                <w:color w:val="000000" w:themeColor="text1"/>
              </w:rPr>
              <w:t>3</w:t>
            </w:r>
          </w:p>
        </w:tc>
        <w:tc>
          <w:tcPr>
            <w:tcW w:w="1307" w:type="dxa"/>
            <w:vAlign w:val="center"/>
          </w:tcPr>
          <w:p>
            <w:pPr>
              <w:pStyle w:val="55"/>
              <w:rPr>
                <w:color w:val="000000" w:themeColor="text1"/>
              </w:rPr>
            </w:pPr>
            <w:r>
              <w:rPr>
                <w:color w:val="000000" w:themeColor="text1"/>
              </w:rPr>
              <w:t>Mg</w:t>
            </w:r>
            <w:r>
              <w:rPr>
                <w:color w:val="000000" w:themeColor="text1"/>
                <w:vertAlign w:val="superscript"/>
              </w:rPr>
              <w:t>2+</w:t>
            </w:r>
          </w:p>
        </w:tc>
        <w:tc>
          <w:tcPr>
            <w:tcW w:w="1985" w:type="dxa"/>
            <w:vAlign w:val="center"/>
          </w:tcPr>
          <w:p>
            <w:pPr>
              <w:pStyle w:val="55"/>
              <w:rPr>
                <w:color w:val="000000" w:themeColor="text1"/>
              </w:rPr>
            </w:pPr>
            <w:r>
              <w:rPr>
                <w:rFonts w:hint="eastAsia"/>
                <w:color w:val="000000" w:themeColor="text1"/>
              </w:rPr>
              <w:t>6.64~7.48</w:t>
            </w:r>
          </w:p>
        </w:tc>
        <w:tc>
          <w:tcPr>
            <w:tcW w:w="2048" w:type="dxa"/>
            <w:vAlign w:val="center"/>
          </w:tcPr>
          <w:p>
            <w:pPr>
              <w:pStyle w:val="55"/>
              <w:rPr>
                <w:color w:val="000000" w:themeColor="text1"/>
              </w:rPr>
            </w:pPr>
            <w:r>
              <w:rPr>
                <w:rFonts w:hint="eastAsia"/>
                <w:color w:val="000000" w:themeColor="text1"/>
              </w:rPr>
              <w:t>52.4~52.5</w:t>
            </w:r>
          </w:p>
        </w:tc>
        <w:tc>
          <w:tcPr>
            <w:tcW w:w="1891" w:type="dxa"/>
            <w:vAlign w:val="center"/>
          </w:tcPr>
          <w:p>
            <w:pPr>
              <w:pStyle w:val="55"/>
              <w:rPr>
                <w:color w:val="000000" w:themeColor="text1"/>
              </w:rPr>
            </w:pPr>
            <w:r>
              <w:rPr>
                <w:rFonts w:hint="eastAsia"/>
                <w:color w:val="000000" w:themeColor="text1"/>
              </w:rPr>
              <w:t>194.0~203.1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847" w:type="dxa"/>
            <w:vAlign w:val="center"/>
          </w:tcPr>
          <w:p>
            <w:pPr>
              <w:pStyle w:val="55"/>
              <w:rPr>
                <w:color w:val="000000" w:themeColor="text1"/>
              </w:rPr>
            </w:pPr>
            <w:r>
              <w:rPr>
                <w:color w:val="000000" w:themeColor="text1"/>
              </w:rPr>
              <w:t>4</w:t>
            </w:r>
          </w:p>
        </w:tc>
        <w:tc>
          <w:tcPr>
            <w:tcW w:w="1307" w:type="dxa"/>
            <w:vAlign w:val="center"/>
          </w:tcPr>
          <w:p>
            <w:pPr>
              <w:pStyle w:val="55"/>
              <w:rPr>
                <w:color w:val="000000" w:themeColor="text1"/>
              </w:rPr>
            </w:pPr>
            <w:r>
              <w:rPr>
                <w:color w:val="000000" w:themeColor="text1"/>
              </w:rPr>
              <w:t>Ca</w:t>
            </w:r>
            <w:r>
              <w:rPr>
                <w:color w:val="000000" w:themeColor="text1"/>
                <w:vertAlign w:val="superscript"/>
              </w:rPr>
              <w:t>2+</w:t>
            </w:r>
          </w:p>
        </w:tc>
        <w:tc>
          <w:tcPr>
            <w:tcW w:w="1985" w:type="dxa"/>
            <w:vAlign w:val="center"/>
          </w:tcPr>
          <w:p>
            <w:pPr>
              <w:pStyle w:val="55"/>
              <w:rPr>
                <w:color w:val="000000" w:themeColor="text1"/>
              </w:rPr>
            </w:pPr>
            <w:r>
              <w:rPr>
                <w:rFonts w:hint="eastAsia"/>
                <w:color w:val="000000" w:themeColor="text1"/>
              </w:rPr>
              <w:t>0.954~0.970</w:t>
            </w:r>
          </w:p>
        </w:tc>
        <w:tc>
          <w:tcPr>
            <w:tcW w:w="2048" w:type="dxa"/>
            <w:vAlign w:val="center"/>
          </w:tcPr>
          <w:p>
            <w:pPr>
              <w:pStyle w:val="55"/>
              <w:rPr>
                <w:color w:val="000000" w:themeColor="text1"/>
              </w:rPr>
            </w:pPr>
            <w:r>
              <w:rPr>
                <w:rFonts w:hint="eastAsia"/>
                <w:color w:val="000000" w:themeColor="text1"/>
              </w:rPr>
              <w:t>1.11~1.12</w:t>
            </w:r>
          </w:p>
        </w:tc>
        <w:tc>
          <w:tcPr>
            <w:tcW w:w="1891" w:type="dxa"/>
            <w:vAlign w:val="center"/>
          </w:tcPr>
          <w:p>
            <w:pPr>
              <w:pStyle w:val="55"/>
              <w:rPr>
                <w:color w:val="000000" w:themeColor="text1"/>
              </w:rPr>
            </w:pPr>
            <w:r>
              <w:rPr>
                <w:rFonts w:hint="eastAsia"/>
                <w:color w:val="000000" w:themeColor="text1"/>
              </w:rPr>
              <w:t>29.1~31.0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847" w:type="dxa"/>
            <w:vAlign w:val="center"/>
          </w:tcPr>
          <w:p>
            <w:pPr>
              <w:pStyle w:val="55"/>
              <w:rPr>
                <w:color w:val="000000" w:themeColor="text1"/>
              </w:rPr>
            </w:pPr>
            <w:r>
              <w:rPr>
                <w:color w:val="000000" w:themeColor="text1"/>
              </w:rPr>
              <w:t>5</w:t>
            </w:r>
          </w:p>
        </w:tc>
        <w:tc>
          <w:tcPr>
            <w:tcW w:w="1307" w:type="dxa"/>
            <w:vAlign w:val="center"/>
          </w:tcPr>
          <w:p>
            <w:pPr>
              <w:pStyle w:val="55"/>
              <w:rPr>
                <w:color w:val="000000" w:themeColor="text1"/>
              </w:rPr>
            </w:pPr>
            <w:r>
              <w:rPr>
                <w:color w:val="000000" w:themeColor="text1"/>
              </w:rPr>
              <w:t>CO</w:t>
            </w:r>
            <w:r>
              <w:rPr>
                <w:color w:val="000000" w:themeColor="text1"/>
                <w:vertAlign w:val="subscript"/>
              </w:rPr>
              <w:t>3</w:t>
            </w:r>
            <w:r>
              <w:rPr>
                <w:color w:val="000000" w:themeColor="text1"/>
                <w:vertAlign w:val="superscript"/>
              </w:rPr>
              <w:t>2-</w:t>
            </w:r>
          </w:p>
        </w:tc>
        <w:tc>
          <w:tcPr>
            <w:tcW w:w="1985" w:type="dxa"/>
            <w:vAlign w:val="center"/>
          </w:tcPr>
          <w:p>
            <w:pPr>
              <w:pStyle w:val="55"/>
              <w:rPr>
                <w:color w:val="000000" w:themeColor="text1"/>
              </w:rPr>
            </w:pPr>
            <w:r>
              <w:rPr>
                <w:rFonts w:hint="eastAsia"/>
                <w:color w:val="000000" w:themeColor="text1"/>
              </w:rPr>
              <w:t>1.25L</w:t>
            </w:r>
          </w:p>
        </w:tc>
        <w:tc>
          <w:tcPr>
            <w:tcW w:w="2048" w:type="dxa"/>
            <w:vAlign w:val="center"/>
          </w:tcPr>
          <w:p>
            <w:pPr>
              <w:pStyle w:val="55"/>
              <w:rPr>
                <w:color w:val="000000" w:themeColor="text1"/>
              </w:rPr>
            </w:pPr>
            <w:r>
              <w:rPr>
                <w:rFonts w:hint="eastAsia"/>
                <w:color w:val="000000" w:themeColor="text1"/>
              </w:rPr>
              <w:t>6~9</w:t>
            </w:r>
          </w:p>
        </w:tc>
        <w:tc>
          <w:tcPr>
            <w:tcW w:w="1891" w:type="dxa"/>
            <w:vAlign w:val="center"/>
          </w:tcPr>
          <w:p>
            <w:pPr>
              <w:pStyle w:val="55"/>
              <w:rPr>
                <w:color w:val="000000" w:themeColor="text1"/>
              </w:rPr>
            </w:pPr>
            <w:r>
              <w:rPr>
                <w:rFonts w:hint="eastAsia"/>
                <w:color w:val="000000" w:themeColor="text1"/>
              </w:rPr>
              <w:t>1.25L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847" w:type="dxa"/>
            <w:vAlign w:val="center"/>
          </w:tcPr>
          <w:p>
            <w:pPr>
              <w:pStyle w:val="55"/>
              <w:rPr>
                <w:color w:val="000000" w:themeColor="text1"/>
              </w:rPr>
            </w:pPr>
            <w:r>
              <w:rPr>
                <w:color w:val="000000" w:themeColor="text1"/>
              </w:rPr>
              <w:t>6</w:t>
            </w:r>
          </w:p>
        </w:tc>
        <w:tc>
          <w:tcPr>
            <w:tcW w:w="1307" w:type="dxa"/>
            <w:vAlign w:val="center"/>
          </w:tcPr>
          <w:p>
            <w:pPr>
              <w:pStyle w:val="55"/>
              <w:rPr>
                <w:color w:val="000000" w:themeColor="text1"/>
              </w:rPr>
            </w:pPr>
            <w:r>
              <w:rPr>
                <w:color w:val="000000" w:themeColor="text1"/>
              </w:rPr>
              <w:t>HCO</w:t>
            </w:r>
            <w:r>
              <w:rPr>
                <w:color w:val="000000" w:themeColor="text1"/>
                <w:vertAlign w:val="subscript"/>
              </w:rPr>
              <w:t>3</w:t>
            </w:r>
            <w:r>
              <w:rPr>
                <w:color w:val="000000" w:themeColor="text1"/>
                <w:vertAlign w:val="superscript"/>
              </w:rPr>
              <w:t>-</w:t>
            </w:r>
          </w:p>
        </w:tc>
        <w:tc>
          <w:tcPr>
            <w:tcW w:w="1985" w:type="dxa"/>
            <w:vAlign w:val="center"/>
          </w:tcPr>
          <w:p>
            <w:pPr>
              <w:pStyle w:val="55"/>
              <w:rPr>
                <w:color w:val="000000" w:themeColor="text1"/>
              </w:rPr>
            </w:pPr>
            <w:r>
              <w:rPr>
                <w:rFonts w:hint="eastAsia"/>
                <w:color w:val="000000" w:themeColor="text1"/>
              </w:rPr>
              <w:t>17</w:t>
            </w:r>
            <w:r>
              <w:rPr>
                <w:color w:val="000000" w:themeColor="text1"/>
              </w:rPr>
              <w:t>~</w:t>
            </w:r>
            <w:r>
              <w:rPr>
                <w:rFonts w:hint="eastAsia"/>
                <w:color w:val="000000" w:themeColor="text1"/>
              </w:rPr>
              <w:t>21</w:t>
            </w:r>
          </w:p>
        </w:tc>
        <w:tc>
          <w:tcPr>
            <w:tcW w:w="2048" w:type="dxa"/>
            <w:vAlign w:val="center"/>
          </w:tcPr>
          <w:p>
            <w:pPr>
              <w:pStyle w:val="55"/>
              <w:rPr>
                <w:color w:val="000000" w:themeColor="text1"/>
              </w:rPr>
            </w:pPr>
            <w:r>
              <w:rPr>
                <w:rFonts w:hint="eastAsia"/>
                <w:color w:val="000000" w:themeColor="text1"/>
              </w:rPr>
              <w:t>135</w:t>
            </w:r>
            <w:r>
              <w:rPr>
                <w:color w:val="000000" w:themeColor="text1"/>
              </w:rPr>
              <w:t>~</w:t>
            </w:r>
            <w:r>
              <w:rPr>
                <w:rFonts w:hint="eastAsia"/>
                <w:color w:val="000000" w:themeColor="text1"/>
              </w:rPr>
              <w:t>140</w:t>
            </w:r>
          </w:p>
        </w:tc>
        <w:tc>
          <w:tcPr>
            <w:tcW w:w="1891" w:type="dxa"/>
            <w:vAlign w:val="center"/>
          </w:tcPr>
          <w:p>
            <w:pPr>
              <w:pStyle w:val="55"/>
              <w:rPr>
                <w:color w:val="000000" w:themeColor="text1"/>
              </w:rPr>
            </w:pPr>
            <w:r>
              <w:rPr>
                <w:color w:val="000000" w:themeColor="text1"/>
              </w:rPr>
              <w:t>5</w:t>
            </w:r>
            <w:r>
              <w:rPr>
                <w:rFonts w:hint="eastAsia"/>
                <w:color w:val="000000" w:themeColor="text1"/>
              </w:rPr>
              <w:t>16</w:t>
            </w:r>
            <w:r>
              <w:rPr>
                <w:color w:val="000000" w:themeColor="text1"/>
              </w:rPr>
              <w:t>~5</w:t>
            </w:r>
            <w:r>
              <w:rPr>
                <w:rFonts w:hint="eastAsia"/>
                <w:color w:val="000000" w:themeColor="text1"/>
              </w:rPr>
              <w:t>71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847" w:type="dxa"/>
            <w:vAlign w:val="center"/>
          </w:tcPr>
          <w:p>
            <w:pPr>
              <w:pStyle w:val="55"/>
              <w:rPr>
                <w:color w:val="000000" w:themeColor="text1"/>
              </w:rPr>
            </w:pPr>
            <w:r>
              <w:rPr>
                <w:color w:val="000000" w:themeColor="text1"/>
              </w:rPr>
              <w:t>7</w:t>
            </w:r>
          </w:p>
        </w:tc>
        <w:tc>
          <w:tcPr>
            <w:tcW w:w="1307" w:type="dxa"/>
            <w:vAlign w:val="center"/>
          </w:tcPr>
          <w:p>
            <w:pPr>
              <w:pStyle w:val="55"/>
              <w:rPr>
                <w:color w:val="000000" w:themeColor="text1"/>
              </w:rPr>
            </w:pPr>
            <w:r>
              <w:rPr>
                <w:color w:val="000000" w:themeColor="text1"/>
              </w:rPr>
              <w:t>Cl</w:t>
            </w:r>
            <w:r>
              <w:rPr>
                <w:color w:val="000000" w:themeColor="text1"/>
                <w:vertAlign w:val="superscript"/>
              </w:rPr>
              <w:t>-</w:t>
            </w:r>
          </w:p>
        </w:tc>
        <w:tc>
          <w:tcPr>
            <w:tcW w:w="1985" w:type="dxa"/>
            <w:vAlign w:val="center"/>
          </w:tcPr>
          <w:p>
            <w:pPr>
              <w:pStyle w:val="55"/>
              <w:rPr>
                <w:color w:val="000000" w:themeColor="text1"/>
              </w:rPr>
            </w:pPr>
            <w:r>
              <w:rPr>
                <w:rFonts w:hint="eastAsia"/>
                <w:color w:val="000000" w:themeColor="text1"/>
              </w:rPr>
              <w:t>2.74</w:t>
            </w:r>
            <w:r>
              <w:rPr>
                <w:color w:val="000000" w:themeColor="text1"/>
              </w:rPr>
              <w:t>~</w:t>
            </w:r>
            <w:r>
              <w:rPr>
                <w:rFonts w:hint="eastAsia"/>
                <w:color w:val="000000" w:themeColor="text1"/>
              </w:rPr>
              <w:t>2.85</w:t>
            </w:r>
          </w:p>
        </w:tc>
        <w:tc>
          <w:tcPr>
            <w:tcW w:w="2048" w:type="dxa"/>
            <w:vAlign w:val="center"/>
          </w:tcPr>
          <w:p>
            <w:pPr>
              <w:pStyle w:val="55"/>
              <w:rPr>
                <w:color w:val="000000" w:themeColor="text1"/>
              </w:rPr>
            </w:pPr>
            <w:r>
              <w:rPr>
                <w:rFonts w:hint="eastAsia"/>
                <w:color w:val="000000" w:themeColor="text1"/>
              </w:rPr>
              <w:t>30.7</w:t>
            </w:r>
            <w:r>
              <w:rPr>
                <w:color w:val="000000" w:themeColor="text1"/>
              </w:rPr>
              <w:t>~</w:t>
            </w:r>
            <w:r>
              <w:rPr>
                <w:rFonts w:hint="eastAsia"/>
                <w:color w:val="000000" w:themeColor="text1"/>
              </w:rPr>
              <w:t>31.2</w:t>
            </w:r>
          </w:p>
        </w:tc>
        <w:tc>
          <w:tcPr>
            <w:tcW w:w="1891" w:type="dxa"/>
            <w:vAlign w:val="center"/>
          </w:tcPr>
          <w:p>
            <w:pPr>
              <w:pStyle w:val="55"/>
              <w:rPr>
                <w:color w:val="000000" w:themeColor="text1"/>
              </w:rPr>
            </w:pPr>
            <w:r>
              <w:rPr>
                <w:rFonts w:hint="eastAsia"/>
                <w:color w:val="000000" w:themeColor="text1"/>
              </w:rPr>
              <w:t>8.55</w:t>
            </w:r>
            <w:r>
              <w:rPr>
                <w:color w:val="000000" w:themeColor="text1"/>
              </w:rPr>
              <w:t>~</w:t>
            </w:r>
            <w:r>
              <w:rPr>
                <w:rFonts w:hint="eastAsia"/>
                <w:color w:val="000000" w:themeColor="text1"/>
              </w:rPr>
              <w:t>9.44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847" w:type="dxa"/>
            <w:vAlign w:val="center"/>
          </w:tcPr>
          <w:p>
            <w:pPr>
              <w:pStyle w:val="55"/>
              <w:rPr>
                <w:color w:val="000000" w:themeColor="text1"/>
              </w:rPr>
            </w:pPr>
            <w:r>
              <w:rPr>
                <w:color w:val="000000" w:themeColor="text1"/>
              </w:rPr>
              <w:t>8</w:t>
            </w:r>
          </w:p>
        </w:tc>
        <w:tc>
          <w:tcPr>
            <w:tcW w:w="1307" w:type="dxa"/>
            <w:vAlign w:val="center"/>
          </w:tcPr>
          <w:p>
            <w:pPr>
              <w:pStyle w:val="55"/>
              <w:rPr>
                <w:color w:val="000000" w:themeColor="text1"/>
              </w:rPr>
            </w:pPr>
            <w:r>
              <w:rPr>
                <w:color w:val="000000" w:themeColor="text1"/>
              </w:rPr>
              <w:t>SO</w:t>
            </w:r>
            <w:r>
              <w:rPr>
                <w:color w:val="000000" w:themeColor="text1"/>
                <w:vertAlign w:val="subscript"/>
              </w:rPr>
              <w:t>4</w:t>
            </w:r>
            <w:r>
              <w:rPr>
                <w:color w:val="000000" w:themeColor="text1"/>
                <w:vertAlign w:val="superscript"/>
              </w:rPr>
              <w:t>2-</w:t>
            </w:r>
          </w:p>
        </w:tc>
        <w:tc>
          <w:tcPr>
            <w:tcW w:w="1985" w:type="dxa"/>
            <w:vAlign w:val="center"/>
          </w:tcPr>
          <w:p>
            <w:pPr>
              <w:pStyle w:val="55"/>
              <w:rPr>
                <w:color w:val="000000" w:themeColor="text1"/>
              </w:rPr>
            </w:pPr>
            <w:r>
              <w:rPr>
                <w:rFonts w:hint="eastAsia"/>
                <w:color w:val="000000" w:themeColor="text1"/>
              </w:rPr>
              <w:t>19.5</w:t>
            </w:r>
            <w:r>
              <w:rPr>
                <w:color w:val="000000" w:themeColor="text1"/>
              </w:rPr>
              <w:t>~</w:t>
            </w:r>
            <w:r>
              <w:rPr>
                <w:rFonts w:hint="eastAsia"/>
                <w:color w:val="000000" w:themeColor="text1"/>
              </w:rPr>
              <w:t>20.1</w:t>
            </w:r>
          </w:p>
        </w:tc>
        <w:tc>
          <w:tcPr>
            <w:tcW w:w="2048" w:type="dxa"/>
            <w:vAlign w:val="center"/>
          </w:tcPr>
          <w:p>
            <w:pPr>
              <w:pStyle w:val="55"/>
              <w:rPr>
                <w:color w:val="000000" w:themeColor="text1"/>
              </w:rPr>
            </w:pPr>
            <w:r>
              <w:rPr>
                <w:rFonts w:hint="eastAsia"/>
                <w:color w:val="000000" w:themeColor="text1"/>
              </w:rPr>
              <w:t>7.1</w:t>
            </w:r>
            <w:r>
              <w:rPr>
                <w:color w:val="000000" w:themeColor="text1"/>
              </w:rPr>
              <w:t>~</w:t>
            </w:r>
            <w:r>
              <w:rPr>
                <w:rFonts w:hint="eastAsia"/>
                <w:color w:val="000000" w:themeColor="text1"/>
              </w:rPr>
              <w:t>7.2</w:t>
            </w:r>
          </w:p>
        </w:tc>
        <w:tc>
          <w:tcPr>
            <w:tcW w:w="1891" w:type="dxa"/>
            <w:vAlign w:val="center"/>
          </w:tcPr>
          <w:p>
            <w:pPr>
              <w:pStyle w:val="55"/>
              <w:rPr>
                <w:color w:val="000000" w:themeColor="text1"/>
              </w:rPr>
            </w:pPr>
            <w:r>
              <w:rPr>
                <w:rFonts w:hint="eastAsia"/>
                <w:color w:val="000000" w:themeColor="text1"/>
              </w:rPr>
              <w:t>189</w:t>
            </w:r>
            <w:r>
              <w:rPr>
                <w:color w:val="000000" w:themeColor="text1"/>
              </w:rPr>
              <w:t>~</w:t>
            </w:r>
            <w:r>
              <w:rPr>
                <w:rFonts w:hint="eastAsia"/>
                <w:color w:val="000000" w:themeColor="text1"/>
              </w:rPr>
              <w:t>191</w:t>
            </w:r>
          </w:p>
        </w:tc>
      </w:tr>
    </w:tbl>
    <w:p>
      <w:pPr>
        <w:pStyle w:val="54"/>
        <w:rPr>
          <w:color w:val="000000" w:themeColor="text1"/>
          <w:szCs w:val="21"/>
        </w:rPr>
      </w:pPr>
      <w:r>
        <w:rPr>
          <w:rFonts w:hint="eastAsia"/>
          <w:color w:val="000000" w:themeColor="text1"/>
          <w:szCs w:val="21"/>
        </w:rPr>
        <w:t>表4.3-4 地下水现状补充监测结果</w:t>
      </w:r>
      <w:r>
        <w:rPr>
          <w:color w:val="000000" w:themeColor="text1"/>
          <w:szCs w:val="21"/>
        </w:rPr>
        <w:t xml:space="preserve">  </w:t>
      </w:r>
      <w:r>
        <w:rPr>
          <w:rFonts w:hint="eastAsia"/>
          <w:color w:val="000000" w:themeColor="text1"/>
          <w:szCs w:val="21"/>
        </w:rPr>
        <w:t>单位：</w:t>
      </w:r>
      <w:r>
        <w:rPr>
          <w:color w:val="000000" w:themeColor="text1"/>
          <w:szCs w:val="21"/>
        </w:rPr>
        <w:t>mg/L</w:t>
      </w:r>
    </w:p>
    <w:tbl>
      <w:tblPr>
        <w:tblStyle w:val="42"/>
        <w:tblW w:w="8472"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75"/>
        <w:gridCol w:w="1418"/>
        <w:gridCol w:w="1276"/>
        <w:gridCol w:w="1275"/>
        <w:gridCol w:w="1276"/>
        <w:gridCol w:w="992"/>
        <w:gridCol w:w="851"/>
        <w:gridCol w:w="70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675" w:type="dxa"/>
            <w:vMerge w:val="restart"/>
            <w:vAlign w:val="center"/>
          </w:tcPr>
          <w:p>
            <w:pPr>
              <w:pStyle w:val="55"/>
              <w:rPr>
                <w:color w:val="000000" w:themeColor="text1"/>
              </w:rPr>
            </w:pPr>
            <w:r>
              <w:rPr>
                <w:rFonts w:hint="eastAsia"/>
                <w:color w:val="000000" w:themeColor="text1"/>
              </w:rPr>
              <w:t>检测点位</w:t>
            </w:r>
          </w:p>
        </w:tc>
        <w:tc>
          <w:tcPr>
            <w:tcW w:w="1418" w:type="dxa"/>
            <w:vMerge w:val="restart"/>
            <w:vAlign w:val="center"/>
          </w:tcPr>
          <w:p>
            <w:pPr>
              <w:pStyle w:val="55"/>
              <w:rPr>
                <w:color w:val="000000" w:themeColor="text1"/>
              </w:rPr>
            </w:pPr>
            <w:r>
              <w:rPr>
                <w:rFonts w:hint="eastAsia"/>
                <w:color w:val="000000" w:themeColor="text1"/>
              </w:rPr>
              <w:t>检测因子</w:t>
            </w:r>
          </w:p>
        </w:tc>
        <w:tc>
          <w:tcPr>
            <w:tcW w:w="3827" w:type="dxa"/>
            <w:gridSpan w:val="3"/>
            <w:vAlign w:val="center"/>
          </w:tcPr>
          <w:p>
            <w:pPr>
              <w:pStyle w:val="55"/>
              <w:rPr>
                <w:color w:val="000000" w:themeColor="text1"/>
              </w:rPr>
            </w:pPr>
            <w:r>
              <w:rPr>
                <w:rFonts w:hint="eastAsia"/>
                <w:color w:val="000000" w:themeColor="text1"/>
              </w:rPr>
              <w:t>检测值</w:t>
            </w:r>
          </w:p>
        </w:tc>
        <w:tc>
          <w:tcPr>
            <w:tcW w:w="992" w:type="dxa"/>
            <w:vMerge w:val="restart"/>
            <w:vAlign w:val="center"/>
          </w:tcPr>
          <w:p>
            <w:pPr>
              <w:pStyle w:val="55"/>
              <w:rPr>
                <w:color w:val="000000" w:themeColor="text1"/>
              </w:rPr>
            </w:pPr>
            <w:r>
              <w:rPr>
                <w:rFonts w:hint="eastAsia"/>
                <w:color w:val="000000" w:themeColor="text1"/>
              </w:rPr>
              <w:t>标准限值</w:t>
            </w:r>
          </w:p>
        </w:tc>
        <w:tc>
          <w:tcPr>
            <w:tcW w:w="851" w:type="dxa"/>
            <w:vMerge w:val="restart"/>
            <w:vAlign w:val="center"/>
          </w:tcPr>
          <w:p>
            <w:pPr>
              <w:pStyle w:val="55"/>
              <w:rPr>
                <w:color w:val="000000" w:themeColor="text1"/>
              </w:rPr>
            </w:pPr>
            <w:r>
              <w:rPr>
                <w:rFonts w:cs="Times New Roman"/>
                <w:color w:val="000000" w:themeColor="text1"/>
                <w:szCs w:val="21"/>
              </w:rPr>
              <w:t>最大浓度占标率/%</w:t>
            </w:r>
          </w:p>
        </w:tc>
        <w:tc>
          <w:tcPr>
            <w:tcW w:w="709" w:type="dxa"/>
            <w:vMerge w:val="restart"/>
            <w:vAlign w:val="center"/>
          </w:tcPr>
          <w:p>
            <w:pPr>
              <w:pStyle w:val="55"/>
              <w:rPr>
                <w:color w:val="000000" w:themeColor="text1"/>
              </w:rPr>
            </w:pPr>
            <w:r>
              <w:rPr>
                <w:rFonts w:hint="eastAsia"/>
                <w:color w:val="000000" w:themeColor="text1"/>
              </w:rPr>
              <w:t>评价结果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5" w:hRule="atLeast"/>
        </w:trPr>
        <w:tc>
          <w:tcPr>
            <w:tcW w:w="675" w:type="dxa"/>
            <w:vMerge w:val="continue"/>
            <w:vAlign w:val="center"/>
          </w:tcPr>
          <w:p>
            <w:pPr>
              <w:pStyle w:val="55"/>
              <w:rPr>
                <w:color w:val="000000" w:themeColor="text1"/>
              </w:rPr>
            </w:pPr>
          </w:p>
        </w:tc>
        <w:tc>
          <w:tcPr>
            <w:tcW w:w="1418" w:type="dxa"/>
            <w:vMerge w:val="continue"/>
            <w:vAlign w:val="center"/>
          </w:tcPr>
          <w:p>
            <w:pPr>
              <w:pStyle w:val="55"/>
              <w:rPr>
                <w:color w:val="000000" w:themeColor="text1"/>
              </w:rPr>
            </w:pPr>
          </w:p>
        </w:tc>
        <w:tc>
          <w:tcPr>
            <w:tcW w:w="1276" w:type="dxa"/>
            <w:vAlign w:val="center"/>
          </w:tcPr>
          <w:p>
            <w:pPr>
              <w:pStyle w:val="55"/>
              <w:rPr>
                <w:color w:val="000000" w:themeColor="text1"/>
              </w:rPr>
            </w:pPr>
            <w:r>
              <w:rPr>
                <w:rFonts w:hint="eastAsia"/>
                <w:color w:val="000000" w:themeColor="text1"/>
              </w:rPr>
              <w:t>2020.5.9</w:t>
            </w:r>
          </w:p>
        </w:tc>
        <w:tc>
          <w:tcPr>
            <w:tcW w:w="1275" w:type="dxa"/>
            <w:vAlign w:val="center"/>
          </w:tcPr>
          <w:p>
            <w:pPr>
              <w:pStyle w:val="55"/>
              <w:rPr>
                <w:color w:val="000000" w:themeColor="text1"/>
              </w:rPr>
            </w:pPr>
            <w:r>
              <w:rPr>
                <w:rFonts w:hint="eastAsia"/>
                <w:color w:val="000000" w:themeColor="text1"/>
              </w:rPr>
              <w:t>2020.5.10</w:t>
            </w:r>
          </w:p>
        </w:tc>
        <w:tc>
          <w:tcPr>
            <w:tcW w:w="1276" w:type="dxa"/>
            <w:vAlign w:val="center"/>
          </w:tcPr>
          <w:p>
            <w:pPr>
              <w:pStyle w:val="55"/>
              <w:rPr>
                <w:color w:val="000000" w:themeColor="text1"/>
              </w:rPr>
            </w:pPr>
            <w:r>
              <w:rPr>
                <w:rFonts w:hint="eastAsia"/>
                <w:color w:val="000000" w:themeColor="text1"/>
              </w:rPr>
              <w:t>2020.5.11</w:t>
            </w:r>
          </w:p>
        </w:tc>
        <w:tc>
          <w:tcPr>
            <w:tcW w:w="992" w:type="dxa"/>
            <w:vMerge w:val="continue"/>
            <w:vAlign w:val="center"/>
          </w:tcPr>
          <w:p>
            <w:pPr>
              <w:pStyle w:val="55"/>
              <w:rPr>
                <w:color w:val="000000" w:themeColor="text1"/>
              </w:rPr>
            </w:pPr>
          </w:p>
        </w:tc>
        <w:tc>
          <w:tcPr>
            <w:tcW w:w="851" w:type="dxa"/>
            <w:vMerge w:val="continue"/>
            <w:vAlign w:val="center"/>
          </w:tcPr>
          <w:p>
            <w:pPr>
              <w:pStyle w:val="55"/>
              <w:rPr>
                <w:color w:val="000000" w:themeColor="text1"/>
              </w:rPr>
            </w:pPr>
          </w:p>
        </w:tc>
        <w:tc>
          <w:tcPr>
            <w:tcW w:w="709" w:type="dxa"/>
            <w:vMerge w:val="continue"/>
            <w:vAlign w:val="center"/>
          </w:tcPr>
          <w:p>
            <w:pPr>
              <w:pStyle w:val="55"/>
              <w:rPr>
                <w:color w:val="000000" w:themeColor="text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restart"/>
            <w:vAlign w:val="center"/>
          </w:tcPr>
          <w:p>
            <w:pPr>
              <w:pStyle w:val="55"/>
              <w:rPr>
                <w:color w:val="000000" w:themeColor="text1"/>
              </w:rPr>
            </w:pPr>
            <w:r>
              <w:rPr>
                <w:rFonts w:hint="eastAsia"/>
                <w:color w:val="000000" w:themeColor="text1"/>
              </w:rPr>
              <w:t>上舍克村</w:t>
            </w:r>
          </w:p>
        </w:tc>
        <w:tc>
          <w:tcPr>
            <w:tcW w:w="1418" w:type="dxa"/>
            <w:vAlign w:val="center"/>
          </w:tcPr>
          <w:p>
            <w:pPr>
              <w:pStyle w:val="55"/>
              <w:rPr>
                <w:color w:val="000000" w:themeColor="text1"/>
              </w:rPr>
            </w:pPr>
            <w:r>
              <w:rPr>
                <w:color w:val="000000" w:themeColor="text1"/>
              </w:rPr>
              <w:t>pH</w:t>
            </w:r>
            <w:r>
              <w:rPr>
                <w:rFonts w:hint="eastAsia"/>
                <w:color w:val="000000" w:themeColor="text1"/>
              </w:rPr>
              <w:t>（无量纲）</w:t>
            </w:r>
          </w:p>
        </w:tc>
        <w:tc>
          <w:tcPr>
            <w:tcW w:w="1276" w:type="dxa"/>
            <w:vAlign w:val="center"/>
          </w:tcPr>
          <w:p>
            <w:pPr>
              <w:pStyle w:val="55"/>
              <w:rPr>
                <w:color w:val="000000" w:themeColor="text1"/>
              </w:rPr>
            </w:pPr>
            <w:r>
              <w:rPr>
                <w:rFonts w:hint="eastAsia"/>
                <w:color w:val="000000" w:themeColor="text1"/>
              </w:rPr>
              <w:t>7.72</w:t>
            </w:r>
          </w:p>
        </w:tc>
        <w:tc>
          <w:tcPr>
            <w:tcW w:w="1275" w:type="dxa"/>
            <w:vAlign w:val="center"/>
          </w:tcPr>
          <w:p>
            <w:pPr>
              <w:pStyle w:val="55"/>
              <w:rPr>
                <w:color w:val="000000" w:themeColor="text1"/>
              </w:rPr>
            </w:pPr>
            <w:r>
              <w:rPr>
                <w:rFonts w:hint="eastAsia"/>
                <w:color w:val="000000" w:themeColor="text1"/>
              </w:rPr>
              <w:t>7.68</w:t>
            </w:r>
          </w:p>
        </w:tc>
        <w:tc>
          <w:tcPr>
            <w:tcW w:w="1276" w:type="dxa"/>
            <w:vAlign w:val="center"/>
          </w:tcPr>
          <w:p>
            <w:pPr>
              <w:pStyle w:val="55"/>
              <w:rPr>
                <w:color w:val="000000" w:themeColor="text1"/>
              </w:rPr>
            </w:pPr>
            <w:r>
              <w:rPr>
                <w:rFonts w:hint="eastAsia"/>
                <w:color w:val="000000" w:themeColor="text1"/>
              </w:rPr>
              <w:t>7.65</w:t>
            </w:r>
          </w:p>
        </w:tc>
        <w:tc>
          <w:tcPr>
            <w:tcW w:w="992" w:type="dxa"/>
            <w:vAlign w:val="center"/>
          </w:tcPr>
          <w:p>
            <w:pPr>
              <w:pStyle w:val="55"/>
              <w:rPr>
                <w:color w:val="000000" w:themeColor="text1"/>
              </w:rPr>
            </w:pPr>
            <w:r>
              <w:rPr>
                <w:color w:val="000000" w:themeColor="text1"/>
              </w:rPr>
              <w:t>6.5</w:t>
            </w:r>
            <w:r>
              <w:rPr>
                <w:rFonts w:hint="eastAsia"/>
                <w:color w:val="000000" w:themeColor="text1"/>
              </w:rPr>
              <w:t>～</w:t>
            </w:r>
            <w:r>
              <w:rPr>
                <w:color w:val="000000" w:themeColor="text1"/>
              </w:rPr>
              <w:t>8.5</w:t>
            </w:r>
          </w:p>
        </w:tc>
        <w:tc>
          <w:tcPr>
            <w:tcW w:w="851" w:type="dxa"/>
            <w:vAlign w:val="center"/>
          </w:tcPr>
          <w:p>
            <w:pPr>
              <w:pStyle w:val="55"/>
              <w:rPr>
                <w:color w:val="000000" w:themeColor="text1"/>
              </w:rPr>
            </w:pPr>
            <w:r>
              <w:rPr>
                <w:rFonts w:hint="eastAsia"/>
                <w:color w:val="000000" w:themeColor="text1"/>
              </w:rPr>
              <w:t>/</w:t>
            </w:r>
            <w:r>
              <w:rPr>
                <w:color w:val="000000" w:themeColor="text1"/>
              </w:rPr>
              <w:t>　</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耗氧量</w:t>
            </w:r>
          </w:p>
        </w:tc>
        <w:tc>
          <w:tcPr>
            <w:tcW w:w="1276" w:type="dxa"/>
            <w:vAlign w:val="center"/>
          </w:tcPr>
          <w:p>
            <w:pPr>
              <w:pStyle w:val="55"/>
              <w:rPr>
                <w:color w:val="000000" w:themeColor="text1"/>
              </w:rPr>
            </w:pPr>
            <w:r>
              <w:rPr>
                <w:rFonts w:hint="eastAsia"/>
                <w:color w:val="000000" w:themeColor="text1"/>
              </w:rPr>
              <w:t>1.7</w:t>
            </w:r>
          </w:p>
        </w:tc>
        <w:tc>
          <w:tcPr>
            <w:tcW w:w="1275" w:type="dxa"/>
            <w:vAlign w:val="center"/>
          </w:tcPr>
          <w:p>
            <w:pPr>
              <w:pStyle w:val="55"/>
              <w:rPr>
                <w:color w:val="000000" w:themeColor="text1"/>
              </w:rPr>
            </w:pPr>
            <w:r>
              <w:rPr>
                <w:rFonts w:hint="eastAsia"/>
                <w:color w:val="000000" w:themeColor="text1"/>
              </w:rPr>
              <w:t>1.5</w:t>
            </w:r>
          </w:p>
        </w:tc>
        <w:tc>
          <w:tcPr>
            <w:tcW w:w="1276" w:type="dxa"/>
            <w:vAlign w:val="center"/>
          </w:tcPr>
          <w:p>
            <w:pPr>
              <w:pStyle w:val="55"/>
              <w:rPr>
                <w:color w:val="000000" w:themeColor="text1"/>
              </w:rPr>
            </w:pPr>
            <w:r>
              <w:rPr>
                <w:rFonts w:hint="eastAsia"/>
                <w:color w:val="000000" w:themeColor="text1"/>
              </w:rPr>
              <w:t>1.6</w:t>
            </w:r>
          </w:p>
        </w:tc>
        <w:tc>
          <w:tcPr>
            <w:tcW w:w="992" w:type="dxa"/>
            <w:vAlign w:val="center"/>
          </w:tcPr>
          <w:p>
            <w:pPr>
              <w:pStyle w:val="55"/>
              <w:rPr>
                <w:color w:val="000000" w:themeColor="text1"/>
              </w:rPr>
            </w:pPr>
            <w:r>
              <w:rPr>
                <w:color w:val="000000" w:themeColor="text1"/>
              </w:rPr>
              <w:t>≤3.0</w:t>
            </w:r>
          </w:p>
        </w:tc>
        <w:tc>
          <w:tcPr>
            <w:tcW w:w="851" w:type="dxa"/>
            <w:vAlign w:val="center"/>
          </w:tcPr>
          <w:p>
            <w:pPr>
              <w:pStyle w:val="55"/>
              <w:rPr>
                <w:color w:val="000000" w:themeColor="text1"/>
              </w:rPr>
            </w:pPr>
            <w:r>
              <w:rPr>
                <w:color w:val="000000" w:themeColor="text1"/>
              </w:rPr>
              <w:t>56.67</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化学需氧量</w:t>
            </w:r>
          </w:p>
        </w:tc>
        <w:tc>
          <w:tcPr>
            <w:tcW w:w="1276" w:type="dxa"/>
            <w:vAlign w:val="center"/>
          </w:tcPr>
          <w:p>
            <w:pPr>
              <w:pStyle w:val="55"/>
              <w:rPr>
                <w:color w:val="000000" w:themeColor="text1"/>
              </w:rPr>
            </w:pPr>
            <w:r>
              <w:rPr>
                <w:rFonts w:hint="eastAsia"/>
                <w:color w:val="000000" w:themeColor="text1"/>
              </w:rPr>
              <w:t>5</w:t>
            </w:r>
          </w:p>
        </w:tc>
        <w:tc>
          <w:tcPr>
            <w:tcW w:w="1275" w:type="dxa"/>
            <w:vAlign w:val="center"/>
          </w:tcPr>
          <w:p>
            <w:pPr>
              <w:pStyle w:val="55"/>
              <w:rPr>
                <w:color w:val="000000" w:themeColor="text1"/>
              </w:rPr>
            </w:pPr>
            <w:r>
              <w:rPr>
                <w:rFonts w:hint="eastAsia"/>
                <w:color w:val="000000" w:themeColor="text1"/>
              </w:rPr>
              <w:t>5</w:t>
            </w:r>
          </w:p>
        </w:tc>
        <w:tc>
          <w:tcPr>
            <w:tcW w:w="1276" w:type="dxa"/>
            <w:vAlign w:val="center"/>
          </w:tcPr>
          <w:p>
            <w:pPr>
              <w:pStyle w:val="55"/>
              <w:rPr>
                <w:color w:val="000000" w:themeColor="text1"/>
              </w:rPr>
            </w:pPr>
            <w:r>
              <w:rPr>
                <w:rFonts w:hint="eastAsia"/>
                <w:color w:val="000000" w:themeColor="text1"/>
              </w:rPr>
              <w:t>5</w:t>
            </w:r>
          </w:p>
        </w:tc>
        <w:tc>
          <w:tcPr>
            <w:tcW w:w="992" w:type="dxa"/>
            <w:vAlign w:val="center"/>
          </w:tcPr>
          <w:p>
            <w:pPr>
              <w:pStyle w:val="55"/>
              <w:rPr>
                <w:color w:val="000000" w:themeColor="text1"/>
              </w:rPr>
            </w:pPr>
            <w:r>
              <w:rPr>
                <w:rFonts w:hint="eastAsia"/>
                <w:color w:val="000000" w:themeColor="text1"/>
              </w:rPr>
              <w:t>/</w:t>
            </w:r>
          </w:p>
        </w:tc>
        <w:tc>
          <w:tcPr>
            <w:tcW w:w="851" w:type="dxa"/>
            <w:vAlign w:val="center"/>
          </w:tcPr>
          <w:p>
            <w:pPr>
              <w:pStyle w:val="55"/>
              <w:rPr>
                <w:color w:val="000000" w:themeColor="text1"/>
              </w:rPr>
            </w:pPr>
            <w:r>
              <w:rPr>
                <w:rFonts w:hint="eastAsia"/>
                <w:color w:val="000000" w:themeColor="text1"/>
              </w:rPr>
              <w:t>/</w:t>
            </w:r>
          </w:p>
        </w:tc>
        <w:tc>
          <w:tcPr>
            <w:tcW w:w="709" w:type="dxa"/>
            <w:vAlign w:val="center"/>
          </w:tcPr>
          <w:p>
            <w:pPr>
              <w:pStyle w:val="55"/>
              <w:rPr>
                <w:color w:val="000000" w:themeColor="text1"/>
              </w:rPr>
            </w:pPr>
            <w:r>
              <w:rPr>
                <w:rFonts w:hint="eastAsia"/>
                <w:color w:val="000000" w:themeColor="text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总硬度</w:t>
            </w:r>
          </w:p>
        </w:tc>
        <w:tc>
          <w:tcPr>
            <w:tcW w:w="1276" w:type="dxa"/>
            <w:vAlign w:val="center"/>
          </w:tcPr>
          <w:p>
            <w:pPr>
              <w:pStyle w:val="55"/>
              <w:rPr>
                <w:color w:val="000000" w:themeColor="text1"/>
              </w:rPr>
            </w:pPr>
            <w:r>
              <w:rPr>
                <w:rFonts w:hint="eastAsia"/>
                <w:color w:val="000000" w:themeColor="text1"/>
              </w:rPr>
              <w:t>420</w:t>
            </w:r>
          </w:p>
        </w:tc>
        <w:tc>
          <w:tcPr>
            <w:tcW w:w="1275" w:type="dxa"/>
            <w:vAlign w:val="center"/>
          </w:tcPr>
          <w:p>
            <w:pPr>
              <w:pStyle w:val="55"/>
              <w:rPr>
                <w:color w:val="000000" w:themeColor="text1"/>
              </w:rPr>
            </w:pPr>
            <w:r>
              <w:rPr>
                <w:rFonts w:hint="eastAsia"/>
                <w:color w:val="000000" w:themeColor="text1"/>
              </w:rPr>
              <w:t>213</w:t>
            </w:r>
          </w:p>
        </w:tc>
        <w:tc>
          <w:tcPr>
            <w:tcW w:w="1276" w:type="dxa"/>
            <w:vAlign w:val="center"/>
          </w:tcPr>
          <w:p>
            <w:pPr>
              <w:pStyle w:val="55"/>
              <w:rPr>
                <w:color w:val="000000" w:themeColor="text1"/>
              </w:rPr>
            </w:pPr>
            <w:r>
              <w:rPr>
                <w:rFonts w:hint="eastAsia"/>
                <w:color w:val="000000" w:themeColor="text1"/>
              </w:rPr>
              <w:t>340</w:t>
            </w:r>
          </w:p>
        </w:tc>
        <w:tc>
          <w:tcPr>
            <w:tcW w:w="992" w:type="dxa"/>
            <w:vAlign w:val="center"/>
          </w:tcPr>
          <w:p>
            <w:pPr>
              <w:pStyle w:val="55"/>
              <w:rPr>
                <w:color w:val="000000" w:themeColor="text1"/>
              </w:rPr>
            </w:pPr>
            <w:r>
              <w:rPr>
                <w:color w:val="000000" w:themeColor="text1"/>
              </w:rPr>
              <w:t>≤450</w:t>
            </w:r>
          </w:p>
        </w:tc>
        <w:tc>
          <w:tcPr>
            <w:tcW w:w="851" w:type="dxa"/>
            <w:vAlign w:val="center"/>
          </w:tcPr>
          <w:p>
            <w:pPr>
              <w:pStyle w:val="55"/>
              <w:rPr>
                <w:color w:val="000000" w:themeColor="text1"/>
              </w:rPr>
            </w:pPr>
            <w:r>
              <w:rPr>
                <w:color w:val="000000" w:themeColor="text1"/>
              </w:rPr>
              <w:t>93.33</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挥发性酚类</w:t>
            </w:r>
          </w:p>
        </w:tc>
        <w:tc>
          <w:tcPr>
            <w:tcW w:w="1276" w:type="dxa"/>
            <w:vAlign w:val="center"/>
          </w:tcPr>
          <w:p>
            <w:pPr>
              <w:pStyle w:val="55"/>
              <w:rPr>
                <w:color w:val="000000" w:themeColor="text1"/>
              </w:rPr>
            </w:pPr>
            <w:r>
              <w:rPr>
                <w:rFonts w:hint="eastAsia"/>
                <w:color w:val="000000" w:themeColor="text1"/>
              </w:rPr>
              <w:t>0.0003L</w:t>
            </w:r>
          </w:p>
        </w:tc>
        <w:tc>
          <w:tcPr>
            <w:tcW w:w="1275" w:type="dxa"/>
            <w:vAlign w:val="center"/>
          </w:tcPr>
          <w:p>
            <w:pPr>
              <w:pStyle w:val="55"/>
              <w:rPr>
                <w:color w:val="000000" w:themeColor="text1"/>
              </w:rPr>
            </w:pPr>
            <w:r>
              <w:rPr>
                <w:rFonts w:hint="eastAsia"/>
                <w:color w:val="000000" w:themeColor="text1"/>
              </w:rPr>
              <w:t>0.0003L</w:t>
            </w:r>
          </w:p>
        </w:tc>
        <w:tc>
          <w:tcPr>
            <w:tcW w:w="1276" w:type="dxa"/>
            <w:vAlign w:val="center"/>
          </w:tcPr>
          <w:p>
            <w:pPr>
              <w:pStyle w:val="55"/>
              <w:rPr>
                <w:color w:val="000000" w:themeColor="text1"/>
              </w:rPr>
            </w:pPr>
            <w:r>
              <w:rPr>
                <w:rFonts w:hint="eastAsia"/>
                <w:color w:val="000000" w:themeColor="text1"/>
              </w:rPr>
              <w:t>0.0003L</w:t>
            </w:r>
          </w:p>
        </w:tc>
        <w:tc>
          <w:tcPr>
            <w:tcW w:w="992" w:type="dxa"/>
            <w:vAlign w:val="center"/>
          </w:tcPr>
          <w:p>
            <w:pPr>
              <w:pStyle w:val="55"/>
              <w:rPr>
                <w:color w:val="000000" w:themeColor="text1"/>
              </w:rPr>
            </w:pPr>
            <w:r>
              <w:rPr>
                <w:color w:val="000000" w:themeColor="text1"/>
              </w:rPr>
              <w:t>≤0.002</w:t>
            </w:r>
          </w:p>
        </w:tc>
        <w:tc>
          <w:tcPr>
            <w:tcW w:w="851" w:type="dxa"/>
            <w:vAlign w:val="center"/>
          </w:tcPr>
          <w:p>
            <w:pPr>
              <w:pStyle w:val="55"/>
              <w:rPr>
                <w:color w:val="000000" w:themeColor="text1"/>
              </w:rPr>
            </w:pPr>
            <w:r>
              <w:rPr>
                <w:rFonts w:hint="eastAsia"/>
                <w:color w:val="000000" w:themeColor="text1"/>
              </w:rPr>
              <w:t>/</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硝酸盐</w:t>
            </w:r>
          </w:p>
        </w:tc>
        <w:tc>
          <w:tcPr>
            <w:tcW w:w="1276" w:type="dxa"/>
            <w:vAlign w:val="center"/>
          </w:tcPr>
          <w:p>
            <w:pPr>
              <w:pStyle w:val="55"/>
              <w:rPr>
                <w:color w:val="000000" w:themeColor="text1"/>
              </w:rPr>
            </w:pPr>
            <w:r>
              <w:rPr>
                <w:rFonts w:hint="eastAsia"/>
                <w:color w:val="000000" w:themeColor="text1"/>
              </w:rPr>
              <w:t>1.32</w:t>
            </w:r>
          </w:p>
        </w:tc>
        <w:tc>
          <w:tcPr>
            <w:tcW w:w="1275" w:type="dxa"/>
            <w:vAlign w:val="center"/>
          </w:tcPr>
          <w:p>
            <w:pPr>
              <w:pStyle w:val="55"/>
              <w:rPr>
                <w:color w:val="000000" w:themeColor="text1"/>
              </w:rPr>
            </w:pPr>
            <w:r>
              <w:rPr>
                <w:rFonts w:hint="eastAsia"/>
                <w:color w:val="000000" w:themeColor="text1"/>
              </w:rPr>
              <w:t>0.588</w:t>
            </w:r>
          </w:p>
        </w:tc>
        <w:tc>
          <w:tcPr>
            <w:tcW w:w="1276" w:type="dxa"/>
            <w:vAlign w:val="center"/>
          </w:tcPr>
          <w:p>
            <w:pPr>
              <w:pStyle w:val="55"/>
              <w:rPr>
                <w:color w:val="000000" w:themeColor="text1"/>
              </w:rPr>
            </w:pPr>
            <w:r>
              <w:rPr>
                <w:rFonts w:hint="eastAsia"/>
                <w:color w:val="000000" w:themeColor="text1"/>
              </w:rPr>
              <w:t>0.856</w:t>
            </w:r>
          </w:p>
        </w:tc>
        <w:tc>
          <w:tcPr>
            <w:tcW w:w="992" w:type="dxa"/>
            <w:vAlign w:val="center"/>
          </w:tcPr>
          <w:p>
            <w:pPr>
              <w:pStyle w:val="55"/>
              <w:rPr>
                <w:color w:val="000000" w:themeColor="text1"/>
              </w:rPr>
            </w:pPr>
            <w:r>
              <w:rPr>
                <w:color w:val="000000" w:themeColor="text1"/>
              </w:rPr>
              <w:t>≤20</w:t>
            </w:r>
            <w:r>
              <w:rPr>
                <w:rFonts w:hint="eastAsia"/>
                <w:color w:val="000000" w:themeColor="text1"/>
              </w:rPr>
              <w:t>.0</w:t>
            </w:r>
          </w:p>
        </w:tc>
        <w:tc>
          <w:tcPr>
            <w:tcW w:w="851" w:type="dxa"/>
            <w:vAlign w:val="center"/>
          </w:tcPr>
          <w:p>
            <w:pPr>
              <w:pStyle w:val="55"/>
              <w:rPr>
                <w:color w:val="000000" w:themeColor="text1"/>
              </w:rPr>
            </w:pPr>
            <w:r>
              <w:rPr>
                <w:color w:val="000000" w:themeColor="text1"/>
              </w:rPr>
              <w:t>6.6</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亚硝酸盐</w:t>
            </w:r>
          </w:p>
        </w:tc>
        <w:tc>
          <w:tcPr>
            <w:tcW w:w="1276" w:type="dxa"/>
            <w:vAlign w:val="center"/>
          </w:tcPr>
          <w:p>
            <w:pPr>
              <w:pStyle w:val="55"/>
              <w:rPr>
                <w:color w:val="000000" w:themeColor="text1"/>
              </w:rPr>
            </w:pPr>
            <w:r>
              <w:rPr>
                <w:rFonts w:hint="eastAsia"/>
                <w:color w:val="000000" w:themeColor="text1"/>
              </w:rPr>
              <w:t>0.313</w:t>
            </w:r>
          </w:p>
        </w:tc>
        <w:tc>
          <w:tcPr>
            <w:tcW w:w="1275" w:type="dxa"/>
            <w:vAlign w:val="center"/>
          </w:tcPr>
          <w:p>
            <w:pPr>
              <w:pStyle w:val="55"/>
              <w:rPr>
                <w:color w:val="000000" w:themeColor="text1"/>
              </w:rPr>
            </w:pPr>
            <w:r>
              <w:rPr>
                <w:rFonts w:hint="eastAsia"/>
                <w:color w:val="000000" w:themeColor="text1"/>
              </w:rPr>
              <w:t>0.141</w:t>
            </w:r>
          </w:p>
        </w:tc>
        <w:tc>
          <w:tcPr>
            <w:tcW w:w="1276" w:type="dxa"/>
            <w:vAlign w:val="center"/>
          </w:tcPr>
          <w:p>
            <w:pPr>
              <w:pStyle w:val="55"/>
              <w:rPr>
                <w:color w:val="000000" w:themeColor="text1"/>
              </w:rPr>
            </w:pPr>
            <w:r>
              <w:rPr>
                <w:rFonts w:hint="eastAsia"/>
                <w:color w:val="000000" w:themeColor="text1"/>
              </w:rPr>
              <w:t>0.367</w:t>
            </w:r>
          </w:p>
        </w:tc>
        <w:tc>
          <w:tcPr>
            <w:tcW w:w="992" w:type="dxa"/>
            <w:vAlign w:val="center"/>
          </w:tcPr>
          <w:p>
            <w:pPr>
              <w:pStyle w:val="55"/>
              <w:rPr>
                <w:color w:val="000000" w:themeColor="text1"/>
              </w:rPr>
            </w:pPr>
            <w:r>
              <w:rPr>
                <w:color w:val="000000" w:themeColor="text1"/>
              </w:rPr>
              <w:t>≤1.0</w:t>
            </w:r>
          </w:p>
        </w:tc>
        <w:tc>
          <w:tcPr>
            <w:tcW w:w="851" w:type="dxa"/>
            <w:vAlign w:val="center"/>
          </w:tcPr>
          <w:p>
            <w:pPr>
              <w:pStyle w:val="55"/>
              <w:rPr>
                <w:color w:val="000000" w:themeColor="text1"/>
              </w:rPr>
            </w:pPr>
            <w:r>
              <w:rPr>
                <w:color w:val="000000" w:themeColor="text1"/>
              </w:rPr>
              <w:t>36.7</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细菌总数</w:t>
            </w:r>
          </w:p>
        </w:tc>
        <w:tc>
          <w:tcPr>
            <w:tcW w:w="1276" w:type="dxa"/>
            <w:vAlign w:val="center"/>
          </w:tcPr>
          <w:p>
            <w:pPr>
              <w:pStyle w:val="55"/>
              <w:rPr>
                <w:color w:val="000000" w:themeColor="text1"/>
              </w:rPr>
            </w:pPr>
            <w:r>
              <w:rPr>
                <w:rFonts w:hint="eastAsia"/>
                <w:color w:val="000000" w:themeColor="text1"/>
              </w:rPr>
              <w:t>70</w:t>
            </w:r>
          </w:p>
        </w:tc>
        <w:tc>
          <w:tcPr>
            <w:tcW w:w="1275" w:type="dxa"/>
            <w:vAlign w:val="center"/>
          </w:tcPr>
          <w:p>
            <w:pPr>
              <w:pStyle w:val="55"/>
              <w:rPr>
                <w:color w:val="000000" w:themeColor="text1"/>
              </w:rPr>
            </w:pPr>
            <w:r>
              <w:rPr>
                <w:rFonts w:hint="eastAsia"/>
                <w:color w:val="000000" w:themeColor="text1"/>
              </w:rPr>
              <w:t>70</w:t>
            </w:r>
          </w:p>
        </w:tc>
        <w:tc>
          <w:tcPr>
            <w:tcW w:w="1276" w:type="dxa"/>
            <w:vAlign w:val="center"/>
          </w:tcPr>
          <w:p>
            <w:pPr>
              <w:pStyle w:val="55"/>
              <w:rPr>
                <w:color w:val="000000" w:themeColor="text1"/>
              </w:rPr>
            </w:pPr>
            <w:r>
              <w:rPr>
                <w:rFonts w:hint="eastAsia"/>
                <w:color w:val="000000" w:themeColor="text1"/>
              </w:rPr>
              <w:t>70</w:t>
            </w:r>
          </w:p>
        </w:tc>
        <w:tc>
          <w:tcPr>
            <w:tcW w:w="992" w:type="dxa"/>
            <w:vAlign w:val="center"/>
          </w:tcPr>
          <w:p>
            <w:pPr>
              <w:pStyle w:val="55"/>
              <w:rPr>
                <w:color w:val="000000" w:themeColor="text1"/>
              </w:rPr>
            </w:pPr>
            <w:r>
              <w:rPr>
                <w:color w:val="000000" w:themeColor="text1"/>
              </w:rPr>
              <w:t>≤100</w:t>
            </w:r>
          </w:p>
        </w:tc>
        <w:tc>
          <w:tcPr>
            <w:tcW w:w="851" w:type="dxa"/>
            <w:vAlign w:val="center"/>
          </w:tcPr>
          <w:p>
            <w:pPr>
              <w:pStyle w:val="55"/>
              <w:rPr>
                <w:color w:val="000000" w:themeColor="text1"/>
              </w:rPr>
            </w:pPr>
            <w:r>
              <w:rPr>
                <w:color w:val="000000" w:themeColor="text1"/>
              </w:rPr>
              <w:t>70</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总大肠菌群</w:t>
            </w:r>
          </w:p>
        </w:tc>
        <w:tc>
          <w:tcPr>
            <w:tcW w:w="1276" w:type="dxa"/>
            <w:vAlign w:val="center"/>
          </w:tcPr>
          <w:p>
            <w:pPr>
              <w:pStyle w:val="55"/>
              <w:rPr>
                <w:color w:val="000000" w:themeColor="text1"/>
              </w:rPr>
            </w:pPr>
            <w:r>
              <w:rPr>
                <w:rFonts w:hint="eastAsia"/>
                <w:color w:val="000000" w:themeColor="text1"/>
              </w:rPr>
              <w:t>2</w:t>
            </w:r>
          </w:p>
        </w:tc>
        <w:tc>
          <w:tcPr>
            <w:tcW w:w="1275" w:type="dxa"/>
            <w:vAlign w:val="center"/>
          </w:tcPr>
          <w:p>
            <w:pPr>
              <w:pStyle w:val="55"/>
              <w:rPr>
                <w:color w:val="000000" w:themeColor="text1"/>
              </w:rPr>
            </w:pPr>
            <w:r>
              <w:rPr>
                <w:rFonts w:hint="eastAsia"/>
                <w:color w:val="000000" w:themeColor="text1"/>
              </w:rPr>
              <w:t>2</w:t>
            </w:r>
          </w:p>
        </w:tc>
        <w:tc>
          <w:tcPr>
            <w:tcW w:w="1276" w:type="dxa"/>
            <w:vAlign w:val="center"/>
          </w:tcPr>
          <w:p>
            <w:pPr>
              <w:pStyle w:val="55"/>
              <w:rPr>
                <w:color w:val="000000" w:themeColor="text1"/>
              </w:rPr>
            </w:pPr>
            <w:r>
              <w:rPr>
                <w:rFonts w:hint="eastAsia"/>
                <w:color w:val="000000" w:themeColor="text1"/>
              </w:rPr>
              <w:t>2</w:t>
            </w:r>
          </w:p>
        </w:tc>
        <w:tc>
          <w:tcPr>
            <w:tcW w:w="992" w:type="dxa"/>
            <w:vAlign w:val="center"/>
          </w:tcPr>
          <w:p>
            <w:pPr>
              <w:pStyle w:val="55"/>
              <w:rPr>
                <w:color w:val="000000" w:themeColor="text1"/>
              </w:rPr>
            </w:pPr>
            <w:r>
              <w:rPr>
                <w:color w:val="000000" w:themeColor="text1"/>
              </w:rPr>
              <w:t>≤3.0</w:t>
            </w:r>
          </w:p>
        </w:tc>
        <w:tc>
          <w:tcPr>
            <w:tcW w:w="851" w:type="dxa"/>
            <w:vAlign w:val="center"/>
          </w:tcPr>
          <w:p>
            <w:pPr>
              <w:pStyle w:val="55"/>
              <w:rPr>
                <w:color w:val="000000" w:themeColor="text1"/>
              </w:rPr>
            </w:pPr>
            <w:r>
              <w:rPr>
                <w:color w:val="000000" w:themeColor="text1"/>
              </w:rPr>
              <w:t>66.67</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氯化物</w:t>
            </w:r>
          </w:p>
        </w:tc>
        <w:tc>
          <w:tcPr>
            <w:tcW w:w="1276" w:type="dxa"/>
            <w:vAlign w:val="center"/>
          </w:tcPr>
          <w:p>
            <w:pPr>
              <w:pStyle w:val="55"/>
              <w:rPr>
                <w:color w:val="000000" w:themeColor="text1"/>
              </w:rPr>
            </w:pPr>
            <w:r>
              <w:rPr>
                <w:rFonts w:hint="eastAsia"/>
                <w:color w:val="000000" w:themeColor="text1"/>
              </w:rPr>
              <w:t>2.74</w:t>
            </w:r>
          </w:p>
        </w:tc>
        <w:tc>
          <w:tcPr>
            <w:tcW w:w="1275" w:type="dxa"/>
            <w:vAlign w:val="center"/>
          </w:tcPr>
          <w:p>
            <w:pPr>
              <w:pStyle w:val="55"/>
              <w:rPr>
                <w:color w:val="000000" w:themeColor="text1"/>
              </w:rPr>
            </w:pPr>
            <w:r>
              <w:rPr>
                <w:rFonts w:hint="eastAsia"/>
                <w:color w:val="000000" w:themeColor="text1"/>
              </w:rPr>
              <w:t>2.81</w:t>
            </w:r>
          </w:p>
        </w:tc>
        <w:tc>
          <w:tcPr>
            <w:tcW w:w="1276" w:type="dxa"/>
            <w:vAlign w:val="center"/>
          </w:tcPr>
          <w:p>
            <w:pPr>
              <w:pStyle w:val="55"/>
              <w:rPr>
                <w:color w:val="000000" w:themeColor="text1"/>
              </w:rPr>
            </w:pPr>
            <w:r>
              <w:rPr>
                <w:rFonts w:hint="eastAsia"/>
                <w:color w:val="000000" w:themeColor="text1"/>
              </w:rPr>
              <w:t>2.85</w:t>
            </w:r>
          </w:p>
        </w:tc>
        <w:tc>
          <w:tcPr>
            <w:tcW w:w="992" w:type="dxa"/>
            <w:vAlign w:val="center"/>
          </w:tcPr>
          <w:p>
            <w:pPr>
              <w:pStyle w:val="55"/>
              <w:rPr>
                <w:color w:val="000000" w:themeColor="text1"/>
              </w:rPr>
            </w:pPr>
            <w:r>
              <w:rPr>
                <w:color w:val="000000" w:themeColor="text1"/>
              </w:rPr>
              <w:t>≤250</w:t>
            </w:r>
          </w:p>
        </w:tc>
        <w:tc>
          <w:tcPr>
            <w:tcW w:w="851" w:type="dxa"/>
            <w:vAlign w:val="center"/>
          </w:tcPr>
          <w:p>
            <w:pPr>
              <w:pStyle w:val="55"/>
              <w:rPr>
                <w:color w:val="000000" w:themeColor="text1"/>
              </w:rPr>
            </w:pPr>
            <w:r>
              <w:rPr>
                <w:color w:val="000000" w:themeColor="text1"/>
              </w:rPr>
              <w:t>1.14</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硫酸盐</w:t>
            </w:r>
          </w:p>
        </w:tc>
        <w:tc>
          <w:tcPr>
            <w:tcW w:w="1276" w:type="dxa"/>
            <w:vAlign w:val="center"/>
          </w:tcPr>
          <w:p>
            <w:pPr>
              <w:pStyle w:val="55"/>
              <w:rPr>
                <w:color w:val="000000" w:themeColor="text1"/>
              </w:rPr>
            </w:pPr>
            <w:r>
              <w:rPr>
                <w:rFonts w:hint="eastAsia"/>
                <w:color w:val="000000" w:themeColor="text1"/>
              </w:rPr>
              <w:t>19.5</w:t>
            </w:r>
          </w:p>
        </w:tc>
        <w:tc>
          <w:tcPr>
            <w:tcW w:w="1275" w:type="dxa"/>
            <w:vAlign w:val="center"/>
          </w:tcPr>
          <w:p>
            <w:pPr>
              <w:pStyle w:val="55"/>
              <w:rPr>
                <w:color w:val="000000" w:themeColor="text1"/>
              </w:rPr>
            </w:pPr>
            <w:r>
              <w:rPr>
                <w:rFonts w:hint="eastAsia"/>
                <w:color w:val="000000" w:themeColor="text1"/>
              </w:rPr>
              <w:t>20.1</w:t>
            </w:r>
          </w:p>
        </w:tc>
        <w:tc>
          <w:tcPr>
            <w:tcW w:w="1276" w:type="dxa"/>
            <w:vAlign w:val="center"/>
          </w:tcPr>
          <w:p>
            <w:pPr>
              <w:pStyle w:val="55"/>
              <w:rPr>
                <w:color w:val="000000" w:themeColor="text1"/>
              </w:rPr>
            </w:pPr>
            <w:r>
              <w:rPr>
                <w:rFonts w:hint="eastAsia"/>
                <w:color w:val="000000" w:themeColor="text1"/>
              </w:rPr>
              <w:t>20.1</w:t>
            </w:r>
          </w:p>
        </w:tc>
        <w:tc>
          <w:tcPr>
            <w:tcW w:w="992" w:type="dxa"/>
            <w:vAlign w:val="center"/>
          </w:tcPr>
          <w:p>
            <w:pPr>
              <w:pStyle w:val="55"/>
              <w:rPr>
                <w:color w:val="000000" w:themeColor="text1"/>
              </w:rPr>
            </w:pPr>
            <w:r>
              <w:rPr>
                <w:color w:val="000000" w:themeColor="text1"/>
              </w:rPr>
              <w:t>≤250</w:t>
            </w:r>
          </w:p>
        </w:tc>
        <w:tc>
          <w:tcPr>
            <w:tcW w:w="851" w:type="dxa"/>
            <w:vAlign w:val="center"/>
          </w:tcPr>
          <w:p>
            <w:pPr>
              <w:pStyle w:val="55"/>
              <w:rPr>
                <w:color w:val="000000" w:themeColor="text1"/>
              </w:rPr>
            </w:pPr>
            <w:r>
              <w:rPr>
                <w:color w:val="000000" w:themeColor="text1"/>
              </w:rPr>
              <w:t>8.04</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氨氮</w:t>
            </w:r>
          </w:p>
        </w:tc>
        <w:tc>
          <w:tcPr>
            <w:tcW w:w="1276" w:type="dxa"/>
            <w:vAlign w:val="center"/>
          </w:tcPr>
          <w:p>
            <w:pPr>
              <w:pStyle w:val="55"/>
              <w:rPr>
                <w:color w:val="000000" w:themeColor="text1"/>
              </w:rPr>
            </w:pPr>
            <w:r>
              <w:rPr>
                <w:rFonts w:hint="eastAsia"/>
                <w:color w:val="000000" w:themeColor="text1"/>
              </w:rPr>
              <w:t>0.025L</w:t>
            </w:r>
          </w:p>
        </w:tc>
        <w:tc>
          <w:tcPr>
            <w:tcW w:w="1275" w:type="dxa"/>
            <w:vAlign w:val="center"/>
          </w:tcPr>
          <w:p>
            <w:pPr>
              <w:pStyle w:val="55"/>
              <w:rPr>
                <w:color w:val="000000" w:themeColor="text1"/>
              </w:rPr>
            </w:pPr>
            <w:r>
              <w:rPr>
                <w:rFonts w:hint="eastAsia"/>
                <w:color w:val="000000" w:themeColor="text1"/>
              </w:rPr>
              <w:t>0.025L</w:t>
            </w:r>
          </w:p>
        </w:tc>
        <w:tc>
          <w:tcPr>
            <w:tcW w:w="1276" w:type="dxa"/>
            <w:vAlign w:val="center"/>
          </w:tcPr>
          <w:p>
            <w:pPr>
              <w:pStyle w:val="55"/>
              <w:rPr>
                <w:color w:val="000000" w:themeColor="text1"/>
              </w:rPr>
            </w:pPr>
            <w:r>
              <w:rPr>
                <w:rFonts w:hint="eastAsia"/>
                <w:color w:val="000000" w:themeColor="text1"/>
              </w:rPr>
              <w:t>0.025L</w:t>
            </w:r>
          </w:p>
        </w:tc>
        <w:tc>
          <w:tcPr>
            <w:tcW w:w="992" w:type="dxa"/>
            <w:vAlign w:val="center"/>
          </w:tcPr>
          <w:p>
            <w:pPr>
              <w:pStyle w:val="55"/>
              <w:rPr>
                <w:color w:val="000000" w:themeColor="text1"/>
              </w:rPr>
            </w:pPr>
            <w:r>
              <w:rPr>
                <w:color w:val="000000" w:themeColor="text1"/>
              </w:rPr>
              <w:t>≤0.5</w:t>
            </w:r>
          </w:p>
        </w:tc>
        <w:tc>
          <w:tcPr>
            <w:tcW w:w="851" w:type="dxa"/>
            <w:vAlign w:val="center"/>
          </w:tcPr>
          <w:p>
            <w:pPr>
              <w:pStyle w:val="55"/>
              <w:rPr>
                <w:color w:val="000000" w:themeColor="text1"/>
              </w:rPr>
            </w:pPr>
            <w:r>
              <w:rPr>
                <w:rFonts w:hint="eastAsia"/>
                <w:color w:val="000000" w:themeColor="text1"/>
              </w:rPr>
              <w:t>/</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氰化物</w:t>
            </w:r>
          </w:p>
        </w:tc>
        <w:tc>
          <w:tcPr>
            <w:tcW w:w="1276" w:type="dxa"/>
            <w:vAlign w:val="center"/>
          </w:tcPr>
          <w:p>
            <w:pPr>
              <w:pStyle w:val="55"/>
              <w:rPr>
                <w:color w:val="000000" w:themeColor="text1"/>
              </w:rPr>
            </w:pPr>
            <w:r>
              <w:rPr>
                <w:rFonts w:hint="eastAsia"/>
                <w:color w:val="000000" w:themeColor="text1"/>
              </w:rPr>
              <w:t>0.001L</w:t>
            </w:r>
          </w:p>
        </w:tc>
        <w:tc>
          <w:tcPr>
            <w:tcW w:w="1275" w:type="dxa"/>
            <w:vAlign w:val="center"/>
          </w:tcPr>
          <w:p>
            <w:pPr>
              <w:pStyle w:val="55"/>
              <w:rPr>
                <w:color w:val="000000" w:themeColor="text1"/>
              </w:rPr>
            </w:pPr>
            <w:r>
              <w:rPr>
                <w:rFonts w:hint="eastAsia"/>
                <w:color w:val="000000" w:themeColor="text1"/>
              </w:rPr>
              <w:t>0.001L</w:t>
            </w:r>
          </w:p>
        </w:tc>
        <w:tc>
          <w:tcPr>
            <w:tcW w:w="1276" w:type="dxa"/>
            <w:vAlign w:val="center"/>
          </w:tcPr>
          <w:p>
            <w:pPr>
              <w:pStyle w:val="55"/>
              <w:rPr>
                <w:color w:val="000000" w:themeColor="text1"/>
              </w:rPr>
            </w:pPr>
            <w:r>
              <w:rPr>
                <w:rFonts w:hint="eastAsia"/>
                <w:color w:val="000000" w:themeColor="text1"/>
              </w:rPr>
              <w:t>0.001L</w:t>
            </w:r>
          </w:p>
        </w:tc>
        <w:tc>
          <w:tcPr>
            <w:tcW w:w="992" w:type="dxa"/>
            <w:vAlign w:val="center"/>
          </w:tcPr>
          <w:p>
            <w:pPr>
              <w:pStyle w:val="55"/>
              <w:rPr>
                <w:color w:val="000000" w:themeColor="text1"/>
              </w:rPr>
            </w:pPr>
            <w:r>
              <w:rPr>
                <w:color w:val="000000" w:themeColor="text1"/>
              </w:rPr>
              <w:t>≤0.05</w:t>
            </w:r>
          </w:p>
        </w:tc>
        <w:tc>
          <w:tcPr>
            <w:tcW w:w="851" w:type="dxa"/>
            <w:vAlign w:val="center"/>
          </w:tcPr>
          <w:p>
            <w:pPr>
              <w:pStyle w:val="55"/>
              <w:rPr>
                <w:color w:val="000000" w:themeColor="text1"/>
              </w:rPr>
            </w:pPr>
            <w:r>
              <w:rPr>
                <w:rFonts w:hint="eastAsia"/>
                <w:color w:val="000000" w:themeColor="text1"/>
              </w:rPr>
              <w:t>/</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溶解性总固体</w:t>
            </w:r>
          </w:p>
        </w:tc>
        <w:tc>
          <w:tcPr>
            <w:tcW w:w="1276" w:type="dxa"/>
            <w:vAlign w:val="center"/>
          </w:tcPr>
          <w:p>
            <w:pPr>
              <w:pStyle w:val="55"/>
              <w:rPr>
                <w:color w:val="000000" w:themeColor="text1"/>
              </w:rPr>
            </w:pPr>
            <w:r>
              <w:rPr>
                <w:rFonts w:hint="eastAsia"/>
                <w:color w:val="000000" w:themeColor="text1"/>
              </w:rPr>
              <w:t>908</w:t>
            </w:r>
          </w:p>
        </w:tc>
        <w:tc>
          <w:tcPr>
            <w:tcW w:w="1275" w:type="dxa"/>
            <w:vAlign w:val="center"/>
          </w:tcPr>
          <w:p>
            <w:pPr>
              <w:pStyle w:val="55"/>
              <w:rPr>
                <w:color w:val="000000" w:themeColor="text1"/>
              </w:rPr>
            </w:pPr>
            <w:r>
              <w:rPr>
                <w:rFonts w:hint="eastAsia"/>
                <w:color w:val="000000" w:themeColor="text1"/>
              </w:rPr>
              <w:t>799</w:t>
            </w:r>
          </w:p>
        </w:tc>
        <w:tc>
          <w:tcPr>
            <w:tcW w:w="1276" w:type="dxa"/>
            <w:vAlign w:val="center"/>
          </w:tcPr>
          <w:p>
            <w:pPr>
              <w:pStyle w:val="55"/>
              <w:rPr>
                <w:color w:val="000000" w:themeColor="text1"/>
              </w:rPr>
            </w:pPr>
            <w:r>
              <w:rPr>
                <w:rFonts w:hint="eastAsia"/>
                <w:color w:val="000000" w:themeColor="text1"/>
              </w:rPr>
              <w:t>703</w:t>
            </w:r>
          </w:p>
        </w:tc>
        <w:tc>
          <w:tcPr>
            <w:tcW w:w="992" w:type="dxa"/>
            <w:vAlign w:val="center"/>
          </w:tcPr>
          <w:p>
            <w:pPr>
              <w:pStyle w:val="55"/>
              <w:rPr>
                <w:color w:val="000000" w:themeColor="text1"/>
              </w:rPr>
            </w:pPr>
            <w:r>
              <w:rPr>
                <w:color w:val="000000" w:themeColor="text1"/>
              </w:rPr>
              <w:t>≤1000</w:t>
            </w:r>
          </w:p>
        </w:tc>
        <w:tc>
          <w:tcPr>
            <w:tcW w:w="851" w:type="dxa"/>
            <w:vAlign w:val="center"/>
          </w:tcPr>
          <w:p>
            <w:pPr>
              <w:pStyle w:val="55"/>
              <w:rPr>
                <w:color w:val="000000" w:themeColor="text1"/>
              </w:rPr>
            </w:pPr>
            <w:r>
              <w:rPr>
                <w:color w:val="000000" w:themeColor="text1"/>
              </w:rPr>
              <w:t>90.8</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铬（六价）</w:t>
            </w:r>
          </w:p>
        </w:tc>
        <w:tc>
          <w:tcPr>
            <w:tcW w:w="1276" w:type="dxa"/>
            <w:vAlign w:val="center"/>
          </w:tcPr>
          <w:p>
            <w:pPr>
              <w:pStyle w:val="55"/>
              <w:rPr>
                <w:color w:val="000000" w:themeColor="text1"/>
              </w:rPr>
            </w:pPr>
            <w:r>
              <w:rPr>
                <w:rFonts w:hint="eastAsia"/>
                <w:color w:val="000000" w:themeColor="text1"/>
              </w:rPr>
              <w:t>0.004L</w:t>
            </w:r>
          </w:p>
        </w:tc>
        <w:tc>
          <w:tcPr>
            <w:tcW w:w="1275" w:type="dxa"/>
            <w:vAlign w:val="center"/>
          </w:tcPr>
          <w:p>
            <w:pPr>
              <w:pStyle w:val="55"/>
              <w:rPr>
                <w:color w:val="000000" w:themeColor="text1"/>
              </w:rPr>
            </w:pPr>
            <w:r>
              <w:rPr>
                <w:rFonts w:hint="eastAsia"/>
                <w:color w:val="000000" w:themeColor="text1"/>
              </w:rPr>
              <w:t>0.004L</w:t>
            </w:r>
          </w:p>
        </w:tc>
        <w:tc>
          <w:tcPr>
            <w:tcW w:w="1276" w:type="dxa"/>
            <w:vAlign w:val="center"/>
          </w:tcPr>
          <w:p>
            <w:pPr>
              <w:pStyle w:val="55"/>
              <w:rPr>
                <w:color w:val="000000" w:themeColor="text1"/>
              </w:rPr>
            </w:pPr>
            <w:r>
              <w:rPr>
                <w:rFonts w:hint="eastAsia"/>
                <w:color w:val="000000" w:themeColor="text1"/>
              </w:rPr>
              <w:t>0.004L</w:t>
            </w:r>
          </w:p>
        </w:tc>
        <w:tc>
          <w:tcPr>
            <w:tcW w:w="992" w:type="dxa"/>
            <w:vAlign w:val="center"/>
          </w:tcPr>
          <w:p>
            <w:pPr>
              <w:pStyle w:val="55"/>
              <w:rPr>
                <w:color w:val="000000" w:themeColor="text1"/>
              </w:rPr>
            </w:pPr>
            <w:r>
              <w:rPr>
                <w:color w:val="000000" w:themeColor="text1"/>
              </w:rPr>
              <w:t>≤0.</w:t>
            </w:r>
            <w:r>
              <w:rPr>
                <w:rFonts w:hint="eastAsia"/>
                <w:color w:val="000000" w:themeColor="text1"/>
              </w:rPr>
              <w:t>05</w:t>
            </w:r>
          </w:p>
        </w:tc>
        <w:tc>
          <w:tcPr>
            <w:tcW w:w="851" w:type="dxa"/>
            <w:vAlign w:val="center"/>
          </w:tcPr>
          <w:p>
            <w:pPr>
              <w:pStyle w:val="55"/>
              <w:rPr>
                <w:color w:val="000000" w:themeColor="text1"/>
              </w:rPr>
            </w:pPr>
            <w:r>
              <w:rPr>
                <w:rFonts w:hint="eastAsia"/>
                <w:color w:val="000000" w:themeColor="text1"/>
              </w:rPr>
              <w:t>/</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汞（</w:t>
            </w:r>
            <w:r>
              <w:rPr>
                <w:color w:val="000000" w:themeColor="text1"/>
              </w:rPr>
              <w:t>ɥmg/L</w:t>
            </w:r>
            <w:r>
              <w:rPr>
                <w:rFonts w:hint="eastAsia"/>
                <w:color w:val="000000" w:themeColor="text1"/>
              </w:rPr>
              <w:t>）</w:t>
            </w:r>
          </w:p>
        </w:tc>
        <w:tc>
          <w:tcPr>
            <w:tcW w:w="1276" w:type="dxa"/>
            <w:vAlign w:val="center"/>
          </w:tcPr>
          <w:p>
            <w:pPr>
              <w:pStyle w:val="55"/>
              <w:rPr>
                <w:color w:val="000000" w:themeColor="text1"/>
              </w:rPr>
            </w:pPr>
            <w:r>
              <w:rPr>
                <w:rFonts w:hint="eastAsia"/>
                <w:color w:val="000000" w:themeColor="text1"/>
              </w:rPr>
              <w:t>7.00×10</w:t>
            </w:r>
            <w:r>
              <w:rPr>
                <w:rFonts w:hint="eastAsia"/>
                <w:color w:val="000000" w:themeColor="text1"/>
                <w:vertAlign w:val="superscript"/>
              </w:rPr>
              <w:t>-5</w:t>
            </w:r>
          </w:p>
        </w:tc>
        <w:tc>
          <w:tcPr>
            <w:tcW w:w="1275" w:type="dxa"/>
            <w:vAlign w:val="center"/>
          </w:tcPr>
          <w:p>
            <w:pPr>
              <w:pStyle w:val="55"/>
              <w:rPr>
                <w:color w:val="000000" w:themeColor="text1"/>
              </w:rPr>
            </w:pPr>
            <w:r>
              <w:rPr>
                <w:rFonts w:hint="eastAsia"/>
                <w:color w:val="000000" w:themeColor="text1"/>
              </w:rPr>
              <w:t>7.00×10</w:t>
            </w:r>
            <w:r>
              <w:rPr>
                <w:rFonts w:hint="eastAsia"/>
                <w:color w:val="000000" w:themeColor="text1"/>
                <w:vertAlign w:val="superscript"/>
              </w:rPr>
              <w:t>-5</w:t>
            </w:r>
          </w:p>
        </w:tc>
        <w:tc>
          <w:tcPr>
            <w:tcW w:w="1276" w:type="dxa"/>
            <w:vAlign w:val="center"/>
          </w:tcPr>
          <w:p>
            <w:pPr>
              <w:pStyle w:val="55"/>
              <w:rPr>
                <w:color w:val="000000" w:themeColor="text1"/>
              </w:rPr>
            </w:pPr>
            <w:r>
              <w:rPr>
                <w:rFonts w:hint="eastAsia"/>
                <w:color w:val="000000" w:themeColor="text1"/>
              </w:rPr>
              <w:t>7.00×10</w:t>
            </w:r>
            <w:r>
              <w:rPr>
                <w:rFonts w:hint="eastAsia"/>
                <w:color w:val="000000" w:themeColor="text1"/>
                <w:vertAlign w:val="superscript"/>
              </w:rPr>
              <w:t>-5</w:t>
            </w:r>
          </w:p>
        </w:tc>
        <w:tc>
          <w:tcPr>
            <w:tcW w:w="992" w:type="dxa"/>
            <w:vAlign w:val="center"/>
          </w:tcPr>
          <w:p>
            <w:pPr>
              <w:pStyle w:val="55"/>
              <w:rPr>
                <w:color w:val="000000" w:themeColor="text1"/>
              </w:rPr>
            </w:pPr>
            <w:r>
              <w:rPr>
                <w:color w:val="000000" w:themeColor="text1"/>
              </w:rPr>
              <w:t>≤0.001</w:t>
            </w:r>
          </w:p>
        </w:tc>
        <w:tc>
          <w:tcPr>
            <w:tcW w:w="851" w:type="dxa"/>
            <w:vAlign w:val="center"/>
          </w:tcPr>
          <w:p>
            <w:pPr>
              <w:pStyle w:val="55"/>
              <w:rPr>
                <w:color w:val="000000" w:themeColor="text1"/>
              </w:rPr>
            </w:pPr>
            <w:r>
              <w:rPr>
                <w:rFonts w:hint="eastAsia"/>
                <w:color w:val="000000" w:themeColor="text1"/>
              </w:rPr>
              <w:t>7</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砷（</w:t>
            </w:r>
            <w:r>
              <w:rPr>
                <w:color w:val="000000" w:themeColor="text1"/>
              </w:rPr>
              <w:t>ɥmg/L</w:t>
            </w:r>
            <w:r>
              <w:rPr>
                <w:rFonts w:hint="eastAsia"/>
                <w:color w:val="000000" w:themeColor="text1"/>
              </w:rPr>
              <w:t>）</w:t>
            </w:r>
          </w:p>
        </w:tc>
        <w:tc>
          <w:tcPr>
            <w:tcW w:w="1276" w:type="dxa"/>
            <w:vAlign w:val="center"/>
          </w:tcPr>
          <w:p>
            <w:pPr>
              <w:pStyle w:val="55"/>
              <w:rPr>
                <w:color w:val="000000" w:themeColor="text1"/>
              </w:rPr>
            </w:pPr>
            <w:r>
              <w:rPr>
                <w:rFonts w:hint="eastAsia"/>
                <w:color w:val="000000" w:themeColor="text1"/>
              </w:rPr>
              <w:t>3.00×10</w:t>
            </w:r>
            <w:r>
              <w:rPr>
                <w:rFonts w:hint="eastAsia"/>
                <w:color w:val="000000" w:themeColor="text1"/>
                <w:vertAlign w:val="superscript"/>
              </w:rPr>
              <w:t>-4</w:t>
            </w:r>
            <w:r>
              <w:rPr>
                <w:rFonts w:hint="eastAsia"/>
                <w:color w:val="000000" w:themeColor="text1"/>
              </w:rPr>
              <w:t>L</w:t>
            </w:r>
          </w:p>
        </w:tc>
        <w:tc>
          <w:tcPr>
            <w:tcW w:w="1275" w:type="dxa"/>
            <w:vAlign w:val="center"/>
          </w:tcPr>
          <w:p>
            <w:pPr>
              <w:pStyle w:val="55"/>
              <w:rPr>
                <w:color w:val="000000" w:themeColor="text1"/>
              </w:rPr>
            </w:pPr>
            <w:r>
              <w:rPr>
                <w:rFonts w:hint="eastAsia"/>
                <w:color w:val="000000" w:themeColor="text1"/>
              </w:rPr>
              <w:t>3.00×10</w:t>
            </w:r>
            <w:r>
              <w:rPr>
                <w:rFonts w:hint="eastAsia"/>
                <w:color w:val="000000" w:themeColor="text1"/>
                <w:vertAlign w:val="superscript"/>
              </w:rPr>
              <w:t>-4</w:t>
            </w:r>
            <w:r>
              <w:rPr>
                <w:rFonts w:hint="eastAsia"/>
                <w:color w:val="000000" w:themeColor="text1"/>
              </w:rPr>
              <w:t>L</w:t>
            </w:r>
          </w:p>
        </w:tc>
        <w:tc>
          <w:tcPr>
            <w:tcW w:w="1276" w:type="dxa"/>
            <w:vAlign w:val="center"/>
          </w:tcPr>
          <w:p>
            <w:pPr>
              <w:pStyle w:val="55"/>
              <w:rPr>
                <w:color w:val="000000" w:themeColor="text1"/>
              </w:rPr>
            </w:pPr>
            <w:r>
              <w:rPr>
                <w:rFonts w:hint="eastAsia"/>
                <w:color w:val="000000" w:themeColor="text1"/>
              </w:rPr>
              <w:t>3.00×10</w:t>
            </w:r>
            <w:r>
              <w:rPr>
                <w:rFonts w:hint="eastAsia"/>
                <w:color w:val="000000" w:themeColor="text1"/>
                <w:vertAlign w:val="superscript"/>
              </w:rPr>
              <w:t>-4</w:t>
            </w:r>
            <w:r>
              <w:rPr>
                <w:rFonts w:hint="eastAsia"/>
                <w:color w:val="000000" w:themeColor="text1"/>
              </w:rPr>
              <w:t>L</w:t>
            </w:r>
          </w:p>
        </w:tc>
        <w:tc>
          <w:tcPr>
            <w:tcW w:w="992" w:type="dxa"/>
            <w:vAlign w:val="center"/>
          </w:tcPr>
          <w:p>
            <w:pPr>
              <w:pStyle w:val="55"/>
              <w:rPr>
                <w:color w:val="000000" w:themeColor="text1"/>
              </w:rPr>
            </w:pPr>
            <w:r>
              <w:rPr>
                <w:color w:val="000000" w:themeColor="text1"/>
              </w:rPr>
              <w:t>≤0.0</w:t>
            </w:r>
            <w:r>
              <w:rPr>
                <w:rFonts w:hint="eastAsia"/>
                <w:color w:val="000000" w:themeColor="text1"/>
              </w:rPr>
              <w:t>1</w:t>
            </w:r>
          </w:p>
        </w:tc>
        <w:tc>
          <w:tcPr>
            <w:tcW w:w="851" w:type="dxa"/>
            <w:vAlign w:val="center"/>
          </w:tcPr>
          <w:p>
            <w:pPr>
              <w:pStyle w:val="55"/>
              <w:rPr>
                <w:color w:val="000000" w:themeColor="text1"/>
              </w:rPr>
            </w:pPr>
            <w:r>
              <w:rPr>
                <w:rFonts w:hint="eastAsia"/>
                <w:color w:val="000000" w:themeColor="text1"/>
              </w:rPr>
              <w:t>/</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铅</w:t>
            </w:r>
          </w:p>
        </w:tc>
        <w:tc>
          <w:tcPr>
            <w:tcW w:w="1276" w:type="dxa"/>
            <w:vAlign w:val="center"/>
          </w:tcPr>
          <w:p>
            <w:pPr>
              <w:pStyle w:val="55"/>
              <w:rPr>
                <w:color w:val="000000" w:themeColor="text1"/>
              </w:rPr>
            </w:pPr>
            <w:r>
              <w:rPr>
                <w:rFonts w:hint="eastAsia"/>
                <w:color w:val="000000" w:themeColor="text1"/>
              </w:rPr>
              <w:t>2.48×10</w:t>
            </w:r>
            <w:r>
              <w:rPr>
                <w:rFonts w:hint="eastAsia"/>
                <w:color w:val="000000" w:themeColor="text1"/>
                <w:vertAlign w:val="superscript"/>
              </w:rPr>
              <w:t>-3</w:t>
            </w:r>
          </w:p>
        </w:tc>
        <w:tc>
          <w:tcPr>
            <w:tcW w:w="1275" w:type="dxa"/>
            <w:vAlign w:val="center"/>
          </w:tcPr>
          <w:p>
            <w:pPr>
              <w:pStyle w:val="55"/>
              <w:rPr>
                <w:color w:val="000000" w:themeColor="text1"/>
              </w:rPr>
            </w:pPr>
            <w:r>
              <w:rPr>
                <w:rFonts w:hint="eastAsia"/>
                <w:color w:val="000000" w:themeColor="text1"/>
              </w:rPr>
              <w:t>1.79×10</w:t>
            </w:r>
            <w:r>
              <w:rPr>
                <w:rFonts w:hint="eastAsia"/>
                <w:color w:val="000000" w:themeColor="text1"/>
                <w:vertAlign w:val="superscript"/>
              </w:rPr>
              <w:t>-3</w:t>
            </w:r>
          </w:p>
        </w:tc>
        <w:tc>
          <w:tcPr>
            <w:tcW w:w="1276" w:type="dxa"/>
            <w:vAlign w:val="center"/>
          </w:tcPr>
          <w:p>
            <w:pPr>
              <w:pStyle w:val="55"/>
              <w:rPr>
                <w:color w:val="000000" w:themeColor="text1"/>
              </w:rPr>
            </w:pPr>
            <w:r>
              <w:rPr>
                <w:rFonts w:hint="eastAsia"/>
                <w:color w:val="000000" w:themeColor="text1"/>
              </w:rPr>
              <w:t>2.34×10</w:t>
            </w:r>
            <w:r>
              <w:rPr>
                <w:rFonts w:hint="eastAsia"/>
                <w:color w:val="000000" w:themeColor="text1"/>
                <w:vertAlign w:val="superscript"/>
              </w:rPr>
              <w:t>-3</w:t>
            </w:r>
          </w:p>
        </w:tc>
        <w:tc>
          <w:tcPr>
            <w:tcW w:w="992" w:type="dxa"/>
            <w:vAlign w:val="center"/>
          </w:tcPr>
          <w:p>
            <w:pPr>
              <w:pStyle w:val="55"/>
              <w:rPr>
                <w:color w:val="000000" w:themeColor="text1"/>
              </w:rPr>
            </w:pPr>
            <w:r>
              <w:rPr>
                <w:color w:val="000000" w:themeColor="text1"/>
              </w:rPr>
              <w:t>≤0.0</w:t>
            </w:r>
            <w:r>
              <w:rPr>
                <w:rFonts w:hint="eastAsia"/>
                <w:color w:val="000000" w:themeColor="text1"/>
              </w:rPr>
              <w:t>1</w:t>
            </w:r>
          </w:p>
        </w:tc>
        <w:tc>
          <w:tcPr>
            <w:tcW w:w="851" w:type="dxa"/>
            <w:vAlign w:val="center"/>
          </w:tcPr>
          <w:p>
            <w:pPr>
              <w:pStyle w:val="55"/>
              <w:rPr>
                <w:color w:val="000000" w:themeColor="text1"/>
              </w:rPr>
            </w:pPr>
            <w:r>
              <w:rPr>
                <w:rFonts w:hint="eastAsia"/>
                <w:color w:val="000000" w:themeColor="text1"/>
              </w:rPr>
              <w:t>24.8</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镉</w:t>
            </w:r>
          </w:p>
        </w:tc>
        <w:tc>
          <w:tcPr>
            <w:tcW w:w="1276" w:type="dxa"/>
            <w:vAlign w:val="center"/>
          </w:tcPr>
          <w:p>
            <w:pPr>
              <w:pStyle w:val="55"/>
              <w:rPr>
                <w:color w:val="000000" w:themeColor="text1"/>
              </w:rPr>
            </w:pPr>
            <w:r>
              <w:rPr>
                <w:rFonts w:hint="eastAsia"/>
                <w:color w:val="000000" w:themeColor="text1"/>
              </w:rPr>
              <w:t>1.00×10</w:t>
            </w:r>
            <w:r>
              <w:rPr>
                <w:rFonts w:hint="eastAsia"/>
                <w:color w:val="000000" w:themeColor="text1"/>
                <w:vertAlign w:val="superscript"/>
              </w:rPr>
              <w:t>-4</w:t>
            </w:r>
            <w:r>
              <w:rPr>
                <w:rFonts w:hint="eastAsia"/>
                <w:color w:val="000000" w:themeColor="text1"/>
              </w:rPr>
              <w:t>L</w:t>
            </w:r>
          </w:p>
        </w:tc>
        <w:tc>
          <w:tcPr>
            <w:tcW w:w="1275" w:type="dxa"/>
            <w:vAlign w:val="center"/>
          </w:tcPr>
          <w:p>
            <w:pPr>
              <w:pStyle w:val="55"/>
              <w:rPr>
                <w:color w:val="000000" w:themeColor="text1"/>
              </w:rPr>
            </w:pPr>
            <w:r>
              <w:rPr>
                <w:rFonts w:hint="eastAsia"/>
                <w:color w:val="000000" w:themeColor="text1"/>
              </w:rPr>
              <w:t>1.00×10</w:t>
            </w:r>
            <w:r>
              <w:rPr>
                <w:rFonts w:hint="eastAsia"/>
                <w:color w:val="000000" w:themeColor="text1"/>
                <w:vertAlign w:val="superscript"/>
              </w:rPr>
              <w:t>-4</w:t>
            </w:r>
            <w:r>
              <w:rPr>
                <w:rFonts w:hint="eastAsia"/>
                <w:color w:val="000000" w:themeColor="text1"/>
              </w:rPr>
              <w:t>L</w:t>
            </w:r>
          </w:p>
        </w:tc>
        <w:tc>
          <w:tcPr>
            <w:tcW w:w="1276" w:type="dxa"/>
            <w:vAlign w:val="center"/>
          </w:tcPr>
          <w:p>
            <w:pPr>
              <w:pStyle w:val="55"/>
              <w:rPr>
                <w:color w:val="000000" w:themeColor="text1"/>
              </w:rPr>
            </w:pPr>
            <w:r>
              <w:rPr>
                <w:rFonts w:hint="eastAsia"/>
                <w:color w:val="000000" w:themeColor="text1"/>
              </w:rPr>
              <w:t>1.00×10</w:t>
            </w:r>
            <w:r>
              <w:rPr>
                <w:rFonts w:hint="eastAsia"/>
                <w:color w:val="000000" w:themeColor="text1"/>
                <w:vertAlign w:val="superscript"/>
              </w:rPr>
              <w:t>-4</w:t>
            </w:r>
            <w:r>
              <w:rPr>
                <w:rFonts w:hint="eastAsia"/>
                <w:color w:val="000000" w:themeColor="text1"/>
              </w:rPr>
              <w:t>L</w:t>
            </w:r>
          </w:p>
        </w:tc>
        <w:tc>
          <w:tcPr>
            <w:tcW w:w="992" w:type="dxa"/>
            <w:vAlign w:val="center"/>
          </w:tcPr>
          <w:p>
            <w:pPr>
              <w:pStyle w:val="55"/>
              <w:rPr>
                <w:color w:val="000000" w:themeColor="text1"/>
              </w:rPr>
            </w:pPr>
            <w:r>
              <w:rPr>
                <w:color w:val="000000" w:themeColor="text1"/>
              </w:rPr>
              <w:t>≤0.0</w:t>
            </w:r>
            <w:r>
              <w:rPr>
                <w:rFonts w:hint="eastAsia"/>
                <w:color w:val="000000" w:themeColor="text1"/>
              </w:rPr>
              <w:t>05</w:t>
            </w:r>
          </w:p>
        </w:tc>
        <w:tc>
          <w:tcPr>
            <w:tcW w:w="851" w:type="dxa"/>
            <w:vAlign w:val="center"/>
          </w:tcPr>
          <w:p>
            <w:pPr>
              <w:pStyle w:val="55"/>
              <w:rPr>
                <w:color w:val="000000" w:themeColor="text1"/>
              </w:rPr>
            </w:pPr>
            <w:r>
              <w:rPr>
                <w:rFonts w:hint="eastAsia"/>
                <w:color w:val="000000" w:themeColor="text1"/>
              </w:rPr>
              <w:t>/</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color w:val="000000" w:themeColor="text1"/>
              </w:rPr>
              <w:t>铜</w:t>
            </w:r>
          </w:p>
        </w:tc>
        <w:tc>
          <w:tcPr>
            <w:tcW w:w="1276" w:type="dxa"/>
            <w:vAlign w:val="center"/>
          </w:tcPr>
          <w:p>
            <w:pPr>
              <w:pStyle w:val="55"/>
              <w:rPr>
                <w:color w:val="000000" w:themeColor="text1"/>
              </w:rPr>
            </w:pPr>
            <w:r>
              <w:rPr>
                <w:rFonts w:hint="eastAsia"/>
                <w:color w:val="000000" w:themeColor="text1"/>
              </w:rPr>
              <w:t>1.80×10</w:t>
            </w:r>
            <w:r>
              <w:rPr>
                <w:rFonts w:hint="eastAsia"/>
                <w:color w:val="000000" w:themeColor="text1"/>
                <w:vertAlign w:val="superscript"/>
              </w:rPr>
              <w:t>-3</w:t>
            </w:r>
          </w:p>
        </w:tc>
        <w:tc>
          <w:tcPr>
            <w:tcW w:w="1275" w:type="dxa"/>
            <w:vAlign w:val="center"/>
          </w:tcPr>
          <w:p>
            <w:pPr>
              <w:pStyle w:val="55"/>
              <w:rPr>
                <w:color w:val="000000" w:themeColor="text1"/>
              </w:rPr>
            </w:pPr>
            <w:r>
              <w:rPr>
                <w:rFonts w:hint="eastAsia"/>
                <w:color w:val="000000" w:themeColor="text1"/>
              </w:rPr>
              <w:t>2.00×10</w:t>
            </w:r>
            <w:r>
              <w:rPr>
                <w:rFonts w:hint="eastAsia"/>
                <w:color w:val="000000" w:themeColor="text1"/>
                <w:vertAlign w:val="superscript"/>
              </w:rPr>
              <w:t>-3</w:t>
            </w:r>
          </w:p>
        </w:tc>
        <w:tc>
          <w:tcPr>
            <w:tcW w:w="1276" w:type="dxa"/>
            <w:vAlign w:val="center"/>
          </w:tcPr>
          <w:p>
            <w:pPr>
              <w:pStyle w:val="55"/>
              <w:rPr>
                <w:color w:val="000000" w:themeColor="text1"/>
              </w:rPr>
            </w:pPr>
            <w:r>
              <w:rPr>
                <w:rFonts w:hint="eastAsia"/>
                <w:color w:val="000000" w:themeColor="text1"/>
              </w:rPr>
              <w:t>1.87×10</w:t>
            </w:r>
            <w:r>
              <w:rPr>
                <w:rFonts w:hint="eastAsia"/>
                <w:color w:val="000000" w:themeColor="text1"/>
                <w:vertAlign w:val="superscript"/>
              </w:rPr>
              <w:t>-3</w:t>
            </w:r>
          </w:p>
        </w:tc>
        <w:tc>
          <w:tcPr>
            <w:tcW w:w="992" w:type="dxa"/>
            <w:vAlign w:val="center"/>
          </w:tcPr>
          <w:p>
            <w:pPr>
              <w:pStyle w:val="55"/>
              <w:rPr>
                <w:color w:val="000000" w:themeColor="text1"/>
              </w:rPr>
            </w:pPr>
            <w:r>
              <w:rPr>
                <w:color w:val="000000" w:themeColor="text1"/>
              </w:rPr>
              <w:t>≤</w:t>
            </w:r>
            <w:r>
              <w:rPr>
                <w:rFonts w:hint="eastAsia"/>
                <w:color w:val="000000" w:themeColor="text1"/>
              </w:rPr>
              <w:t>1.0</w:t>
            </w:r>
          </w:p>
        </w:tc>
        <w:tc>
          <w:tcPr>
            <w:tcW w:w="851" w:type="dxa"/>
            <w:vAlign w:val="center"/>
          </w:tcPr>
          <w:p>
            <w:pPr>
              <w:pStyle w:val="55"/>
              <w:rPr>
                <w:color w:val="000000" w:themeColor="text1"/>
              </w:rPr>
            </w:pPr>
            <w:r>
              <w:rPr>
                <w:rFonts w:hint="eastAsia"/>
                <w:color w:val="000000" w:themeColor="text1"/>
              </w:rPr>
              <w:t>0.2</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color w:val="000000" w:themeColor="text1"/>
              </w:rPr>
              <w:t>锌</w:t>
            </w:r>
          </w:p>
        </w:tc>
        <w:tc>
          <w:tcPr>
            <w:tcW w:w="1276" w:type="dxa"/>
            <w:vAlign w:val="center"/>
          </w:tcPr>
          <w:p>
            <w:pPr>
              <w:pStyle w:val="55"/>
              <w:rPr>
                <w:color w:val="000000" w:themeColor="text1"/>
              </w:rPr>
            </w:pPr>
            <w:r>
              <w:rPr>
                <w:rFonts w:hint="eastAsia"/>
                <w:color w:val="000000" w:themeColor="text1"/>
              </w:rPr>
              <w:t>0.088</w:t>
            </w:r>
          </w:p>
        </w:tc>
        <w:tc>
          <w:tcPr>
            <w:tcW w:w="1275" w:type="dxa"/>
            <w:vAlign w:val="center"/>
          </w:tcPr>
          <w:p>
            <w:pPr>
              <w:pStyle w:val="55"/>
              <w:rPr>
                <w:color w:val="000000" w:themeColor="text1"/>
              </w:rPr>
            </w:pPr>
            <w:r>
              <w:rPr>
                <w:rFonts w:hint="eastAsia"/>
                <w:color w:val="000000" w:themeColor="text1"/>
              </w:rPr>
              <w:t>0.090</w:t>
            </w:r>
          </w:p>
        </w:tc>
        <w:tc>
          <w:tcPr>
            <w:tcW w:w="1276" w:type="dxa"/>
            <w:vAlign w:val="center"/>
          </w:tcPr>
          <w:p>
            <w:pPr>
              <w:pStyle w:val="55"/>
              <w:rPr>
                <w:color w:val="000000" w:themeColor="text1"/>
              </w:rPr>
            </w:pPr>
            <w:r>
              <w:rPr>
                <w:rFonts w:hint="eastAsia"/>
                <w:color w:val="000000" w:themeColor="text1"/>
              </w:rPr>
              <w:t>0.096</w:t>
            </w:r>
          </w:p>
        </w:tc>
        <w:tc>
          <w:tcPr>
            <w:tcW w:w="992" w:type="dxa"/>
            <w:vAlign w:val="center"/>
          </w:tcPr>
          <w:p>
            <w:pPr>
              <w:pStyle w:val="55"/>
              <w:rPr>
                <w:color w:val="000000" w:themeColor="text1"/>
              </w:rPr>
            </w:pPr>
            <w:r>
              <w:rPr>
                <w:color w:val="000000" w:themeColor="text1"/>
              </w:rPr>
              <w:t>≤</w:t>
            </w:r>
            <w:r>
              <w:rPr>
                <w:rFonts w:hint="eastAsia"/>
                <w:color w:val="000000" w:themeColor="text1"/>
              </w:rPr>
              <w:t>1.0</w:t>
            </w:r>
          </w:p>
        </w:tc>
        <w:tc>
          <w:tcPr>
            <w:tcW w:w="851" w:type="dxa"/>
            <w:vAlign w:val="center"/>
          </w:tcPr>
          <w:p>
            <w:pPr>
              <w:pStyle w:val="55"/>
              <w:rPr>
                <w:color w:val="000000" w:themeColor="text1"/>
              </w:rPr>
            </w:pPr>
            <w:r>
              <w:rPr>
                <w:color w:val="000000" w:themeColor="text1"/>
              </w:rPr>
              <w:t>9.6</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铁</w:t>
            </w:r>
          </w:p>
        </w:tc>
        <w:tc>
          <w:tcPr>
            <w:tcW w:w="1276" w:type="dxa"/>
            <w:vAlign w:val="center"/>
          </w:tcPr>
          <w:p>
            <w:pPr>
              <w:pStyle w:val="55"/>
              <w:rPr>
                <w:color w:val="000000" w:themeColor="text1"/>
              </w:rPr>
            </w:pPr>
            <w:r>
              <w:rPr>
                <w:rFonts w:hint="eastAsia"/>
                <w:color w:val="000000" w:themeColor="text1"/>
              </w:rPr>
              <w:t>0.160</w:t>
            </w:r>
          </w:p>
        </w:tc>
        <w:tc>
          <w:tcPr>
            <w:tcW w:w="1275" w:type="dxa"/>
            <w:vAlign w:val="center"/>
          </w:tcPr>
          <w:p>
            <w:pPr>
              <w:pStyle w:val="55"/>
              <w:rPr>
                <w:color w:val="000000" w:themeColor="text1"/>
              </w:rPr>
            </w:pPr>
            <w:r>
              <w:rPr>
                <w:rFonts w:hint="eastAsia"/>
                <w:color w:val="000000" w:themeColor="text1"/>
              </w:rPr>
              <w:t>0.160</w:t>
            </w:r>
          </w:p>
        </w:tc>
        <w:tc>
          <w:tcPr>
            <w:tcW w:w="1276" w:type="dxa"/>
            <w:vAlign w:val="center"/>
          </w:tcPr>
          <w:p>
            <w:pPr>
              <w:pStyle w:val="55"/>
              <w:rPr>
                <w:color w:val="000000" w:themeColor="text1"/>
              </w:rPr>
            </w:pPr>
            <w:r>
              <w:rPr>
                <w:rFonts w:hint="eastAsia"/>
                <w:color w:val="000000" w:themeColor="text1"/>
              </w:rPr>
              <w:t>0.190</w:t>
            </w:r>
          </w:p>
        </w:tc>
        <w:tc>
          <w:tcPr>
            <w:tcW w:w="992" w:type="dxa"/>
            <w:vAlign w:val="center"/>
          </w:tcPr>
          <w:p>
            <w:pPr>
              <w:pStyle w:val="55"/>
              <w:rPr>
                <w:color w:val="000000" w:themeColor="text1"/>
              </w:rPr>
            </w:pPr>
            <w:r>
              <w:rPr>
                <w:color w:val="000000" w:themeColor="text1"/>
              </w:rPr>
              <w:t>≤0.3</w:t>
            </w:r>
          </w:p>
        </w:tc>
        <w:tc>
          <w:tcPr>
            <w:tcW w:w="851" w:type="dxa"/>
            <w:vAlign w:val="center"/>
          </w:tcPr>
          <w:p>
            <w:pPr>
              <w:pStyle w:val="55"/>
              <w:rPr>
                <w:color w:val="000000" w:themeColor="text1"/>
              </w:rPr>
            </w:pPr>
            <w:r>
              <w:rPr>
                <w:color w:val="000000" w:themeColor="text1"/>
              </w:rPr>
              <w:t>63.33</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锰</w:t>
            </w:r>
          </w:p>
        </w:tc>
        <w:tc>
          <w:tcPr>
            <w:tcW w:w="1276" w:type="dxa"/>
            <w:vAlign w:val="center"/>
          </w:tcPr>
          <w:p>
            <w:pPr>
              <w:pStyle w:val="55"/>
              <w:rPr>
                <w:color w:val="000000" w:themeColor="text1"/>
              </w:rPr>
            </w:pPr>
            <w:r>
              <w:rPr>
                <w:rFonts w:hint="eastAsia"/>
                <w:color w:val="000000" w:themeColor="text1"/>
              </w:rPr>
              <w:t>0.055</w:t>
            </w:r>
          </w:p>
        </w:tc>
        <w:tc>
          <w:tcPr>
            <w:tcW w:w="1275" w:type="dxa"/>
            <w:vAlign w:val="center"/>
          </w:tcPr>
          <w:p>
            <w:pPr>
              <w:pStyle w:val="55"/>
              <w:rPr>
                <w:color w:val="000000" w:themeColor="text1"/>
              </w:rPr>
            </w:pPr>
            <w:r>
              <w:rPr>
                <w:rFonts w:hint="eastAsia"/>
                <w:color w:val="000000" w:themeColor="text1"/>
              </w:rPr>
              <w:t>0.054</w:t>
            </w:r>
          </w:p>
        </w:tc>
        <w:tc>
          <w:tcPr>
            <w:tcW w:w="1276" w:type="dxa"/>
            <w:vAlign w:val="center"/>
          </w:tcPr>
          <w:p>
            <w:pPr>
              <w:pStyle w:val="55"/>
              <w:rPr>
                <w:color w:val="000000" w:themeColor="text1"/>
              </w:rPr>
            </w:pPr>
            <w:r>
              <w:rPr>
                <w:rFonts w:hint="eastAsia"/>
                <w:color w:val="000000" w:themeColor="text1"/>
              </w:rPr>
              <w:t>0.054</w:t>
            </w:r>
          </w:p>
        </w:tc>
        <w:tc>
          <w:tcPr>
            <w:tcW w:w="992" w:type="dxa"/>
            <w:vAlign w:val="center"/>
          </w:tcPr>
          <w:p>
            <w:pPr>
              <w:pStyle w:val="55"/>
              <w:rPr>
                <w:color w:val="000000" w:themeColor="text1"/>
              </w:rPr>
            </w:pPr>
            <w:r>
              <w:rPr>
                <w:color w:val="000000" w:themeColor="text1"/>
              </w:rPr>
              <w:t>≤0.1</w:t>
            </w:r>
          </w:p>
        </w:tc>
        <w:tc>
          <w:tcPr>
            <w:tcW w:w="851" w:type="dxa"/>
            <w:vAlign w:val="center"/>
          </w:tcPr>
          <w:p>
            <w:pPr>
              <w:pStyle w:val="55"/>
              <w:rPr>
                <w:color w:val="000000" w:themeColor="text1"/>
              </w:rPr>
            </w:pPr>
            <w:r>
              <w:rPr>
                <w:color w:val="000000" w:themeColor="text1"/>
              </w:rPr>
              <w:t>55</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restart"/>
            <w:vAlign w:val="center"/>
          </w:tcPr>
          <w:p>
            <w:pPr>
              <w:pStyle w:val="55"/>
              <w:rPr>
                <w:color w:val="000000" w:themeColor="text1"/>
              </w:rPr>
            </w:pPr>
            <w:r>
              <w:rPr>
                <w:rFonts w:hint="eastAsia"/>
                <w:color w:val="000000" w:themeColor="text1"/>
              </w:rPr>
              <w:t>小龙白</w:t>
            </w:r>
          </w:p>
        </w:tc>
        <w:tc>
          <w:tcPr>
            <w:tcW w:w="1418" w:type="dxa"/>
            <w:vAlign w:val="center"/>
          </w:tcPr>
          <w:p>
            <w:pPr>
              <w:pStyle w:val="55"/>
              <w:rPr>
                <w:color w:val="000000" w:themeColor="text1"/>
              </w:rPr>
            </w:pPr>
            <w:r>
              <w:rPr>
                <w:color w:val="000000" w:themeColor="text1"/>
              </w:rPr>
              <w:t>pH</w:t>
            </w:r>
            <w:r>
              <w:rPr>
                <w:rFonts w:hint="eastAsia"/>
                <w:color w:val="000000" w:themeColor="text1"/>
              </w:rPr>
              <w:t>（无量纲）</w:t>
            </w:r>
          </w:p>
        </w:tc>
        <w:tc>
          <w:tcPr>
            <w:tcW w:w="1276" w:type="dxa"/>
            <w:vAlign w:val="center"/>
          </w:tcPr>
          <w:p>
            <w:pPr>
              <w:pStyle w:val="55"/>
              <w:rPr>
                <w:color w:val="000000" w:themeColor="text1"/>
              </w:rPr>
            </w:pPr>
            <w:r>
              <w:rPr>
                <w:rFonts w:hint="eastAsia"/>
                <w:color w:val="000000" w:themeColor="text1"/>
              </w:rPr>
              <w:t>7.79</w:t>
            </w:r>
          </w:p>
        </w:tc>
        <w:tc>
          <w:tcPr>
            <w:tcW w:w="1275" w:type="dxa"/>
            <w:vAlign w:val="center"/>
          </w:tcPr>
          <w:p>
            <w:pPr>
              <w:pStyle w:val="55"/>
              <w:rPr>
                <w:color w:val="000000" w:themeColor="text1"/>
              </w:rPr>
            </w:pPr>
            <w:r>
              <w:rPr>
                <w:rFonts w:hint="eastAsia"/>
                <w:color w:val="000000" w:themeColor="text1"/>
              </w:rPr>
              <w:t>7.75</w:t>
            </w:r>
          </w:p>
        </w:tc>
        <w:tc>
          <w:tcPr>
            <w:tcW w:w="1276" w:type="dxa"/>
            <w:vAlign w:val="center"/>
          </w:tcPr>
          <w:p>
            <w:pPr>
              <w:pStyle w:val="55"/>
              <w:rPr>
                <w:color w:val="000000" w:themeColor="text1"/>
              </w:rPr>
            </w:pPr>
            <w:r>
              <w:rPr>
                <w:rFonts w:hint="eastAsia"/>
                <w:color w:val="000000" w:themeColor="text1"/>
              </w:rPr>
              <w:t>7.77</w:t>
            </w:r>
          </w:p>
        </w:tc>
        <w:tc>
          <w:tcPr>
            <w:tcW w:w="992" w:type="dxa"/>
            <w:vAlign w:val="center"/>
          </w:tcPr>
          <w:p>
            <w:pPr>
              <w:pStyle w:val="55"/>
              <w:rPr>
                <w:color w:val="000000" w:themeColor="text1"/>
              </w:rPr>
            </w:pPr>
            <w:r>
              <w:rPr>
                <w:color w:val="000000" w:themeColor="text1"/>
              </w:rPr>
              <w:t>6.5</w:t>
            </w:r>
            <w:r>
              <w:rPr>
                <w:rFonts w:hint="eastAsia"/>
                <w:color w:val="000000" w:themeColor="text1"/>
              </w:rPr>
              <w:t>～</w:t>
            </w:r>
            <w:r>
              <w:rPr>
                <w:color w:val="000000" w:themeColor="text1"/>
              </w:rPr>
              <w:t>8.5</w:t>
            </w:r>
          </w:p>
        </w:tc>
        <w:tc>
          <w:tcPr>
            <w:tcW w:w="851" w:type="dxa"/>
            <w:vAlign w:val="center"/>
          </w:tcPr>
          <w:p>
            <w:pPr>
              <w:pStyle w:val="55"/>
              <w:rPr>
                <w:color w:val="000000" w:themeColor="text1"/>
              </w:rPr>
            </w:pPr>
            <w:r>
              <w:rPr>
                <w:rFonts w:hint="eastAsia"/>
                <w:color w:val="000000" w:themeColor="text1"/>
              </w:rPr>
              <w:t>/</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耗氧量</w:t>
            </w:r>
          </w:p>
        </w:tc>
        <w:tc>
          <w:tcPr>
            <w:tcW w:w="1276" w:type="dxa"/>
            <w:vAlign w:val="center"/>
          </w:tcPr>
          <w:p>
            <w:pPr>
              <w:pStyle w:val="55"/>
              <w:rPr>
                <w:color w:val="000000" w:themeColor="text1"/>
              </w:rPr>
            </w:pPr>
            <w:r>
              <w:rPr>
                <w:rFonts w:hint="eastAsia"/>
                <w:color w:val="000000" w:themeColor="text1"/>
              </w:rPr>
              <w:t>0.6</w:t>
            </w:r>
          </w:p>
        </w:tc>
        <w:tc>
          <w:tcPr>
            <w:tcW w:w="1275" w:type="dxa"/>
            <w:vAlign w:val="center"/>
          </w:tcPr>
          <w:p>
            <w:pPr>
              <w:pStyle w:val="55"/>
              <w:rPr>
                <w:color w:val="000000" w:themeColor="text1"/>
              </w:rPr>
            </w:pPr>
            <w:r>
              <w:rPr>
                <w:rFonts w:hint="eastAsia"/>
                <w:color w:val="000000" w:themeColor="text1"/>
              </w:rPr>
              <w:t>0.5</w:t>
            </w:r>
          </w:p>
        </w:tc>
        <w:tc>
          <w:tcPr>
            <w:tcW w:w="1276" w:type="dxa"/>
            <w:vAlign w:val="center"/>
          </w:tcPr>
          <w:p>
            <w:pPr>
              <w:pStyle w:val="55"/>
              <w:rPr>
                <w:color w:val="000000" w:themeColor="text1"/>
              </w:rPr>
            </w:pPr>
            <w:r>
              <w:rPr>
                <w:rFonts w:hint="eastAsia"/>
                <w:color w:val="000000" w:themeColor="text1"/>
              </w:rPr>
              <w:t>1.2</w:t>
            </w:r>
          </w:p>
        </w:tc>
        <w:tc>
          <w:tcPr>
            <w:tcW w:w="992" w:type="dxa"/>
            <w:vAlign w:val="center"/>
          </w:tcPr>
          <w:p>
            <w:pPr>
              <w:pStyle w:val="55"/>
              <w:rPr>
                <w:color w:val="000000" w:themeColor="text1"/>
              </w:rPr>
            </w:pPr>
            <w:r>
              <w:rPr>
                <w:color w:val="000000" w:themeColor="text1"/>
              </w:rPr>
              <w:t>≤3.0</w:t>
            </w:r>
          </w:p>
        </w:tc>
        <w:tc>
          <w:tcPr>
            <w:tcW w:w="851" w:type="dxa"/>
            <w:vAlign w:val="center"/>
          </w:tcPr>
          <w:p>
            <w:pPr>
              <w:pStyle w:val="55"/>
              <w:rPr>
                <w:color w:val="000000" w:themeColor="text1"/>
              </w:rPr>
            </w:pPr>
            <w:r>
              <w:rPr>
                <w:color w:val="000000" w:themeColor="text1"/>
              </w:rPr>
              <w:t>20</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化学需氧量</w:t>
            </w:r>
          </w:p>
        </w:tc>
        <w:tc>
          <w:tcPr>
            <w:tcW w:w="1276" w:type="dxa"/>
            <w:vAlign w:val="center"/>
          </w:tcPr>
          <w:p>
            <w:pPr>
              <w:pStyle w:val="55"/>
              <w:rPr>
                <w:color w:val="000000" w:themeColor="text1"/>
              </w:rPr>
            </w:pPr>
            <w:r>
              <w:rPr>
                <w:rFonts w:hint="eastAsia"/>
                <w:color w:val="000000" w:themeColor="text1"/>
              </w:rPr>
              <w:t>6</w:t>
            </w:r>
          </w:p>
        </w:tc>
        <w:tc>
          <w:tcPr>
            <w:tcW w:w="1275" w:type="dxa"/>
            <w:vAlign w:val="center"/>
          </w:tcPr>
          <w:p>
            <w:pPr>
              <w:pStyle w:val="55"/>
              <w:rPr>
                <w:color w:val="000000" w:themeColor="text1"/>
              </w:rPr>
            </w:pPr>
            <w:r>
              <w:rPr>
                <w:rFonts w:hint="eastAsia"/>
                <w:color w:val="000000" w:themeColor="text1"/>
              </w:rPr>
              <w:t>6</w:t>
            </w:r>
          </w:p>
        </w:tc>
        <w:tc>
          <w:tcPr>
            <w:tcW w:w="1276" w:type="dxa"/>
            <w:vAlign w:val="center"/>
          </w:tcPr>
          <w:p>
            <w:pPr>
              <w:pStyle w:val="55"/>
              <w:rPr>
                <w:color w:val="000000" w:themeColor="text1"/>
              </w:rPr>
            </w:pPr>
            <w:r>
              <w:rPr>
                <w:rFonts w:hint="eastAsia"/>
                <w:color w:val="000000" w:themeColor="text1"/>
              </w:rPr>
              <w:t>6</w:t>
            </w:r>
          </w:p>
        </w:tc>
        <w:tc>
          <w:tcPr>
            <w:tcW w:w="992" w:type="dxa"/>
            <w:vAlign w:val="center"/>
          </w:tcPr>
          <w:p>
            <w:pPr>
              <w:pStyle w:val="55"/>
              <w:rPr>
                <w:color w:val="000000" w:themeColor="text1"/>
              </w:rPr>
            </w:pPr>
            <w:r>
              <w:rPr>
                <w:rFonts w:hint="eastAsia"/>
                <w:color w:val="000000" w:themeColor="text1"/>
              </w:rPr>
              <w:t>/</w:t>
            </w:r>
          </w:p>
        </w:tc>
        <w:tc>
          <w:tcPr>
            <w:tcW w:w="851" w:type="dxa"/>
            <w:vAlign w:val="center"/>
          </w:tcPr>
          <w:p>
            <w:pPr>
              <w:pStyle w:val="55"/>
              <w:rPr>
                <w:color w:val="000000" w:themeColor="text1"/>
              </w:rPr>
            </w:pPr>
            <w:r>
              <w:rPr>
                <w:rFonts w:hint="eastAsia"/>
                <w:color w:val="000000" w:themeColor="text1"/>
              </w:rPr>
              <w:t>/</w:t>
            </w:r>
          </w:p>
        </w:tc>
        <w:tc>
          <w:tcPr>
            <w:tcW w:w="709" w:type="dxa"/>
            <w:vAlign w:val="center"/>
          </w:tcPr>
          <w:p>
            <w:pPr>
              <w:pStyle w:val="55"/>
              <w:rPr>
                <w:color w:val="000000" w:themeColor="text1"/>
              </w:rPr>
            </w:pPr>
            <w:r>
              <w:rPr>
                <w:rFonts w:hint="eastAsia"/>
                <w:color w:val="000000" w:themeColor="text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总硬度</w:t>
            </w:r>
          </w:p>
        </w:tc>
        <w:tc>
          <w:tcPr>
            <w:tcW w:w="1276" w:type="dxa"/>
            <w:vAlign w:val="center"/>
          </w:tcPr>
          <w:p>
            <w:pPr>
              <w:pStyle w:val="55"/>
              <w:rPr>
                <w:color w:val="000000" w:themeColor="text1"/>
              </w:rPr>
            </w:pPr>
            <w:r>
              <w:rPr>
                <w:rFonts w:hint="eastAsia"/>
                <w:color w:val="000000" w:themeColor="text1"/>
              </w:rPr>
              <w:t>310</w:t>
            </w:r>
          </w:p>
        </w:tc>
        <w:tc>
          <w:tcPr>
            <w:tcW w:w="1275" w:type="dxa"/>
            <w:vAlign w:val="center"/>
          </w:tcPr>
          <w:p>
            <w:pPr>
              <w:pStyle w:val="55"/>
              <w:rPr>
                <w:color w:val="000000" w:themeColor="text1"/>
              </w:rPr>
            </w:pPr>
            <w:r>
              <w:rPr>
                <w:rFonts w:hint="eastAsia"/>
                <w:color w:val="000000" w:themeColor="text1"/>
              </w:rPr>
              <w:t>350</w:t>
            </w:r>
          </w:p>
        </w:tc>
        <w:tc>
          <w:tcPr>
            <w:tcW w:w="1276" w:type="dxa"/>
            <w:vAlign w:val="center"/>
          </w:tcPr>
          <w:p>
            <w:pPr>
              <w:pStyle w:val="55"/>
              <w:rPr>
                <w:color w:val="000000" w:themeColor="text1"/>
              </w:rPr>
            </w:pPr>
            <w:r>
              <w:rPr>
                <w:rFonts w:hint="eastAsia"/>
                <w:color w:val="000000" w:themeColor="text1"/>
              </w:rPr>
              <w:t>290</w:t>
            </w:r>
          </w:p>
        </w:tc>
        <w:tc>
          <w:tcPr>
            <w:tcW w:w="992" w:type="dxa"/>
            <w:vAlign w:val="center"/>
          </w:tcPr>
          <w:p>
            <w:pPr>
              <w:pStyle w:val="55"/>
              <w:rPr>
                <w:color w:val="000000" w:themeColor="text1"/>
              </w:rPr>
            </w:pPr>
            <w:r>
              <w:rPr>
                <w:color w:val="000000" w:themeColor="text1"/>
              </w:rPr>
              <w:t>≤450</w:t>
            </w:r>
          </w:p>
        </w:tc>
        <w:tc>
          <w:tcPr>
            <w:tcW w:w="851" w:type="dxa"/>
            <w:vAlign w:val="center"/>
          </w:tcPr>
          <w:p>
            <w:pPr>
              <w:pStyle w:val="55"/>
              <w:rPr>
                <w:color w:val="000000" w:themeColor="text1"/>
              </w:rPr>
            </w:pPr>
            <w:r>
              <w:rPr>
                <w:color w:val="000000" w:themeColor="text1"/>
              </w:rPr>
              <w:t>77.78</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挥发性酚类</w:t>
            </w:r>
          </w:p>
        </w:tc>
        <w:tc>
          <w:tcPr>
            <w:tcW w:w="1276" w:type="dxa"/>
            <w:vAlign w:val="center"/>
          </w:tcPr>
          <w:p>
            <w:pPr>
              <w:pStyle w:val="55"/>
              <w:rPr>
                <w:color w:val="000000" w:themeColor="text1"/>
              </w:rPr>
            </w:pPr>
            <w:r>
              <w:rPr>
                <w:rFonts w:hint="eastAsia"/>
                <w:color w:val="000000" w:themeColor="text1"/>
              </w:rPr>
              <w:t>0.0003L</w:t>
            </w:r>
          </w:p>
        </w:tc>
        <w:tc>
          <w:tcPr>
            <w:tcW w:w="1275" w:type="dxa"/>
            <w:vAlign w:val="center"/>
          </w:tcPr>
          <w:p>
            <w:pPr>
              <w:pStyle w:val="55"/>
              <w:rPr>
                <w:color w:val="000000" w:themeColor="text1"/>
              </w:rPr>
            </w:pPr>
            <w:r>
              <w:rPr>
                <w:rFonts w:hint="eastAsia"/>
                <w:color w:val="000000" w:themeColor="text1"/>
              </w:rPr>
              <w:t>0.0003L</w:t>
            </w:r>
          </w:p>
        </w:tc>
        <w:tc>
          <w:tcPr>
            <w:tcW w:w="1276" w:type="dxa"/>
            <w:vAlign w:val="center"/>
          </w:tcPr>
          <w:p>
            <w:pPr>
              <w:pStyle w:val="55"/>
              <w:rPr>
                <w:color w:val="000000" w:themeColor="text1"/>
              </w:rPr>
            </w:pPr>
            <w:r>
              <w:rPr>
                <w:rFonts w:hint="eastAsia"/>
                <w:color w:val="000000" w:themeColor="text1"/>
              </w:rPr>
              <w:t>0.0003L</w:t>
            </w:r>
          </w:p>
        </w:tc>
        <w:tc>
          <w:tcPr>
            <w:tcW w:w="992" w:type="dxa"/>
            <w:vAlign w:val="center"/>
          </w:tcPr>
          <w:p>
            <w:pPr>
              <w:pStyle w:val="55"/>
              <w:rPr>
                <w:color w:val="000000" w:themeColor="text1"/>
              </w:rPr>
            </w:pPr>
            <w:r>
              <w:rPr>
                <w:color w:val="000000" w:themeColor="text1"/>
              </w:rPr>
              <w:t>≤0.002</w:t>
            </w:r>
          </w:p>
        </w:tc>
        <w:tc>
          <w:tcPr>
            <w:tcW w:w="851" w:type="dxa"/>
            <w:vAlign w:val="center"/>
          </w:tcPr>
          <w:p>
            <w:pPr>
              <w:pStyle w:val="55"/>
              <w:rPr>
                <w:color w:val="000000" w:themeColor="text1"/>
              </w:rPr>
            </w:pPr>
            <w:r>
              <w:rPr>
                <w:rFonts w:hint="eastAsia"/>
                <w:color w:val="000000" w:themeColor="text1"/>
              </w:rPr>
              <w:t>/</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硝酸盐</w:t>
            </w:r>
          </w:p>
        </w:tc>
        <w:tc>
          <w:tcPr>
            <w:tcW w:w="1276" w:type="dxa"/>
            <w:vAlign w:val="center"/>
          </w:tcPr>
          <w:p>
            <w:pPr>
              <w:pStyle w:val="55"/>
              <w:rPr>
                <w:color w:val="000000" w:themeColor="text1"/>
              </w:rPr>
            </w:pPr>
            <w:r>
              <w:rPr>
                <w:rFonts w:hint="eastAsia"/>
                <w:color w:val="000000" w:themeColor="text1"/>
              </w:rPr>
              <w:t>1.16</w:t>
            </w:r>
          </w:p>
        </w:tc>
        <w:tc>
          <w:tcPr>
            <w:tcW w:w="1275" w:type="dxa"/>
            <w:vAlign w:val="center"/>
          </w:tcPr>
          <w:p>
            <w:pPr>
              <w:pStyle w:val="55"/>
              <w:rPr>
                <w:color w:val="000000" w:themeColor="text1"/>
              </w:rPr>
            </w:pPr>
            <w:r>
              <w:rPr>
                <w:rFonts w:hint="eastAsia"/>
                <w:color w:val="000000" w:themeColor="text1"/>
              </w:rPr>
              <w:t>0.410</w:t>
            </w:r>
          </w:p>
        </w:tc>
        <w:tc>
          <w:tcPr>
            <w:tcW w:w="1276" w:type="dxa"/>
            <w:vAlign w:val="center"/>
          </w:tcPr>
          <w:p>
            <w:pPr>
              <w:pStyle w:val="55"/>
              <w:rPr>
                <w:color w:val="000000" w:themeColor="text1"/>
              </w:rPr>
            </w:pPr>
            <w:r>
              <w:rPr>
                <w:rFonts w:hint="eastAsia"/>
                <w:color w:val="000000" w:themeColor="text1"/>
              </w:rPr>
              <w:t>0.768</w:t>
            </w:r>
          </w:p>
        </w:tc>
        <w:tc>
          <w:tcPr>
            <w:tcW w:w="992" w:type="dxa"/>
            <w:vAlign w:val="center"/>
          </w:tcPr>
          <w:p>
            <w:pPr>
              <w:pStyle w:val="55"/>
              <w:rPr>
                <w:color w:val="000000" w:themeColor="text1"/>
              </w:rPr>
            </w:pPr>
            <w:r>
              <w:rPr>
                <w:color w:val="000000" w:themeColor="text1"/>
              </w:rPr>
              <w:t>≤20</w:t>
            </w:r>
            <w:r>
              <w:rPr>
                <w:rFonts w:hint="eastAsia"/>
                <w:color w:val="000000" w:themeColor="text1"/>
              </w:rPr>
              <w:t>.0</w:t>
            </w:r>
          </w:p>
        </w:tc>
        <w:tc>
          <w:tcPr>
            <w:tcW w:w="851" w:type="dxa"/>
            <w:vAlign w:val="center"/>
          </w:tcPr>
          <w:p>
            <w:pPr>
              <w:pStyle w:val="55"/>
              <w:rPr>
                <w:color w:val="000000" w:themeColor="text1"/>
              </w:rPr>
            </w:pPr>
            <w:r>
              <w:rPr>
                <w:color w:val="000000" w:themeColor="text1"/>
              </w:rPr>
              <w:t>5.8</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亚硝酸盐</w:t>
            </w:r>
          </w:p>
        </w:tc>
        <w:tc>
          <w:tcPr>
            <w:tcW w:w="1276" w:type="dxa"/>
            <w:vAlign w:val="center"/>
          </w:tcPr>
          <w:p>
            <w:pPr>
              <w:pStyle w:val="55"/>
              <w:rPr>
                <w:color w:val="000000" w:themeColor="text1"/>
              </w:rPr>
            </w:pPr>
            <w:r>
              <w:rPr>
                <w:rFonts w:hint="eastAsia"/>
                <w:color w:val="000000" w:themeColor="text1"/>
              </w:rPr>
              <w:t>0.147</w:t>
            </w:r>
          </w:p>
        </w:tc>
        <w:tc>
          <w:tcPr>
            <w:tcW w:w="1275" w:type="dxa"/>
            <w:vAlign w:val="center"/>
          </w:tcPr>
          <w:p>
            <w:pPr>
              <w:pStyle w:val="55"/>
              <w:rPr>
                <w:color w:val="000000" w:themeColor="text1"/>
              </w:rPr>
            </w:pPr>
            <w:r>
              <w:rPr>
                <w:rFonts w:hint="eastAsia"/>
                <w:color w:val="000000" w:themeColor="text1"/>
              </w:rPr>
              <w:t>0.064</w:t>
            </w:r>
          </w:p>
        </w:tc>
        <w:tc>
          <w:tcPr>
            <w:tcW w:w="1276" w:type="dxa"/>
            <w:vAlign w:val="center"/>
          </w:tcPr>
          <w:p>
            <w:pPr>
              <w:pStyle w:val="55"/>
              <w:rPr>
                <w:color w:val="000000" w:themeColor="text1"/>
              </w:rPr>
            </w:pPr>
            <w:r>
              <w:rPr>
                <w:rFonts w:hint="eastAsia"/>
                <w:color w:val="000000" w:themeColor="text1"/>
              </w:rPr>
              <w:t>0.171</w:t>
            </w:r>
          </w:p>
        </w:tc>
        <w:tc>
          <w:tcPr>
            <w:tcW w:w="992" w:type="dxa"/>
            <w:vAlign w:val="center"/>
          </w:tcPr>
          <w:p>
            <w:pPr>
              <w:pStyle w:val="55"/>
              <w:rPr>
                <w:color w:val="000000" w:themeColor="text1"/>
              </w:rPr>
            </w:pPr>
            <w:r>
              <w:rPr>
                <w:color w:val="000000" w:themeColor="text1"/>
              </w:rPr>
              <w:t>≤1.0</w:t>
            </w:r>
          </w:p>
        </w:tc>
        <w:tc>
          <w:tcPr>
            <w:tcW w:w="851" w:type="dxa"/>
            <w:vAlign w:val="center"/>
          </w:tcPr>
          <w:p>
            <w:pPr>
              <w:pStyle w:val="55"/>
              <w:rPr>
                <w:color w:val="000000" w:themeColor="text1"/>
              </w:rPr>
            </w:pPr>
            <w:r>
              <w:rPr>
                <w:color w:val="000000" w:themeColor="text1"/>
              </w:rPr>
              <w:t>17.1</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细菌总数</w:t>
            </w:r>
          </w:p>
        </w:tc>
        <w:tc>
          <w:tcPr>
            <w:tcW w:w="1276" w:type="dxa"/>
            <w:vAlign w:val="center"/>
          </w:tcPr>
          <w:p>
            <w:pPr>
              <w:pStyle w:val="55"/>
              <w:rPr>
                <w:color w:val="000000" w:themeColor="text1"/>
              </w:rPr>
            </w:pPr>
            <w:r>
              <w:rPr>
                <w:rFonts w:hint="eastAsia"/>
                <w:color w:val="000000" w:themeColor="text1"/>
              </w:rPr>
              <w:t>60</w:t>
            </w:r>
          </w:p>
        </w:tc>
        <w:tc>
          <w:tcPr>
            <w:tcW w:w="1275" w:type="dxa"/>
            <w:vAlign w:val="center"/>
          </w:tcPr>
          <w:p>
            <w:pPr>
              <w:pStyle w:val="55"/>
              <w:rPr>
                <w:color w:val="000000" w:themeColor="text1"/>
              </w:rPr>
            </w:pPr>
            <w:r>
              <w:rPr>
                <w:rFonts w:hint="eastAsia"/>
                <w:color w:val="000000" w:themeColor="text1"/>
              </w:rPr>
              <w:t>60</w:t>
            </w:r>
          </w:p>
        </w:tc>
        <w:tc>
          <w:tcPr>
            <w:tcW w:w="1276" w:type="dxa"/>
            <w:vAlign w:val="center"/>
          </w:tcPr>
          <w:p>
            <w:pPr>
              <w:pStyle w:val="55"/>
              <w:rPr>
                <w:color w:val="000000" w:themeColor="text1"/>
              </w:rPr>
            </w:pPr>
            <w:r>
              <w:rPr>
                <w:rFonts w:hint="eastAsia"/>
                <w:color w:val="000000" w:themeColor="text1"/>
              </w:rPr>
              <w:t>60</w:t>
            </w:r>
          </w:p>
        </w:tc>
        <w:tc>
          <w:tcPr>
            <w:tcW w:w="992" w:type="dxa"/>
            <w:vAlign w:val="center"/>
          </w:tcPr>
          <w:p>
            <w:pPr>
              <w:pStyle w:val="55"/>
              <w:rPr>
                <w:color w:val="000000" w:themeColor="text1"/>
              </w:rPr>
            </w:pPr>
            <w:r>
              <w:rPr>
                <w:color w:val="000000" w:themeColor="text1"/>
              </w:rPr>
              <w:t>≤100</w:t>
            </w:r>
          </w:p>
        </w:tc>
        <w:tc>
          <w:tcPr>
            <w:tcW w:w="851" w:type="dxa"/>
            <w:vAlign w:val="center"/>
          </w:tcPr>
          <w:p>
            <w:pPr>
              <w:pStyle w:val="55"/>
              <w:rPr>
                <w:color w:val="000000" w:themeColor="text1"/>
              </w:rPr>
            </w:pPr>
            <w:r>
              <w:rPr>
                <w:color w:val="000000" w:themeColor="text1"/>
              </w:rPr>
              <w:t>60</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总大肠菌群</w:t>
            </w:r>
          </w:p>
        </w:tc>
        <w:tc>
          <w:tcPr>
            <w:tcW w:w="1276" w:type="dxa"/>
            <w:vAlign w:val="center"/>
          </w:tcPr>
          <w:p>
            <w:pPr>
              <w:pStyle w:val="55"/>
              <w:rPr>
                <w:color w:val="000000" w:themeColor="text1"/>
              </w:rPr>
            </w:pPr>
            <w:r>
              <w:rPr>
                <w:rFonts w:hint="eastAsia"/>
                <w:color w:val="000000" w:themeColor="text1"/>
              </w:rPr>
              <w:t>2</w:t>
            </w:r>
          </w:p>
        </w:tc>
        <w:tc>
          <w:tcPr>
            <w:tcW w:w="1275" w:type="dxa"/>
            <w:vAlign w:val="center"/>
          </w:tcPr>
          <w:p>
            <w:pPr>
              <w:pStyle w:val="55"/>
              <w:rPr>
                <w:color w:val="000000" w:themeColor="text1"/>
              </w:rPr>
            </w:pPr>
            <w:r>
              <w:rPr>
                <w:rFonts w:hint="eastAsia"/>
                <w:color w:val="000000" w:themeColor="text1"/>
              </w:rPr>
              <w:t>2</w:t>
            </w:r>
          </w:p>
        </w:tc>
        <w:tc>
          <w:tcPr>
            <w:tcW w:w="1276" w:type="dxa"/>
            <w:vAlign w:val="center"/>
          </w:tcPr>
          <w:p>
            <w:pPr>
              <w:pStyle w:val="55"/>
              <w:rPr>
                <w:color w:val="000000" w:themeColor="text1"/>
              </w:rPr>
            </w:pPr>
            <w:r>
              <w:rPr>
                <w:rFonts w:hint="eastAsia"/>
                <w:color w:val="000000" w:themeColor="text1"/>
              </w:rPr>
              <w:t>2</w:t>
            </w:r>
          </w:p>
        </w:tc>
        <w:tc>
          <w:tcPr>
            <w:tcW w:w="992" w:type="dxa"/>
            <w:vAlign w:val="center"/>
          </w:tcPr>
          <w:p>
            <w:pPr>
              <w:pStyle w:val="55"/>
              <w:rPr>
                <w:color w:val="000000" w:themeColor="text1"/>
              </w:rPr>
            </w:pPr>
            <w:r>
              <w:rPr>
                <w:color w:val="000000" w:themeColor="text1"/>
              </w:rPr>
              <w:t>≤3.0</w:t>
            </w:r>
          </w:p>
        </w:tc>
        <w:tc>
          <w:tcPr>
            <w:tcW w:w="851" w:type="dxa"/>
            <w:vAlign w:val="center"/>
          </w:tcPr>
          <w:p>
            <w:pPr>
              <w:pStyle w:val="55"/>
              <w:rPr>
                <w:color w:val="000000" w:themeColor="text1"/>
              </w:rPr>
            </w:pPr>
            <w:r>
              <w:rPr>
                <w:color w:val="000000" w:themeColor="text1"/>
              </w:rPr>
              <w:t>66.67</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氯化物</w:t>
            </w:r>
          </w:p>
        </w:tc>
        <w:tc>
          <w:tcPr>
            <w:tcW w:w="1276" w:type="dxa"/>
            <w:vAlign w:val="center"/>
          </w:tcPr>
          <w:p>
            <w:pPr>
              <w:pStyle w:val="55"/>
              <w:rPr>
                <w:color w:val="000000" w:themeColor="text1"/>
              </w:rPr>
            </w:pPr>
            <w:r>
              <w:rPr>
                <w:rFonts w:hint="eastAsia"/>
                <w:color w:val="000000" w:themeColor="text1"/>
              </w:rPr>
              <w:t>30.7</w:t>
            </w:r>
          </w:p>
        </w:tc>
        <w:tc>
          <w:tcPr>
            <w:tcW w:w="1275" w:type="dxa"/>
            <w:vAlign w:val="center"/>
          </w:tcPr>
          <w:p>
            <w:pPr>
              <w:pStyle w:val="55"/>
              <w:rPr>
                <w:color w:val="000000" w:themeColor="text1"/>
              </w:rPr>
            </w:pPr>
            <w:r>
              <w:rPr>
                <w:rFonts w:hint="eastAsia"/>
                <w:color w:val="000000" w:themeColor="text1"/>
              </w:rPr>
              <w:t>31.2</w:t>
            </w:r>
          </w:p>
        </w:tc>
        <w:tc>
          <w:tcPr>
            <w:tcW w:w="1276" w:type="dxa"/>
            <w:vAlign w:val="center"/>
          </w:tcPr>
          <w:p>
            <w:pPr>
              <w:pStyle w:val="55"/>
              <w:rPr>
                <w:color w:val="000000" w:themeColor="text1"/>
              </w:rPr>
            </w:pPr>
            <w:r>
              <w:rPr>
                <w:rFonts w:hint="eastAsia"/>
                <w:color w:val="000000" w:themeColor="text1"/>
              </w:rPr>
              <w:t>30.8</w:t>
            </w:r>
          </w:p>
        </w:tc>
        <w:tc>
          <w:tcPr>
            <w:tcW w:w="992" w:type="dxa"/>
            <w:vAlign w:val="center"/>
          </w:tcPr>
          <w:p>
            <w:pPr>
              <w:pStyle w:val="55"/>
              <w:rPr>
                <w:color w:val="000000" w:themeColor="text1"/>
              </w:rPr>
            </w:pPr>
            <w:r>
              <w:rPr>
                <w:color w:val="000000" w:themeColor="text1"/>
              </w:rPr>
              <w:t>≤250</w:t>
            </w:r>
          </w:p>
        </w:tc>
        <w:tc>
          <w:tcPr>
            <w:tcW w:w="851" w:type="dxa"/>
            <w:vAlign w:val="center"/>
          </w:tcPr>
          <w:p>
            <w:pPr>
              <w:pStyle w:val="55"/>
              <w:rPr>
                <w:color w:val="000000" w:themeColor="text1"/>
              </w:rPr>
            </w:pPr>
            <w:r>
              <w:rPr>
                <w:color w:val="000000" w:themeColor="text1"/>
              </w:rPr>
              <w:t>12.48</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硫酸盐</w:t>
            </w:r>
          </w:p>
        </w:tc>
        <w:tc>
          <w:tcPr>
            <w:tcW w:w="1276" w:type="dxa"/>
            <w:vAlign w:val="center"/>
          </w:tcPr>
          <w:p>
            <w:pPr>
              <w:pStyle w:val="55"/>
              <w:rPr>
                <w:color w:val="000000" w:themeColor="text1"/>
              </w:rPr>
            </w:pPr>
            <w:r>
              <w:rPr>
                <w:rFonts w:hint="eastAsia"/>
                <w:color w:val="000000" w:themeColor="text1"/>
              </w:rPr>
              <w:t>7.12</w:t>
            </w:r>
          </w:p>
        </w:tc>
        <w:tc>
          <w:tcPr>
            <w:tcW w:w="1275" w:type="dxa"/>
            <w:vAlign w:val="center"/>
          </w:tcPr>
          <w:p>
            <w:pPr>
              <w:pStyle w:val="55"/>
              <w:rPr>
                <w:color w:val="000000" w:themeColor="text1"/>
              </w:rPr>
            </w:pPr>
            <w:r>
              <w:rPr>
                <w:rFonts w:hint="eastAsia"/>
                <w:color w:val="000000" w:themeColor="text1"/>
              </w:rPr>
              <w:t>7.16</w:t>
            </w:r>
          </w:p>
        </w:tc>
        <w:tc>
          <w:tcPr>
            <w:tcW w:w="1276" w:type="dxa"/>
            <w:vAlign w:val="center"/>
          </w:tcPr>
          <w:p>
            <w:pPr>
              <w:pStyle w:val="55"/>
              <w:rPr>
                <w:color w:val="000000" w:themeColor="text1"/>
              </w:rPr>
            </w:pPr>
            <w:r>
              <w:rPr>
                <w:rFonts w:hint="eastAsia"/>
                <w:color w:val="000000" w:themeColor="text1"/>
              </w:rPr>
              <w:t>7.15</w:t>
            </w:r>
          </w:p>
        </w:tc>
        <w:tc>
          <w:tcPr>
            <w:tcW w:w="992" w:type="dxa"/>
            <w:vAlign w:val="center"/>
          </w:tcPr>
          <w:p>
            <w:pPr>
              <w:pStyle w:val="55"/>
              <w:rPr>
                <w:color w:val="000000" w:themeColor="text1"/>
              </w:rPr>
            </w:pPr>
            <w:r>
              <w:rPr>
                <w:color w:val="000000" w:themeColor="text1"/>
              </w:rPr>
              <w:t>≤250</w:t>
            </w:r>
          </w:p>
        </w:tc>
        <w:tc>
          <w:tcPr>
            <w:tcW w:w="851" w:type="dxa"/>
            <w:vAlign w:val="center"/>
          </w:tcPr>
          <w:p>
            <w:pPr>
              <w:pStyle w:val="55"/>
              <w:rPr>
                <w:color w:val="000000" w:themeColor="text1"/>
              </w:rPr>
            </w:pPr>
            <w:r>
              <w:rPr>
                <w:color w:val="000000" w:themeColor="text1"/>
              </w:rPr>
              <w:t>2.86</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氨氮</w:t>
            </w:r>
          </w:p>
        </w:tc>
        <w:tc>
          <w:tcPr>
            <w:tcW w:w="1276" w:type="dxa"/>
            <w:vAlign w:val="center"/>
          </w:tcPr>
          <w:p>
            <w:pPr>
              <w:pStyle w:val="55"/>
              <w:rPr>
                <w:color w:val="000000" w:themeColor="text1"/>
              </w:rPr>
            </w:pPr>
            <w:r>
              <w:rPr>
                <w:rFonts w:hint="eastAsia"/>
                <w:color w:val="000000" w:themeColor="text1"/>
              </w:rPr>
              <w:t>0.046</w:t>
            </w:r>
          </w:p>
        </w:tc>
        <w:tc>
          <w:tcPr>
            <w:tcW w:w="1275" w:type="dxa"/>
            <w:vAlign w:val="center"/>
          </w:tcPr>
          <w:p>
            <w:pPr>
              <w:pStyle w:val="55"/>
              <w:rPr>
                <w:color w:val="000000" w:themeColor="text1"/>
              </w:rPr>
            </w:pPr>
            <w:r>
              <w:rPr>
                <w:rFonts w:hint="eastAsia"/>
                <w:color w:val="000000" w:themeColor="text1"/>
              </w:rPr>
              <w:t>0.040</w:t>
            </w:r>
          </w:p>
        </w:tc>
        <w:tc>
          <w:tcPr>
            <w:tcW w:w="1276" w:type="dxa"/>
            <w:vAlign w:val="center"/>
          </w:tcPr>
          <w:p>
            <w:pPr>
              <w:pStyle w:val="55"/>
              <w:rPr>
                <w:color w:val="000000" w:themeColor="text1"/>
              </w:rPr>
            </w:pPr>
            <w:r>
              <w:rPr>
                <w:rFonts w:hint="eastAsia"/>
                <w:color w:val="000000" w:themeColor="text1"/>
              </w:rPr>
              <w:t>0.049</w:t>
            </w:r>
          </w:p>
        </w:tc>
        <w:tc>
          <w:tcPr>
            <w:tcW w:w="992" w:type="dxa"/>
            <w:vAlign w:val="center"/>
          </w:tcPr>
          <w:p>
            <w:pPr>
              <w:pStyle w:val="55"/>
              <w:rPr>
                <w:color w:val="000000" w:themeColor="text1"/>
              </w:rPr>
            </w:pPr>
            <w:r>
              <w:rPr>
                <w:color w:val="000000" w:themeColor="text1"/>
              </w:rPr>
              <w:t>≤0.5</w:t>
            </w:r>
          </w:p>
        </w:tc>
        <w:tc>
          <w:tcPr>
            <w:tcW w:w="851" w:type="dxa"/>
            <w:vAlign w:val="center"/>
          </w:tcPr>
          <w:p>
            <w:pPr>
              <w:pStyle w:val="55"/>
              <w:rPr>
                <w:color w:val="000000" w:themeColor="text1"/>
              </w:rPr>
            </w:pPr>
            <w:r>
              <w:rPr>
                <w:color w:val="000000" w:themeColor="text1"/>
              </w:rPr>
              <w:t>9.8</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氰化物</w:t>
            </w:r>
          </w:p>
        </w:tc>
        <w:tc>
          <w:tcPr>
            <w:tcW w:w="1276" w:type="dxa"/>
            <w:vAlign w:val="center"/>
          </w:tcPr>
          <w:p>
            <w:pPr>
              <w:pStyle w:val="55"/>
              <w:rPr>
                <w:color w:val="000000" w:themeColor="text1"/>
              </w:rPr>
            </w:pPr>
            <w:r>
              <w:rPr>
                <w:rFonts w:hint="eastAsia"/>
                <w:color w:val="000000" w:themeColor="text1"/>
              </w:rPr>
              <w:t>0.001L</w:t>
            </w:r>
          </w:p>
        </w:tc>
        <w:tc>
          <w:tcPr>
            <w:tcW w:w="1275" w:type="dxa"/>
            <w:vAlign w:val="center"/>
          </w:tcPr>
          <w:p>
            <w:pPr>
              <w:pStyle w:val="55"/>
              <w:rPr>
                <w:color w:val="000000" w:themeColor="text1"/>
              </w:rPr>
            </w:pPr>
            <w:r>
              <w:rPr>
                <w:rFonts w:hint="eastAsia"/>
                <w:color w:val="000000" w:themeColor="text1"/>
              </w:rPr>
              <w:t>0.001L</w:t>
            </w:r>
          </w:p>
        </w:tc>
        <w:tc>
          <w:tcPr>
            <w:tcW w:w="1276" w:type="dxa"/>
            <w:vAlign w:val="center"/>
          </w:tcPr>
          <w:p>
            <w:pPr>
              <w:pStyle w:val="55"/>
              <w:rPr>
                <w:color w:val="000000" w:themeColor="text1"/>
              </w:rPr>
            </w:pPr>
            <w:r>
              <w:rPr>
                <w:rFonts w:hint="eastAsia"/>
                <w:color w:val="000000" w:themeColor="text1"/>
              </w:rPr>
              <w:t>0.001L</w:t>
            </w:r>
          </w:p>
        </w:tc>
        <w:tc>
          <w:tcPr>
            <w:tcW w:w="992" w:type="dxa"/>
            <w:vAlign w:val="center"/>
          </w:tcPr>
          <w:p>
            <w:pPr>
              <w:pStyle w:val="55"/>
              <w:rPr>
                <w:color w:val="000000" w:themeColor="text1"/>
              </w:rPr>
            </w:pPr>
            <w:r>
              <w:rPr>
                <w:color w:val="000000" w:themeColor="text1"/>
              </w:rPr>
              <w:t>≤0.05</w:t>
            </w:r>
          </w:p>
        </w:tc>
        <w:tc>
          <w:tcPr>
            <w:tcW w:w="851" w:type="dxa"/>
            <w:vAlign w:val="center"/>
          </w:tcPr>
          <w:p>
            <w:pPr>
              <w:pStyle w:val="55"/>
              <w:rPr>
                <w:color w:val="000000" w:themeColor="text1"/>
              </w:rPr>
            </w:pPr>
            <w:r>
              <w:rPr>
                <w:rFonts w:hint="eastAsia"/>
                <w:color w:val="000000" w:themeColor="text1"/>
              </w:rPr>
              <w:t>/</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溶解性总固体</w:t>
            </w:r>
          </w:p>
        </w:tc>
        <w:tc>
          <w:tcPr>
            <w:tcW w:w="1276" w:type="dxa"/>
            <w:vAlign w:val="center"/>
          </w:tcPr>
          <w:p>
            <w:pPr>
              <w:pStyle w:val="55"/>
              <w:rPr>
                <w:color w:val="000000" w:themeColor="text1"/>
              </w:rPr>
            </w:pPr>
            <w:r>
              <w:rPr>
                <w:rFonts w:hint="eastAsia"/>
                <w:color w:val="000000" w:themeColor="text1"/>
              </w:rPr>
              <w:t>868</w:t>
            </w:r>
          </w:p>
        </w:tc>
        <w:tc>
          <w:tcPr>
            <w:tcW w:w="1275" w:type="dxa"/>
            <w:vAlign w:val="center"/>
          </w:tcPr>
          <w:p>
            <w:pPr>
              <w:pStyle w:val="55"/>
              <w:rPr>
                <w:color w:val="000000" w:themeColor="text1"/>
              </w:rPr>
            </w:pPr>
            <w:r>
              <w:rPr>
                <w:rFonts w:hint="eastAsia"/>
                <w:color w:val="000000" w:themeColor="text1"/>
              </w:rPr>
              <w:t>896</w:t>
            </w:r>
          </w:p>
        </w:tc>
        <w:tc>
          <w:tcPr>
            <w:tcW w:w="1276" w:type="dxa"/>
            <w:vAlign w:val="center"/>
          </w:tcPr>
          <w:p>
            <w:pPr>
              <w:pStyle w:val="55"/>
              <w:rPr>
                <w:color w:val="000000" w:themeColor="text1"/>
              </w:rPr>
            </w:pPr>
            <w:r>
              <w:rPr>
                <w:rFonts w:hint="eastAsia"/>
                <w:color w:val="000000" w:themeColor="text1"/>
              </w:rPr>
              <w:t>869</w:t>
            </w:r>
          </w:p>
        </w:tc>
        <w:tc>
          <w:tcPr>
            <w:tcW w:w="992" w:type="dxa"/>
            <w:vAlign w:val="center"/>
          </w:tcPr>
          <w:p>
            <w:pPr>
              <w:pStyle w:val="55"/>
              <w:rPr>
                <w:color w:val="000000" w:themeColor="text1"/>
              </w:rPr>
            </w:pPr>
            <w:r>
              <w:rPr>
                <w:color w:val="000000" w:themeColor="text1"/>
              </w:rPr>
              <w:t>≤1000</w:t>
            </w:r>
          </w:p>
        </w:tc>
        <w:tc>
          <w:tcPr>
            <w:tcW w:w="851" w:type="dxa"/>
            <w:vAlign w:val="center"/>
          </w:tcPr>
          <w:p>
            <w:pPr>
              <w:pStyle w:val="55"/>
              <w:rPr>
                <w:color w:val="000000" w:themeColor="text1"/>
              </w:rPr>
            </w:pPr>
            <w:r>
              <w:rPr>
                <w:color w:val="000000" w:themeColor="text1"/>
              </w:rPr>
              <w:t>89.6</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铬（六价）</w:t>
            </w:r>
          </w:p>
        </w:tc>
        <w:tc>
          <w:tcPr>
            <w:tcW w:w="1276" w:type="dxa"/>
            <w:vAlign w:val="center"/>
          </w:tcPr>
          <w:p>
            <w:pPr>
              <w:pStyle w:val="55"/>
              <w:rPr>
                <w:color w:val="000000" w:themeColor="text1"/>
              </w:rPr>
            </w:pPr>
            <w:r>
              <w:rPr>
                <w:rFonts w:hint="eastAsia"/>
                <w:color w:val="000000" w:themeColor="text1"/>
              </w:rPr>
              <w:t>0.004L</w:t>
            </w:r>
          </w:p>
        </w:tc>
        <w:tc>
          <w:tcPr>
            <w:tcW w:w="1275" w:type="dxa"/>
            <w:vAlign w:val="center"/>
          </w:tcPr>
          <w:p>
            <w:pPr>
              <w:pStyle w:val="55"/>
              <w:rPr>
                <w:color w:val="000000" w:themeColor="text1"/>
              </w:rPr>
            </w:pPr>
            <w:r>
              <w:rPr>
                <w:rFonts w:hint="eastAsia"/>
                <w:color w:val="000000" w:themeColor="text1"/>
              </w:rPr>
              <w:t>0.004L</w:t>
            </w:r>
          </w:p>
        </w:tc>
        <w:tc>
          <w:tcPr>
            <w:tcW w:w="1276" w:type="dxa"/>
            <w:vAlign w:val="center"/>
          </w:tcPr>
          <w:p>
            <w:pPr>
              <w:pStyle w:val="55"/>
              <w:rPr>
                <w:color w:val="000000" w:themeColor="text1"/>
              </w:rPr>
            </w:pPr>
            <w:r>
              <w:rPr>
                <w:rFonts w:hint="eastAsia"/>
                <w:color w:val="000000" w:themeColor="text1"/>
              </w:rPr>
              <w:t>0.004L</w:t>
            </w:r>
          </w:p>
        </w:tc>
        <w:tc>
          <w:tcPr>
            <w:tcW w:w="992" w:type="dxa"/>
            <w:vAlign w:val="center"/>
          </w:tcPr>
          <w:p>
            <w:pPr>
              <w:pStyle w:val="55"/>
              <w:rPr>
                <w:color w:val="000000" w:themeColor="text1"/>
              </w:rPr>
            </w:pPr>
            <w:r>
              <w:rPr>
                <w:color w:val="000000" w:themeColor="text1"/>
              </w:rPr>
              <w:t>≤0.</w:t>
            </w:r>
            <w:r>
              <w:rPr>
                <w:rFonts w:hint="eastAsia"/>
                <w:color w:val="000000" w:themeColor="text1"/>
              </w:rPr>
              <w:t>05</w:t>
            </w:r>
          </w:p>
        </w:tc>
        <w:tc>
          <w:tcPr>
            <w:tcW w:w="851" w:type="dxa"/>
            <w:vAlign w:val="center"/>
          </w:tcPr>
          <w:p>
            <w:pPr>
              <w:pStyle w:val="55"/>
              <w:rPr>
                <w:color w:val="000000" w:themeColor="text1"/>
              </w:rPr>
            </w:pPr>
            <w:r>
              <w:rPr>
                <w:rFonts w:hint="eastAsia"/>
                <w:color w:val="000000" w:themeColor="text1"/>
              </w:rPr>
              <w:t>/</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汞（</w:t>
            </w:r>
            <w:r>
              <w:rPr>
                <w:color w:val="000000" w:themeColor="text1"/>
              </w:rPr>
              <w:t>ɥmg/L</w:t>
            </w:r>
            <w:r>
              <w:rPr>
                <w:rFonts w:hint="eastAsia"/>
                <w:color w:val="000000" w:themeColor="text1"/>
              </w:rPr>
              <w:t>）</w:t>
            </w:r>
          </w:p>
        </w:tc>
        <w:tc>
          <w:tcPr>
            <w:tcW w:w="1276" w:type="dxa"/>
            <w:vAlign w:val="center"/>
          </w:tcPr>
          <w:p>
            <w:pPr>
              <w:pStyle w:val="55"/>
              <w:rPr>
                <w:color w:val="000000" w:themeColor="text1"/>
              </w:rPr>
            </w:pPr>
            <w:r>
              <w:rPr>
                <w:rFonts w:hint="eastAsia"/>
                <w:color w:val="000000" w:themeColor="text1"/>
              </w:rPr>
              <w:t>5.00×10</w:t>
            </w:r>
            <w:r>
              <w:rPr>
                <w:rFonts w:hint="eastAsia"/>
                <w:color w:val="000000" w:themeColor="text1"/>
                <w:vertAlign w:val="superscript"/>
              </w:rPr>
              <w:t>-5</w:t>
            </w:r>
          </w:p>
        </w:tc>
        <w:tc>
          <w:tcPr>
            <w:tcW w:w="1275" w:type="dxa"/>
            <w:vAlign w:val="center"/>
          </w:tcPr>
          <w:p>
            <w:pPr>
              <w:pStyle w:val="55"/>
              <w:rPr>
                <w:color w:val="000000" w:themeColor="text1"/>
              </w:rPr>
            </w:pPr>
            <w:r>
              <w:rPr>
                <w:rFonts w:hint="eastAsia"/>
                <w:color w:val="000000" w:themeColor="text1"/>
              </w:rPr>
              <w:t>5.00×10</w:t>
            </w:r>
            <w:r>
              <w:rPr>
                <w:rFonts w:hint="eastAsia"/>
                <w:color w:val="000000" w:themeColor="text1"/>
                <w:vertAlign w:val="superscript"/>
              </w:rPr>
              <w:t>-5</w:t>
            </w:r>
          </w:p>
        </w:tc>
        <w:tc>
          <w:tcPr>
            <w:tcW w:w="1276" w:type="dxa"/>
            <w:vAlign w:val="center"/>
          </w:tcPr>
          <w:p>
            <w:pPr>
              <w:pStyle w:val="55"/>
              <w:rPr>
                <w:color w:val="000000" w:themeColor="text1"/>
              </w:rPr>
            </w:pPr>
            <w:r>
              <w:rPr>
                <w:rFonts w:hint="eastAsia"/>
                <w:color w:val="000000" w:themeColor="text1"/>
              </w:rPr>
              <w:t>5.00×10</w:t>
            </w:r>
            <w:r>
              <w:rPr>
                <w:rFonts w:hint="eastAsia"/>
                <w:color w:val="000000" w:themeColor="text1"/>
                <w:vertAlign w:val="superscript"/>
              </w:rPr>
              <w:t>-5</w:t>
            </w:r>
          </w:p>
        </w:tc>
        <w:tc>
          <w:tcPr>
            <w:tcW w:w="992" w:type="dxa"/>
            <w:vAlign w:val="center"/>
          </w:tcPr>
          <w:p>
            <w:pPr>
              <w:pStyle w:val="55"/>
              <w:rPr>
                <w:color w:val="000000" w:themeColor="text1"/>
              </w:rPr>
            </w:pPr>
            <w:r>
              <w:rPr>
                <w:color w:val="000000" w:themeColor="text1"/>
              </w:rPr>
              <w:t>≤0.001</w:t>
            </w:r>
          </w:p>
        </w:tc>
        <w:tc>
          <w:tcPr>
            <w:tcW w:w="851" w:type="dxa"/>
            <w:vAlign w:val="center"/>
          </w:tcPr>
          <w:p>
            <w:pPr>
              <w:pStyle w:val="55"/>
              <w:rPr>
                <w:color w:val="000000" w:themeColor="text1"/>
              </w:rPr>
            </w:pPr>
            <w:r>
              <w:rPr>
                <w:rFonts w:hint="eastAsia"/>
                <w:color w:val="000000" w:themeColor="text1"/>
              </w:rPr>
              <w:t>5</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砷（</w:t>
            </w:r>
            <w:r>
              <w:rPr>
                <w:color w:val="000000" w:themeColor="text1"/>
              </w:rPr>
              <w:t>ɥmg/L</w:t>
            </w:r>
            <w:r>
              <w:rPr>
                <w:rFonts w:hint="eastAsia"/>
                <w:color w:val="000000" w:themeColor="text1"/>
              </w:rPr>
              <w:t>）</w:t>
            </w:r>
          </w:p>
        </w:tc>
        <w:tc>
          <w:tcPr>
            <w:tcW w:w="1276" w:type="dxa"/>
            <w:vAlign w:val="center"/>
          </w:tcPr>
          <w:p>
            <w:pPr>
              <w:pStyle w:val="55"/>
              <w:rPr>
                <w:color w:val="000000" w:themeColor="text1"/>
              </w:rPr>
            </w:pPr>
            <w:r>
              <w:rPr>
                <w:rFonts w:hint="eastAsia"/>
                <w:color w:val="000000" w:themeColor="text1"/>
              </w:rPr>
              <w:t>3.00×10</w:t>
            </w:r>
            <w:r>
              <w:rPr>
                <w:rFonts w:hint="eastAsia"/>
                <w:color w:val="000000" w:themeColor="text1"/>
                <w:vertAlign w:val="superscript"/>
              </w:rPr>
              <w:t>-4</w:t>
            </w:r>
            <w:r>
              <w:rPr>
                <w:rFonts w:hint="eastAsia"/>
                <w:color w:val="000000" w:themeColor="text1"/>
              </w:rPr>
              <w:t>L</w:t>
            </w:r>
          </w:p>
        </w:tc>
        <w:tc>
          <w:tcPr>
            <w:tcW w:w="1275" w:type="dxa"/>
            <w:vAlign w:val="center"/>
          </w:tcPr>
          <w:p>
            <w:pPr>
              <w:pStyle w:val="55"/>
              <w:rPr>
                <w:color w:val="000000" w:themeColor="text1"/>
              </w:rPr>
            </w:pPr>
            <w:r>
              <w:rPr>
                <w:rFonts w:hint="eastAsia"/>
                <w:color w:val="000000" w:themeColor="text1"/>
              </w:rPr>
              <w:t>3.00×10</w:t>
            </w:r>
            <w:r>
              <w:rPr>
                <w:rFonts w:hint="eastAsia"/>
                <w:color w:val="000000" w:themeColor="text1"/>
                <w:vertAlign w:val="superscript"/>
              </w:rPr>
              <w:t>-4</w:t>
            </w:r>
            <w:r>
              <w:rPr>
                <w:rFonts w:hint="eastAsia"/>
                <w:color w:val="000000" w:themeColor="text1"/>
              </w:rPr>
              <w:t>L</w:t>
            </w:r>
          </w:p>
        </w:tc>
        <w:tc>
          <w:tcPr>
            <w:tcW w:w="1276" w:type="dxa"/>
            <w:vAlign w:val="center"/>
          </w:tcPr>
          <w:p>
            <w:pPr>
              <w:pStyle w:val="55"/>
              <w:rPr>
                <w:color w:val="000000" w:themeColor="text1"/>
              </w:rPr>
            </w:pPr>
            <w:r>
              <w:rPr>
                <w:rFonts w:hint="eastAsia"/>
                <w:color w:val="000000" w:themeColor="text1"/>
              </w:rPr>
              <w:t>3.00×10</w:t>
            </w:r>
            <w:r>
              <w:rPr>
                <w:rFonts w:hint="eastAsia"/>
                <w:color w:val="000000" w:themeColor="text1"/>
                <w:vertAlign w:val="superscript"/>
              </w:rPr>
              <w:t>-4</w:t>
            </w:r>
            <w:r>
              <w:rPr>
                <w:rFonts w:hint="eastAsia"/>
                <w:color w:val="000000" w:themeColor="text1"/>
              </w:rPr>
              <w:t>L</w:t>
            </w:r>
          </w:p>
        </w:tc>
        <w:tc>
          <w:tcPr>
            <w:tcW w:w="992" w:type="dxa"/>
            <w:vAlign w:val="center"/>
          </w:tcPr>
          <w:p>
            <w:pPr>
              <w:pStyle w:val="55"/>
              <w:rPr>
                <w:color w:val="000000" w:themeColor="text1"/>
              </w:rPr>
            </w:pPr>
            <w:r>
              <w:rPr>
                <w:color w:val="000000" w:themeColor="text1"/>
              </w:rPr>
              <w:t>≤0.0</w:t>
            </w:r>
            <w:r>
              <w:rPr>
                <w:rFonts w:hint="eastAsia"/>
                <w:color w:val="000000" w:themeColor="text1"/>
              </w:rPr>
              <w:t>1</w:t>
            </w:r>
          </w:p>
        </w:tc>
        <w:tc>
          <w:tcPr>
            <w:tcW w:w="851" w:type="dxa"/>
            <w:vAlign w:val="center"/>
          </w:tcPr>
          <w:p>
            <w:pPr>
              <w:pStyle w:val="55"/>
              <w:rPr>
                <w:color w:val="000000" w:themeColor="text1"/>
              </w:rPr>
            </w:pPr>
            <w:r>
              <w:rPr>
                <w:rFonts w:hint="eastAsia"/>
                <w:color w:val="000000" w:themeColor="text1"/>
              </w:rPr>
              <w:t>/</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铅</w:t>
            </w:r>
          </w:p>
        </w:tc>
        <w:tc>
          <w:tcPr>
            <w:tcW w:w="1276" w:type="dxa"/>
            <w:vAlign w:val="center"/>
          </w:tcPr>
          <w:p>
            <w:pPr>
              <w:pStyle w:val="55"/>
              <w:rPr>
                <w:color w:val="000000" w:themeColor="text1"/>
              </w:rPr>
            </w:pPr>
            <w:r>
              <w:rPr>
                <w:rFonts w:hint="eastAsia"/>
                <w:color w:val="000000" w:themeColor="text1"/>
              </w:rPr>
              <w:t>3.76×10</w:t>
            </w:r>
            <w:r>
              <w:rPr>
                <w:rFonts w:hint="eastAsia"/>
                <w:color w:val="000000" w:themeColor="text1"/>
                <w:vertAlign w:val="superscript"/>
              </w:rPr>
              <w:t>-3</w:t>
            </w:r>
          </w:p>
        </w:tc>
        <w:tc>
          <w:tcPr>
            <w:tcW w:w="1275" w:type="dxa"/>
            <w:vAlign w:val="center"/>
          </w:tcPr>
          <w:p>
            <w:pPr>
              <w:pStyle w:val="55"/>
              <w:rPr>
                <w:color w:val="000000" w:themeColor="text1"/>
              </w:rPr>
            </w:pPr>
            <w:r>
              <w:rPr>
                <w:rFonts w:hint="eastAsia"/>
                <w:color w:val="000000" w:themeColor="text1"/>
              </w:rPr>
              <w:t>3.81×10</w:t>
            </w:r>
            <w:r>
              <w:rPr>
                <w:rFonts w:hint="eastAsia"/>
                <w:color w:val="000000" w:themeColor="text1"/>
                <w:vertAlign w:val="superscript"/>
              </w:rPr>
              <w:t>-3</w:t>
            </w:r>
          </w:p>
        </w:tc>
        <w:tc>
          <w:tcPr>
            <w:tcW w:w="1276" w:type="dxa"/>
            <w:vAlign w:val="center"/>
          </w:tcPr>
          <w:p>
            <w:pPr>
              <w:pStyle w:val="55"/>
              <w:rPr>
                <w:color w:val="000000" w:themeColor="text1"/>
              </w:rPr>
            </w:pPr>
            <w:r>
              <w:rPr>
                <w:rFonts w:hint="eastAsia"/>
                <w:color w:val="000000" w:themeColor="text1"/>
              </w:rPr>
              <w:t>3.61×10</w:t>
            </w:r>
            <w:r>
              <w:rPr>
                <w:rFonts w:hint="eastAsia"/>
                <w:color w:val="000000" w:themeColor="text1"/>
                <w:vertAlign w:val="superscript"/>
              </w:rPr>
              <w:t>-3</w:t>
            </w:r>
          </w:p>
        </w:tc>
        <w:tc>
          <w:tcPr>
            <w:tcW w:w="992" w:type="dxa"/>
            <w:vAlign w:val="center"/>
          </w:tcPr>
          <w:p>
            <w:pPr>
              <w:pStyle w:val="55"/>
              <w:rPr>
                <w:color w:val="000000" w:themeColor="text1"/>
              </w:rPr>
            </w:pPr>
            <w:r>
              <w:rPr>
                <w:color w:val="000000" w:themeColor="text1"/>
              </w:rPr>
              <w:t>≤0.0</w:t>
            </w:r>
            <w:r>
              <w:rPr>
                <w:rFonts w:hint="eastAsia"/>
                <w:color w:val="000000" w:themeColor="text1"/>
              </w:rPr>
              <w:t>1</w:t>
            </w:r>
          </w:p>
        </w:tc>
        <w:tc>
          <w:tcPr>
            <w:tcW w:w="851" w:type="dxa"/>
            <w:vAlign w:val="center"/>
          </w:tcPr>
          <w:p>
            <w:pPr>
              <w:pStyle w:val="55"/>
              <w:rPr>
                <w:color w:val="000000" w:themeColor="text1"/>
              </w:rPr>
            </w:pPr>
            <w:r>
              <w:rPr>
                <w:rFonts w:hint="eastAsia"/>
                <w:color w:val="000000" w:themeColor="text1"/>
              </w:rPr>
              <w:t>38.1</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镉</w:t>
            </w:r>
          </w:p>
        </w:tc>
        <w:tc>
          <w:tcPr>
            <w:tcW w:w="1276" w:type="dxa"/>
            <w:vAlign w:val="center"/>
          </w:tcPr>
          <w:p>
            <w:pPr>
              <w:pStyle w:val="55"/>
              <w:rPr>
                <w:color w:val="000000" w:themeColor="text1"/>
              </w:rPr>
            </w:pPr>
            <w:r>
              <w:rPr>
                <w:rFonts w:hint="eastAsia"/>
                <w:color w:val="000000" w:themeColor="text1"/>
              </w:rPr>
              <w:t>1.00×10</w:t>
            </w:r>
            <w:r>
              <w:rPr>
                <w:rFonts w:hint="eastAsia"/>
                <w:color w:val="000000" w:themeColor="text1"/>
                <w:vertAlign w:val="superscript"/>
              </w:rPr>
              <w:t>-4</w:t>
            </w:r>
            <w:r>
              <w:rPr>
                <w:rFonts w:hint="eastAsia"/>
                <w:color w:val="000000" w:themeColor="text1"/>
              </w:rPr>
              <w:t>L</w:t>
            </w:r>
          </w:p>
        </w:tc>
        <w:tc>
          <w:tcPr>
            <w:tcW w:w="1275" w:type="dxa"/>
            <w:vAlign w:val="center"/>
          </w:tcPr>
          <w:p>
            <w:pPr>
              <w:pStyle w:val="55"/>
              <w:rPr>
                <w:color w:val="000000" w:themeColor="text1"/>
              </w:rPr>
            </w:pPr>
            <w:r>
              <w:rPr>
                <w:rFonts w:hint="eastAsia"/>
                <w:color w:val="000000" w:themeColor="text1"/>
              </w:rPr>
              <w:t>1.00×10</w:t>
            </w:r>
            <w:r>
              <w:rPr>
                <w:rFonts w:hint="eastAsia"/>
                <w:color w:val="000000" w:themeColor="text1"/>
                <w:vertAlign w:val="superscript"/>
              </w:rPr>
              <w:t>-4</w:t>
            </w:r>
            <w:r>
              <w:rPr>
                <w:rFonts w:hint="eastAsia"/>
                <w:color w:val="000000" w:themeColor="text1"/>
              </w:rPr>
              <w:t>L</w:t>
            </w:r>
          </w:p>
        </w:tc>
        <w:tc>
          <w:tcPr>
            <w:tcW w:w="1276" w:type="dxa"/>
            <w:vAlign w:val="center"/>
          </w:tcPr>
          <w:p>
            <w:pPr>
              <w:pStyle w:val="55"/>
              <w:rPr>
                <w:color w:val="000000" w:themeColor="text1"/>
              </w:rPr>
            </w:pPr>
            <w:r>
              <w:rPr>
                <w:rFonts w:hint="eastAsia"/>
                <w:color w:val="000000" w:themeColor="text1"/>
              </w:rPr>
              <w:t>1.00×10</w:t>
            </w:r>
            <w:r>
              <w:rPr>
                <w:rFonts w:hint="eastAsia"/>
                <w:color w:val="000000" w:themeColor="text1"/>
                <w:vertAlign w:val="superscript"/>
              </w:rPr>
              <w:t>-4</w:t>
            </w:r>
            <w:r>
              <w:rPr>
                <w:rFonts w:hint="eastAsia"/>
                <w:color w:val="000000" w:themeColor="text1"/>
              </w:rPr>
              <w:t>L</w:t>
            </w:r>
          </w:p>
        </w:tc>
        <w:tc>
          <w:tcPr>
            <w:tcW w:w="992" w:type="dxa"/>
            <w:vAlign w:val="center"/>
          </w:tcPr>
          <w:p>
            <w:pPr>
              <w:pStyle w:val="55"/>
              <w:rPr>
                <w:color w:val="000000" w:themeColor="text1"/>
              </w:rPr>
            </w:pPr>
            <w:r>
              <w:rPr>
                <w:color w:val="000000" w:themeColor="text1"/>
              </w:rPr>
              <w:t>≤0.0</w:t>
            </w:r>
            <w:r>
              <w:rPr>
                <w:rFonts w:hint="eastAsia"/>
                <w:color w:val="000000" w:themeColor="text1"/>
              </w:rPr>
              <w:t>05</w:t>
            </w:r>
          </w:p>
        </w:tc>
        <w:tc>
          <w:tcPr>
            <w:tcW w:w="851" w:type="dxa"/>
            <w:vAlign w:val="center"/>
          </w:tcPr>
          <w:p>
            <w:pPr>
              <w:pStyle w:val="55"/>
              <w:rPr>
                <w:color w:val="000000" w:themeColor="text1"/>
              </w:rPr>
            </w:pPr>
            <w:r>
              <w:rPr>
                <w:rFonts w:hint="eastAsia"/>
                <w:color w:val="000000" w:themeColor="text1"/>
              </w:rPr>
              <w:t>/</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color w:val="000000" w:themeColor="text1"/>
              </w:rPr>
              <w:t>铜</w:t>
            </w:r>
          </w:p>
        </w:tc>
        <w:tc>
          <w:tcPr>
            <w:tcW w:w="1276" w:type="dxa"/>
            <w:vAlign w:val="center"/>
          </w:tcPr>
          <w:p>
            <w:pPr>
              <w:pStyle w:val="55"/>
              <w:rPr>
                <w:color w:val="000000" w:themeColor="text1"/>
              </w:rPr>
            </w:pPr>
            <w:r>
              <w:rPr>
                <w:rFonts w:hint="eastAsia"/>
                <w:color w:val="000000" w:themeColor="text1"/>
              </w:rPr>
              <w:t>5.56×10</w:t>
            </w:r>
            <w:r>
              <w:rPr>
                <w:rFonts w:hint="eastAsia"/>
                <w:color w:val="000000" w:themeColor="text1"/>
                <w:vertAlign w:val="superscript"/>
              </w:rPr>
              <w:t>-3</w:t>
            </w:r>
          </w:p>
        </w:tc>
        <w:tc>
          <w:tcPr>
            <w:tcW w:w="1275" w:type="dxa"/>
            <w:vAlign w:val="center"/>
          </w:tcPr>
          <w:p>
            <w:pPr>
              <w:pStyle w:val="55"/>
              <w:rPr>
                <w:color w:val="000000" w:themeColor="text1"/>
              </w:rPr>
            </w:pPr>
            <w:r>
              <w:rPr>
                <w:rFonts w:hint="eastAsia"/>
                <w:color w:val="000000" w:themeColor="text1"/>
              </w:rPr>
              <w:t>5.55×10</w:t>
            </w:r>
            <w:r>
              <w:rPr>
                <w:rFonts w:hint="eastAsia"/>
                <w:color w:val="000000" w:themeColor="text1"/>
                <w:vertAlign w:val="superscript"/>
              </w:rPr>
              <w:t>-3</w:t>
            </w:r>
          </w:p>
        </w:tc>
        <w:tc>
          <w:tcPr>
            <w:tcW w:w="1276" w:type="dxa"/>
            <w:vAlign w:val="center"/>
          </w:tcPr>
          <w:p>
            <w:pPr>
              <w:pStyle w:val="55"/>
              <w:rPr>
                <w:color w:val="000000" w:themeColor="text1"/>
              </w:rPr>
            </w:pPr>
            <w:r>
              <w:rPr>
                <w:rFonts w:hint="eastAsia"/>
                <w:color w:val="000000" w:themeColor="text1"/>
              </w:rPr>
              <w:t>5.96×10</w:t>
            </w:r>
            <w:r>
              <w:rPr>
                <w:rFonts w:hint="eastAsia"/>
                <w:color w:val="000000" w:themeColor="text1"/>
                <w:vertAlign w:val="superscript"/>
              </w:rPr>
              <w:t>-3</w:t>
            </w:r>
          </w:p>
        </w:tc>
        <w:tc>
          <w:tcPr>
            <w:tcW w:w="992" w:type="dxa"/>
            <w:vAlign w:val="center"/>
          </w:tcPr>
          <w:p>
            <w:pPr>
              <w:pStyle w:val="55"/>
              <w:rPr>
                <w:color w:val="000000" w:themeColor="text1"/>
              </w:rPr>
            </w:pPr>
            <w:r>
              <w:rPr>
                <w:color w:val="000000" w:themeColor="text1"/>
              </w:rPr>
              <w:t>≤</w:t>
            </w:r>
            <w:r>
              <w:rPr>
                <w:rFonts w:hint="eastAsia"/>
                <w:color w:val="000000" w:themeColor="text1"/>
              </w:rPr>
              <w:t>1.0</w:t>
            </w:r>
          </w:p>
        </w:tc>
        <w:tc>
          <w:tcPr>
            <w:tcW w:w="851" w:type="dxa"/>
            <w:vAlign w:val="center"/>
          </w:tcPr>
          <w:p>
            <w:pPr>
              <w:pStyle w:val="55"/>
              <w:rPr>
                <w:color w:val="000000" w:themeColor="text1"/>
              </w:rPr>
            </w:pPr>
            <w:r>
              <w:rPr>
                <w:rFonts w:hint="eastAsia"/>
                <w:color w:val="000000" w:themeColor="text1"/>
              </w:rPr>
              <w:t>0.6</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color w:val="000000" w:themeColor="text1"/>
              </w:rPr>
              <w:t>锌</w:t>
            </w:r>
          </w:p>
        </w:tc>
        <w:tc>
          <w:tcPr>
            <w:tcW w:w="1276" w:type="dxa"/>
            <w:vAlign w:val="center"/>
          </w:tcPr>
          <w:p>
            <w:pPr>
              <w:pStyle w:val="55"/>
              <w:rPr>
                <w:color w:val="000000" w:themeColor="text1"/>
              </w:rPr>
            </w:pPr>
            <w:r>
              <w:rPr>
                <w:rFonts w:hint="eastAsia"/>
                <w:color w:val="000000" w:themeColor="text1"/>
              </w:rPr>
              <w:t>0.146</w:t>
            </w:r>
          </w:p>
        </w:tc>
        <w:tc>
          <w:tcPr>
            <w:tcW w:w="1275" w:type="dxa"/>
            <w:vAlign w:val="center"/>
          </w:tcPr>
          <w:p>
            <w:pPr>
              <w:pStyle w:val="55"/>
              <w:rPr>
                <w:color w:val="000000" w:themeColor="text1"/>
              </w:rPr>
            </w:pPr>
            <w:r>
              <w:rPr>
                <w:rFonts w:hint="eastAsia"/>
                <w:color w:val="000000" w:themeColor="text1"/>
              </w:rPr>
              <w:t>0.143</w:t>
            </w:r>
          </w:p>
        </w:tc>
        <w:tc>
          <w:tcPr>
            <w:tcW w:w="1276" w:type="dxa"/>
            <w:vAlign w:val="center"/>
          </w:tcPr>
          <w:p>
            <w:pPr>
              <w:pStyle w:val="55"/>
              <w:rPr>
                <w:color w:val="000000" w:themeColor="text1"/>
              </w:rPr>
            </w:pPr>
            <w:r>
              <w:rPr>
                <w:rFonts w:hint="eastAsia"/>
                <w:color w:val="000000" w:themeColor="text1"/>
              </w:rPr>
              <w:t>0.155</w:t>
            </w:r>
          </w:p>
        </w:tc>
        <w:tc>
          <w:tcPr>
            <w:tcW w:w="992" w:type="dxa"/>
            <w:vAlign w:val="center"/>
          </w:tcPr>
          <w:p>
            <w:pPr>
              <w:pStyle w:val="55"/>
              <w:rPr>
                <w:color w:val="000000" w:themeColor="text1"/>
              </w:rPr>
            </w:pPr>
            <w:r>
              <w:rPr>
                <w:color w:val="000000" w:themeColor="text1"/>
              </w:rPr>
              <w:t>≤</w:t>
            </w:r>
            <w:r>
              <w:rPr>
                <w:rFonts w:hint="eastAsia"/>
                <w:color w:val="000000" w:themeColor="text1"/>
              </w:rPr>
              <w:t>1.0</w:t>
            </w:r>
          </w:p>
        </w:tc>
        <w:tc>
          <w:tcPr>
            <w:tcW w:w="851" w:type="dxa"/>
            <w:vAlign w:val="center"/>
          </w:tcPr>
          <w:p>
            <w:pPr>
              <w:pStyle w:val="55"/>
              <w:rPr>
                <w:color w:val="000000" w:themeColor="text1"/>
              </w:rPr>
            </w:pPr>
            <w:r>
              <w:rPr>
                <w:color w:val="000000" w:themeColor="text1"/>
              </w:rPr>
              <w:t>15.5</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铁</w:t>
            </w:r>
          </w:p>
        </w:tc>
        <w:tc>
          <w:tcPr>
            <w:tcW w:w="1276" w:type="dxa"/>
            <w:vAlign w:val="center"/>
          </w:tcPr>
          <w:p>
            <w:pPr>
              <w:pStyle w:val="55"/>
              <w:rPr>
                <w:color w:val="000000" w:themeColor="text1"/>
              </w:rPr>
            </w:pPr>
            <w:r>
              <w:rPr>
                <w:rFonts w:hint="eastAsia"/>
                <w:color w:val="000000" w:themeColor="text1"/>
              </w:rPr>
              <w:t>0.221</w:t>
            </w:r>
          </w:p>
        </w:tc>
        <w:tc>
          <w:tcPr>
            <w:tcW w:w="1275" w:type="dxa"/>
            <w:vAlign w:val="center"/>
          </w:tcPr>
          <w:p>
            <w:pPr>
              <w:pStyle w:val="55"/>
              <w:rPr>
                <w:color w:val="000000" w:themeColor="text1"/>
              </w:rPr>
            </w:pPr>
            <w:r>
              <w:rPr>
                <w:rFonts w:hint="eastAsia"/>
                <w:color w:val="000000" w:themeColor="text1"/>
              </w:rPr>
              <w:t>0.224</w:t>
            </w:r>
          </w:p>
        </w:tc>
        <w:tc>
          <w:tcPr>
            <w:tcW w:w="1276" w:type="dxa"/>
            <w:vAlign w:val="center"/>
          </w:tcPr>
          <w:p>
            <w:pPr>
              <w:pStyle w:val="55"/>
              <w:rPr>
                <w:color w:val="000000" w:themeColor="text1"/>
              </w:rPr>
            </w:pPr>
            <w:r>
              <w:rPr>
                <w:rFonts w:hint="eastAsia"/>
                <w:color w:val="000000" w:themeColor="text1"/>
              </w:rPr>
              <w:t>0.219</w:t>
            </w:r>
          </w:p>
        </w:tc>
        <w:tc>
          <w:tcPr>
            <w:tcW w:w="992" w:type="dxa"/>
            <w:vAlign w:val="center"/>
          </w:tcPr>
          <w:p>
            <w:pPr>
              <w:pStyle w:val="55"/>
              <w:rPr>
                <w:color w:val="000000" w:themeColor="text1"/>
              </w:rPr>
            </w:pPr>
            <w:r>
              <w:rPr>
                <w:color w:val="000000" w:themeColor="text1"/>
              </w:rPr>
              <w:t>≤0.3</w:t>
            </w:r>
          </w:p>
        </w:tc>
        <w:tc>
          <w:tcPr>
            <w:tcW w:w="851" w:type="dxa"/>
            <w:vAlign w:val="center"/>
          </w:tcPr>
          <w:p>
            <w:pPr>
              <w:pStyle w:val="55"/>
              <w:rPr>
                <w:color w:val="000000" w:themeColor="text1"/>
              </w:rPr>
            </w:pPr>
            <w:r>
              <w:rPr>
                <w:color w:val="000000" w:themeColor="text1"/>
              </w:rPr>
              <w:t>74.67</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锰</w:t>
            </w:r>
          </w:p>
        </w:tc>
        <w:tc>
          <w:tcPr>
            <w:tcW w:w="1276" w:type="dxa"/>
            <w:vAlign w:val="center"/>
          </w:tcPr>
          <w:p>
            <w:pPr>
              <w:pStyle w:val="55"/>
              <w:rPr>
                <w:color w:val="000000" w:themeColor="text1"/>
              </w:rPr>
            </w:pPr>
            <w:r>
              <w:rPr>
                <w:rFonts w:hint="eastAsia"/>
                <w:color w:val="000000" w:themeColor="text1"/>
              </w:rPr>
              <w:t>0.094</w:t>
            </w:r>
          </w:p>
        </w:tc>
        <w:tc>
          <w:tcPr>
            <w:tcW w:w="1275" w:type="dxa"/>
            <w:vAlign w:val="center"/>
          </w:tcPr>
          <w:p>
            <w:pPr>
              <w:pStyle w:val="55"/>
              <w:rPr>
                <w:color w:val="000000" w:themeColor="text1"/>
              </w:rPr>
            </w:pPr>
            <w:r>
              <w:rPr>
                <w:rFonts w:hint="eastAsia"/>
                <w:color w:val="000000" w:themeColor="text1"/>
              </w:rPr>
              <w:t>0.096</w:t>
            </w:r>
          </w:p>
        </w:tc>
        <w:tc>
          <w:tcPr>
            <w:tcW w:w="1276" w:type="dxa"/>
            <w:vAlign w:val="center"/>
          </w:tcPr>
          <w:p>
            <w:pPr>
              <w:pStyle w:val="55"/>
              <w:rPr>
                <w:color w:val="000000" w:themeColor="text1"/>
              </w:rPr>
            </w:pPr>
            <w:r>
              <w:rPr>
                <w:rFonts w:hint="eastAsia"/>
                <w:color w:val="000000" w:themeColor="text1"/>
              </w:rPr>
              <w:t>0.091</w:t>
            </w:r>
          </w:p>
        </w:tc>
        <w:tc>
          <w:tcPr>
            <w:tcW w:w="992" w:type="dxa"/>
            <w:vAlign w:val="center"/>
          </w:tcPr>
          <w:p>
            <w:pPr>
              <w:pStyle w:val="55"/>
              <w:rPr>
                <w:color w:val="000000" w:themeColor="text1"/>
              </w:rPr>
            </w:pPr>
            <w:r>
              <w:rPr>
                <w:color w:val="000000" w:themeColor="text1"/>
              </w:rPr>
              <w:t>≤0.1</w:t>
            </w:r>
          </w:p>
        </w:tc>
        <w:tc>
          <w:tcPr>
            <w:tcW w:w="851" w:type="dxa"/>
            <w:vAlign w:val="center"/>
          </w:tcPr>
          <w:p>
            <w:pPr>
              <w:pStyle w:val="55"/>
              <w:rPr>
                <w:color w:val="000000" w:themeColor="text1"/>
              </w:rPr>
            </w:pPr>
            <w:r>
              <w:rPr>
                <w:color w:val="000000" w:themeColor="text1"/>
              </w:rPr>
              <w:t>96</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restart"/>
            <w:vAlign w:val="center"/>
          </w:tcPr>
          <w:p>
            <w:pPr>
              <w:pStyle w:val="55"/>
              <w:rPr>
                <w:color w:val="000000" w:themeColor="text1"/>
              </w:rPr>
            </w:pPr>
            <w:r>
              <w:rPr>
                <w:rFonts w:hint="eastAsia"/>
                <w:color w:val="000000" w:themeColor="text1"/>
              </w:rPr>
              <w:t>碧云村</w:t>
            </w:r>
          </w:p>
        </w:tc>
        <w:tc>
          <w:tcPr>
            <w:tcW w:w="1418" w:type="dxa"/>
            <w:vAlign w:val="center"/>
          </w:tcPr>
          <w:p>
            <w:pPr>
              <w:pStyle w:val="55"/>
              <w:rPr>
                <w:color w:val="000000" w:themeColor="text1"/>
              </w:rPr>
            </w:pPr>
            <w:r>
              <w:rPr>
                <w:color w:val="000000" w:themeColor="text1"/>
              </w:rPr>
              <w:t>pH</w:t>
            </w:r>
            <w:r>
              <w:rPr>
                <w:rFonts w:hint="eastAsia"/>
                <w:color w:val="000000" w:themeColor="text1"/>
              </w:rPr>
              <w:t>（无量纲）</w:t>
            </w:r>
          </w:p>
        </w:tc>
        <w:tc>
          <w:tcPr>
            <w:tcW w:w="1276" w:type="dxa"/>
            <w:vAlign w:val="center"/>
          </w:tcPr>
          <w:p>
            <w:pPr>
              <w:pStyle w:val="55"/>
              <w:rPr>
                <w:color w:val="000000" w:themeColor="text1"/>
              </w:rPr>
            </w:pPr>
            <w:r>
              <w:rPr>
                <w:rFonts w:hint="eastAsia"/>
                <w:color w:val="000000" w:themeColor="text1"/>
              </w:rPr>
              <w:t>7.60</w:t>
            </w:r>
          </w:p>
        </w:tc>
        <w:tc>
          <w:tcPr>
            <w:tcW w:w="1275" w:type="dxa"/>
            <w:vAlign w:val="center"/>
          </w:tcPr>
          <w:p>
            <w:pPr>
              <w:pStyle w:val="55"/>
              <w:rPr>
                <w:color w:val="000000" w:themeColor="text1"/>
              </w:rPr>
            </w:pPr>
            <w:r>
              <w:rPr>
                <w:rFonts w:hint="eastAsia"/>
                <w:color w:val="000000" w:themeColor="text1"/>
              </w:rPr>
              <w:t>7.62</w:t>
            </w:r>
          </w:p>
        </w:tc>
        <w:tc>
          <w:tcPr>
            <w:tcW w:w="1276" w:type="dxa"/>
            <w:vAlign w:val="center"/>
          </w:tcPr>
          <w:p>
            <w:pPr>
              <w:pStyle w:val="55"/>
              <w:rPr>
                <w:color w:val="000000" w:themeColor="text1"/>
              </w:rPr>
            </w:pPr>
            <w:r>
              <w:rPr>
                <w:rFonts w:hint="eastAsia"/>
                <w:color w:val="000000" w:themeColor="text1"/>
              </w:rPr>
              <w:t>7.59</w:t>
            </w:r>
          </w:p>
        </w:tc>
        <w:tc>
          <w:tcPr>
            <w:tcW w:w="992" w:type="dxa"/>
            <w:vAlign w:val="center"/>
          </w:tcPr>
          <w:p>
            <w:pPr>
              <w:pStyle w:val="55"/>
              <w:rPr>
                <w:color w:val="000000" w:themeColor="text1"/>
              </w:rPr>
            </w:pPr>
            <w:r>
              <w:rPr>
                <w:color w:val="000000" w:themeColor="text1"/>
              </w:rPr>
              <w:t>6.5</w:t>
            </w:r>
            <w:r>
              <w:rPr>
                <w:rFonts w:hint="eastAsia"/>
                <w:color w:val="000000" w:themeColor="text1"/>
              </w:rPr>
              <w:t>～</w:t>
            </w:r>
            <w:r>
              <w:rPr>
                <w:color w:val="000000" w:themeColor="text1"/>
              </w:rPr>
              <w:t>8.5</w:t>
            </w:r>
          </w:p>
        </w:tc>
        <w:tc>
          <w:tcPr>
            <w:tcW w:w="851" w:type="dxa"/>
            <w:vAlign w:val="center"/>
          </w:tcPr>
          <w:p>
            <w:pPr>
              <w:pStyle w:val="55"/>
              <w:rPr>
                <w:color w:val="000000" w:themeColor="text1"/>
              </w:rPr>
            </w:pPr>
            <w:r>
              <w:rPr>
                <w:rFonts w:hint="eastAsia"/>
                <w:color w:val="000000" w:themeColor="text1"/>
              </w:rPr>
              <w:t>/</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耗氧量</w:t>
            </w:r>
          </w:p>
        </w:tc>
        <w:tc>
          <w:tcPr>
            <w:tcW w:w="1276" w:type="dxa"/>
            <w:vAlign w:val="center"/>
          </w:tcPr>
          <w:p>
            <w:pPr>
              <w:pStyle w:val="55"/>
              <w:rPr>
                <w:color w:val="000000" w:themeColor="text1"/>
              </w:rPr>
            </w:pPr>
            <w:r>
              <w:rPr>
                <w:rFonts w:hint="eastAsia"/>
                <w:color w:val="000000" w:themeColor="text1"/>
              </w:rPr>
              <w:t>0.7</w:t>
            </w:r>
          </w:p>
        </w:tc>
        <w:tc>
          <w:tcPr>
            <w:tcW w:w="1275" w:type="dxa"/>
            <w:vAlign w:val="center"/>
          </w:tcPr>
          <w:p>
            <w:pPr>
              <w:pStyle w:val="55"/>
              <w:rPr>
                <w:color w:val="000000" w:themeColor="text1"/>
              </w:rPr>
            </w:pPr>
            <w:r>
              <w:rPr>
                <w:rFonts w:hint="eastAsia"/>
                <w:color w:val="000000" w:themeColor="text1"/>
              </w:rPr>
              <w:t>0.6</w:t>
            </w:r>
          </w:p>
        </w:tc>
        <w:tc>
          <w:tcPr>
            <w:tcW w:w="1276" w:type="dxa"/>
            <w:vAlign w:val="center"/>
          </w:tcPr>
          <w:p>
            <w:pPr>
              <w:pStyle w:val="55"/>
              <w:rPr>
                <w:color w:val="000000" w:themeColor="text1"/>
              </w:rPr>
            </w:pPr>
            <w:r>
              <w:rPr>
                <w:rFonts w:hint="eastAsia"/>
                <w:color w:val="000000" w:themeColor="text1"/>
              </w:rPr>
              <w:t>0.9</w:t>
            </w:r>
          </w:p>
        </w:tc>
        <w:tc>
          <w:tcPr>
            <w:tcW w:w="992" w:type="dxa"/>
            <w:vAlign w:val="center"/>
          </w:tcPr>
          <w:p>
            <w:pPr>
              <w:pStyle w:val="55"/>
              <w:rPr>
                <w:color w:val="000000" w:themeColor="text1"/>
              </w:rPr>
            </w:pPr>
            <w:r>
              <w:rPr>
                <w:color w:val="000000" w:themeColor="text1"/>
              </w:rPr>
              <w:t>≤3.0</w:t>
            </w:r>
          </w:p>
        </w:tc>
        <w:tc>
          <w:tcPr>
            <w:tcW w:w="851" w:type="dxa"/>
            <w:vAlign w:val="center"/>
          </w:tcPr>
          <w:p>
            <w:pPr>
              <w:pStyle w:val="55"/>
              <w:rPr>
                <w:color w:val="000000" w:themeColor="text1"/>
              </w:rPr>
            </w:pPr>
            <w:r>
              <w:rPr>
                <w:color w:val="000000" w:themeColor="text1"/>
              </w:rPr>
              <w:t>30</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化学需氧量</w:t>
            </w:r>
          </w:p>
        </w:tc>
        <w:tc>
          <w:tcPr>
            <w:tcW w:w="1276" w:type="dxa"/>
            <w:vAlign w:val="center"/>
          </w:tcPr>
          <w:p>
            <w:pPr>
              <w:pStyle w:val="55"/>
              <w:rPr>
                <w:color w:val="000000" w:themeColor="text1"/>
              </w:rPr>
            </w:pPr>
            <w:r>
              <w:rPr>
                <w:rFonts w:hint="eastAsia"/>
                <w:color w:val="000000" w:themeColor="text1"/>
              </w:rPr>
              <w:t>5</w:t>
            </w:r>
          </w:p>
        </w:tc>
        <w:tc>
          <w:tcPr>
            <w:tcW w:w="1275" w:type="dxa"/>
            <w:vAlign w:val="center"/>
          </w:tcPr>
          <w:p>
            <w:pPr>
              <w:pStyle w:val="55"/>
              <w:rPr>
                <w:color w:val="000000" w:themeColor="text1"/>
              </w:rPr>
            </w:pPr>
            <w:r>
              <w:rPr>
                <w:rFonts w:hint="eastAsia"/>
                <w:color w:val="000000" w:themeColor="text1"/>
              </w:rPr>
              <w:t>5</w:t>
            </w:r>
          </w:p>
        </w:tc>
        <w:tc>
          <w:tcPr>
            <w:tcW w:w="1276" w:type="dxa"/>
            <w:vAlign w:val="center"/>
          </w:tcPr>
          <w:p>
            <w:pPr>
              <w:pStyle w:val="55"/>
              <w:rPr>
                <w:color w:val="000000" w:themeColor="text1"/>
              </w:rPr>
            </w:pPr>
            <w:r>
              <w:rPr>
                <w:rFonts w:hint="eastAsia"/>
                <w:color w:val="000000" w:themeColor="text1"/>
              </w:rPr>
              <w:t>5</w:t>
            </w:r>
          </w:p>
        </w:tc>
        <w:tc>
          <w:tcPr>
            <w:tcW w:w="992" w:type="dxa"/>
            <w:vAlign w:val="center"/>
          </w:tcPr>
          <w:p>
            <w:pPr>
              <w:pStyle w:val="55"/>
              <w:rPr>
                <w:color w:val="000000" w:themeColor="text1"/>
              </w:rPr>
            </w:pPr>
            <w:r>
              <w:rPr>
                <w:rFonts w:hint="eastAsia"/>
                <w:color w:val="000000" w:themeColor="text1"/>
              </w:rPr>
              <w:t>/</w:t>
            </w:r>
          </w:p>
        </w:tc>
        <w:tc>
          <w:tcPr>
            <w:tcW w:w="851" w:type="dxa"/>
            <w:vAlign w:val="center"/>
          </w:tcPr>
          <w:p>
            <w:pPr>
              <w:pStyle w:val="55"/>
              <w:rPr>
                <w:color w:val="000000" w:themeColor="text1"/>
              </w:rPr>
            </w:pPr>
            <w:r>
              <w:rPr>
                <w:rFonts w:hint="eastAsia"/>
                <w:color w:val="000000" w:themeColor="text1"/>
              </w:rPr>
              <w:t>/</w:t>
            </w:r>
          </w:p>
        </w:tc>
        <w:tc>
          <w:tcPr>
            <w:tcW w:w="709" w:type="dxa"/>
            <w:vAlign w:val="center"/>
          </w:tcPr>
          <w:p>
            <w:pPr>
              <w:pStyle w:val="55"/>
              <w:rPr>
                <w:color w:val="000000" w:themeColor="text1"/>
              </w:rPr>
            </w:pPr>
            <w:r>
              <w:rPr>
                <w:rFonts w:hint="eastAsia"/>
                <w:color w:val="000000" w:themeColor="text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总硬度</w:t>
            </w:r>
          </w:p>
        </w:tc>
        <w:tc>
          <w:tcPr>
            <w:tcW w:w="1276" w:type="dxa"/>
            <w:vAlign w:val="center"/>
          </w:tcPr>
          <w:p>
            <w:pPr>
              <w:pStyle w:val="55"/>
              <w:rPr>
                <w:color w:val="000000" w:themeColor="text1"/>
              </w:rPr>
            </w:pPr>
            <w:r>
              <w:rPr>
                <w:rFonts w:hint="eastAsia"/>
                <w:color w:val="000000" w:themeColor="text1"/>
              </w:rPr>
              <w:t>270</w:t>
            </w:r>
          </w:p>
        </w:tc>
        <w:tc>
          <w:tcPr>
            <w:tcW w:w="1275" w:type="dxa"/>
            <w:vAlign w:val="center"/>
          </w:tcPr>
          <w:p>
            <w:pPr>
              <w:pStyle w:val="55"/>
              <w:rPr>
                <w:color w:val="000000" w:themeColor="text1"/>
              </w:rPr>
            </w:pPr>
            <w:r>
              <w:rPr>
                <w:rFonts w:hint="eastAsia"/>
                <w:color w:val="000000" w:themeColor="text1"/>
              </w:rPr>
              <w:t>270</w:t>
            </w:r>
          </w:p>
        </w:tc>
        <w:tc>
          <w:tcPr>
            <w:tcW w:w="1276" w:type="dxa"/>
            <w:vAlign w:val="center"/>
          </w:tcPr>
          <w:p>
            <w:pPr>
              <w:pStyle w:val="55"/>
              <w:rPr>
                <w:color w:val="000000" w:themeColor="text1"/>
              </w:rPr>
            </w:pPr>
            <w:r>
              <w:rPr>
                <w:rFonts w:hint="eastAsia"/>
                <w:color w:val="000000" w:themeColor="text1"/>
              </w:rPr>
              <w:t>410</w:t>
            </w:r>
          </w:p>
        </w:tc>
        <w:tc>
          <w:tcPr>
            <w:tcW w:w="992" w:type="dxa"/>
            <w:vAlign w:val="center"/>
          </w:tcPr>
          <w:p>
            <w:pPr>
              <w:pStyle w:val="55"/>
              <w:rPr>
                <w:color w:val="000000" w:themeColor="text1"/>
              </w:rPr>
            </w:pPr>
            <w:r>
              <w:rPr>
                <w:color w:val="000000" w:themeColor="text1"/>
              </w:rPr>
              <w:t>≤450</w:t>
            </w:r>
          </w:p>
        </w:tc>
        <w:tc>
          <w:tcPr>
            <w:tcW w:w="851" w:type="dxa"/>
            <w:vAlign w:val="center"/>
          </w:tcPr>
          <w:p>
            <w:pPr>
              <w:pStyle w:val="55"/>
              <w:rPr>
                <w:color w:val="000000" w:themeColor="text1"/>
              </w:rPr>
            </w:pPr>
            <w:r>
              <w:rPr>
                <w:color w:val="000000" w:themeColor="text1"/>
              </w:rPr>
              <w:t>91.11</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挥发性酚类</w:t>
            </w:r>
          </w:p>
        </w:tc>
        <w:tc>
          <w:tcPr>
            <w:tcW w:w="1276" w:type="dxa"/>
            <w:vAlign w:val="center"/>
          </w:tcPr>
          <w:p>
            <w:pPr>
              <w:pStyle w:val="55"/>
              <w:rPr>
                <w:color w:val="000000" w:themeColor="text1"/>
              </w:rPr>
            </w:pPr>
            <w:r>
              <w:rPr>
                <w:rFonts w:hint="eastAsia"/>
                <w:color w:val="000000" w:themeColor="text1"/>
              </w:rPr>
              <w:t>0.0003L</w:t>
            </w:r>
          </w:p>
        </w:tc>
        <w:tc>
          <w:tcPr>
            <w:tcW w:w="1275" w:type="dxa"/>
            <w:vAlign w:val="center"/>
          </w:tcPr>
          <w:p>
            <w:pPr>
              <w:pStyle w:val="55"/>
              <w:rPr>
                <w:color w:val="000000" w:themeColor="text1"/>
              </w:rPr>
            </w:pPr>
            <w:r>
              <w:rPr>
                <w:rFonts w:hint="eastAsia"/>
                <w:color w:val="000000" w:themeColor="text1"/>
              </w:rPr>
              <w:t>0.0003L</w:t>
            </w:r>
          </w:p>
        </w:tc>
        <w:tc>
          <w:tcPr>
            <w:tcW w:w="1276" w:type="dxa"/>
            <w:vAlign w:val="center"/>
          </w:tcPr>
          <w:p>
            <w:pPr>
              <w:pStyle w:val="55"/>
              <w:rPr>
                <w:color w:val="000000" w:themeColor="text1"/>
              </w:rPr>
            </w:pPr>
            <w:r>
              <w:rPr>
                <w:rFonts w:hint="eastAsia"/>
                <w:color w:val="000000" w:themeColor="text1"/>
              </w:rPr>
              <w:t>0.0003L</w:t>
            </w:r>
          </w:p>
        </w:tc>
        <w:tc>
          <w:tcPr>
            <w:tcW w:w="992" w:type="dxa"/>
            <w:vAlign w:val="center"/>
          </w:tcPr>
          <w:p>
            <w:pPr>
              <w:pStyle w:val="55"/>
              <w:rPr>
                <w:color w:val="000000" w:themeColor="text1"/>
              </w:rPr>
            </w:pPr>
            <w:r>
              <w:rPr>
                <w:color w:val="000000" w:themeColor="text1"/>
              </w:rPr>
              <w:t>≤0.002</w:t>
            </w:r>
          </w:p>
        </w:tc>
        <w:tc>
          <w:tcPr>
            <w:tcW w:w="851" w:type="dxa"/>
            <w:vAlign w:val="center"/>
          </w:tcPr>
          <w:p>
            <w:pPr>
              <w:pStyle w:val="55"/>
              <w:rPr>
                <w:color w:val="000000" w:themeColor="text1"/>
              </w:rPr>
            </w:pPr>
            <w:r>
              <w:rPr>
                <w:rFonts w:hint="eastAsia"/>
                <w:color w:val="000000" w:themeColor="text1"/>
              </w:rPr>
              <w:t>/</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硝酸盐</w:t>
            </w:r>
          </w:p>
        </w:tc>
        <w:tc>
          <w:tcPr>
            <w:tcW w:w="1276" w:type="dxa"/>
            <w:vAlign w:val="center"/>
          </w:tcPr>
          <w:p>
            <w:pPr>
              <w:pStyle w:val="55"/>
              <w:rPr>
                <w:color w:val="000000" w:themeColor="text1"/>
              </w:rPr>
            </w:pPr>
            <w:r>
              <w:rPr>
                <w:rFonts w:hint="eastAsia"/>
                <w:color w:val="000000" w:themeColor="text1"/>
              </w:rPr>
              <w:t>1.23</w:t>
            </w:r>
          </w:p>
        </w:tc>
        <w:tc>
          <w:tcPr>
            <w:tcW w:w="1275" w:type="dxa"/>
            <w:vAlign w:val="center"/>
          </w:tcPr>
          <w:p>
            <w:pPr>
              <w:pStyle w:val="55"/>
              <w:rPr>
                <w:color w:val="000000" w:themeColor="text1"/>
              </w:rPr>
            </w:pPr>
            <w:r>
              <w:rPr>
                <w:rFonts w:hint="eastAsia"/>
                <w:color w:val="000000" w:themeColor="text1"/>
              </w:rPr>
              <w:t>0.833</w:t>
            </w:r>
          </w:p>
        </w:tc>
        <w:tc>
          <w:tcPr>
            <w:tcW w:w="1276" w:type="dxa"/>
            <w:vAlign w:val="center"/>
          </w:tcPr>
          <w:p>
            <w:pPr>
              <w:pStyle w:val="55"/>
              <w:rPr>
                <w:color w:val="000000" w:themeColor="text1"/>
              </w:rPr>
            </w:pPr>
            <w:r>
              <w:rPr>
                <w:rFonts w:hint="eastAsia"/>
                <w:color w:val="000000" w:themeColor="text1"/>
              </w:rPr>
              <w:t>0.973</w:t>
            </w:r>
          </w:p>
        </w:tc>
        <w:tc>
          <w:tcPr>
            <w:tcW w:w="992" w:type="dxa"/>
            <w:vAlign w:val="center"/>
          </w:tcPr>
          <w:p>
            <w:pPr>
              <w:pStyle w:val="55"/>
              <w:rPr>
                <w:color w:val="000000" w:themeColor="text1"/>
              </w:rPr>
            </w:pPr>
            <w:r>
              <w:rPr>
                <w:color w:val="000000" w:themeColor="text1"/>
              </w:rPr>
              <w:t>≤20</w:t>
            </w:r>
            <w:r>
              <w:rPr>
                <w:rFonts w:hint="eastAsia"/>
                <w:color w:val="000000" w:themeColor="text1"/>
              </w:rPr>
              <w:t>.0</w:t>
            </w:r>
          </w:p>
        </w:tc>
        <w:tc>
          <w:tcPr>
            <w:tcW w:w="851" w:type="dxa"/>
            <w:vAlign w:val="center"/>
          </w:tcPr>
          <w:p>
            <w:pPr>
              <w:pStyle w:val="55"/>
              <w:rPr>
                <w:color w:val="000000" w:themeColor="text1"/>
              </w:rPr>
            </w:pPr>
            <w:r>
              <w:rPr>
                <w:color w:val="000000" w:themeColor="text1"/>
              </w:rPr>
              <w:t>6.15</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亚硝酸盐</w:t>
            </w:r>
          </w:p>
        </w:tc>
        <w:tc>
          <w:tcPr>
            <w:tcW w:w="1276" w:type="dxa"/>
            <w:vAlign w:val="center"/>
          </w:tcPr>
          <w:p>
            <w:pPr>
              <w:pStyle w:val="55"/>
              <w:rPr>
                <w:color w:val="000000" w:themeColor="text1"/>
              </w:rPr>
            </w:pPr>
            <w:r>
              <w:rPr>
                <w:rFonts w:hint="eastAsia"/>
                <w:color w:val="000000" w:themeColor="text1"/>
              </w:rPr>
              <w:t>0.289</w:t>
            </w:r>
          </w:p>
        </w:tc>
        <w:tc>
          <w:tcPr>
            <w:tcW w:w="1275" w:type="dxa"/>
            <w:vAlign w:val="center"/>
          </w:tcPr>
          <w:p>
            <w:pPr>
              <w:pStyle w:val="55"/>
              <w:rPr>
                <w:color w:val="000000" w:themeColor="text1"/>
              </w:rPr>
            </w:pPr>
            <w:r>
              <w:rPr>
                <w:rFonts w:hint="eastAsia"/>
                <w:color w:val="000000" w:themeColor="text1"/>
              </w:rPr>
              <w:t>0.076</w:t>
            </w:r>
          </w:p>
        </w:tc>
        <w:tc>
          <w:tcPr>
            <w:tcW w:w="1276" w:type="dxa"/>
            <w:vAlign w:val="center"/>
          </w:tcPr>
          <w:p>
            <w:pPr>
              <w:pStyle w:val="55"/>
              <w:rPr>
                <w:color w:val="000000" w:themeColor="text1"/>
              </w:rPr>
            </w:pPr>
            <w:r>
              <w:rPr>
                <w:rFonts w:hint="eastAsia"/>
                <w:color w:val="000000" w:themeColor="text1"/>
              </w:rPr>
              <w:t>0.254</w:t>
            </w:r>
          </w:p>
        </w:tc>
        <w:tc>
          <w:tcPr>
            <w:tcW w:w="992" w:type="dxa"/>
            <w:vAlign w:val="center"/>
          </w:tcPr>
          <w:p>
            <w:pPr>
              <w:pStyle w:val="55"/>
              <w:rPr>
                <w:color w:val="000000" w:themeColor="text1"/>
              </w:rPr>
            </w:pPr>
            <w:r>
              <w:rPr>
                <w:color w:val="000000" w:themeColor="text1"/>
              </w:rPr>
              <w:t>≤1.0</w:t>
            </w:r>
          </w:p>
        </w:tc>
        <w:tc>
          <w:tcPr>
            <w:tcW w:w="851" w:type="dxa"/>
            <w:vAlign w:val="center"/>
          </w:tcPr>
          <w:p>
            <w:pPr>
              <w:pStyle w:val="55"/>
              <w:rPr>
                <w:color w:val="000000" w:themeColor="text1"/>
              </w:rPr>
            </w:pPr>
            <w:r>
              <w:rPr>
                <w:color w:val="000000" w:themeColor="text1"/>
              </w:rPr>
              <w:t>28.9</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细菌总数</w:t>
            </w:r>
          </w:p>
        </w:tc>
        <w:tc>
          <w:tcPr>
            <w:tcW w:w="1276" w:type="dxa"/>
            <w:vAlign w:val="center"/>
          </w:tcPr>
          <w:p>
            <w:pPr>
              <w:pStyle w:val="55"/>
              <w:rPr>
                <w:color w:val="000000" w:themeColor="text1"/>
              </w:rPr>
            </w:pPr>
            <w:r>
              <w:rPr>
                <w:rFonts w:hint="eastAsia"/>
                <w:color w:val="000000" w:themeColor="text1"/>
              </w:rPr>
              <w:t>80</w:t>
            </w:r>
          </w:p>
        </w:tc>
        <w:tc>
          <w:tcPr>
            <w:tcW w:w="1275" w:type="dxa"/>
            <w:vAlign w:val="center"/>
          </w:tcPr>
          <w:p>
            <w:pPr>
              <w:pStyle w:val="55"/>
              <w:rPr>
                <w:color w:val="000000" w:themeColor="text1"/>
              </w:rPr>
            </w:pPr>
            <w:r>
              <w:rPr>
                <w:rFonts w:hint="eastAsia"/>
                <w:color w:val="000000" w:themeColor="text1"/>
              </w:rPr>
              <w:t>80</w:t>
            </w:r>
          </w:p>
        </w:tc>
        <w:tc>
          <w:tcPr>
            <w:tcW w:w="1276" w:type="dxa"/>
            <w:vAlign w:val="center"/>
          </w:tcPr>
          <w:p>
            <w:pPr>
              <w:pStyle w:val="55"/>
              <w:rPr>
                <w:color w:val="000000" w:themeColor="text1"/>
              </w:rPr>
            </w:pPr>
            <w:r>
              <w:rPr>
                <w:rFonts w:hint="eastAsia"/>
                <w:color w:val="000000" w:themeColor="text1"/>
              </w:rPr>
              <w:t>80</w:t>
            </w:r>
          </w:p>
        </w:tc>
        <w:tc>
          <w:tcPr>
            <w:tcW w:w="992" w:type="dxa"/>
            <w:vAlign w:val="center"/>
          </w:tcPr>
          <w:p>
            <w:pPr>
              <w:pStyle w:val="55"/>
              <w:rPr>
                <w:color w:val="000000" w:themeColor="text1"/>
              </w:rPr>
            </w:pPr>
            <w:r>
              <w:rPr>
                <w:color w:val="000000" w:themeColor="text1"/>
              </w:rPr>
              <w:t>≤100</w:t>
            </w:r>
          </w:p>
        </w:tc>
        <w:tc>
          <w:tcPr>
            <w:tcW w:w="851" w:type="dxa"/>
            <w:vAlign w:val="center"/>
          </w:tcPr>
          <w:p>
            <w:pPr>
              <w:pStyle w:val="55"/>
              <w:rPr>
                <w:color w:val="000000" w:themeColor="text1"/>
              </w:rPr>
            </w:pPr>
            <w:r>
              <w:rPr>
                <w:color w:val="000000" w:themeColor="text1"/>
              </w:rPr>
              <w:t>80</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总大肠菌群</w:t>
            </w:r>
          </w:p>
        </w:tc>
        <w:tc>
          <w:tcPr>
            <w:tcW w:w="1276" w:type="dxa"/>
            <w:vAlign w:val="center"/>
          </w:tcPr>
          <w:p>
            <w:pPr>
              <w:pStyle w:val="55"/>
              <w:rPr>
                <w:color w:val="000000" w:themeColor="text1"/>
              </w:rPr>
            </w:pPr>
            <w:r>
              <w:rPr>
                <w:rFonts w:hint="eastAsia"/>
                <w:color w:val="000000" w:themeColor="text1"/>
              </w:rPr>
              <w:t>2</w:t>
            </w:r>
          </w:p>
        </w:tc>
        <w:tc>
          <w:tcPr>
            <w:tcW w:w="1275" w:type="dxa"/>
            <w:vAlign w:val="center"/>
          </w:tcPr>
          <w:p>
            <w:pPr>
              <w:pStyle w:val="55"/>
              <w:rPr>
                <w:color w:val="000000" w:themeColor="text1"/>
              </w:rPr>
            </w:pPr>
            <w:r>
              <w:rPr>
                <w:rFonts w:hint="eastAsia"/>
                <w:color w:val="000000" w:themeColor="text1"/>
              </w:rPr>
              <w:t>2</w:t>
            </w:r>
          </w:p>
        </w:tc>
        <w:tc>
          <w:tcPr>
            <w:tcW w:w="1276" w:type="dxa"/>
            <w:vAlign w:val="center"/>
          </w:tcPr>
          <w:p>
            <w:pPr>
              <w:pStyle w:val="55"/>
              <w:rPr>
                <w:color w:val="000000" w:themeColor="text1"/>
              </w:rPr>
            </w:pPr>
            <w:r>
              <w:rPr>
                <w:rFonts w:hint="eastAsia"/>
                <w:color w:val="000000" w:themeColor="text1"/>
              </w:rPr>
              <w:t>2</w:t>
            </w:r>
          </w:p>
        </w:tc>
        <w:tc>
          <w:tcPr>
            <w:tcW w:w="992" w:type="dxa"/>
            <w:vAlign w:val="center"/>
          </w:tcPr>
          <w:p>
            <w:pPr>
              <w:pStyle w:val="55"/>
              <w:rPr>
                <w:color w:val="000000" w:themeColor="text1"/>
              </w:rPr>
            </w:pPr>
            <w:r>
              <w:rPr>
                <w:color w:val="000000" w:themeColor="text1"/>
              </w:rPr>
              <w:t>≤3.0</w:t>
            </w:r>
          </w:p>
        </w:tc>
        <w:tc>
          <w:tcPr>
            <w:tcW w:w="851" w:type="dxa"/>
            <w:vAlign w:val="center"/>
          </w:tcPr>
          <w:p>
            <w:pPr>
              <w:pStyle w:val="55"/>
              <w:rPr>
                <w:color w:val="000000" w:themeColor="text1"/>
              </w:rPr>
            </w:pPr>
            <w:r>
              <w:rPr>
                <w:color w:val="000000" w:themeColor="text1"/>
              </w:rPr>
              <w:t>66.67</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氯化物</w:t>
            </w:r>
          </w:p>
        </w:tc>
        <w:tc>
          <w:tcPr>
            <w:tcW w:w="1276" w:type="dxa"/>
            <w:vAlign w:val="center"/>
          </w:tcPr>
          <w:p>
            <w:pPr>
              <w:pStyle w:val="55"/>
              <w:rPr>
                <w:color w:val="000000" w:themeColor="text1"/>
              </w:rPr>
            </w:pPr>
            <w:r>
              <w:rPr>
                <w:rFonts w:hint="eastAsia"/>
                <w:color w:val="000000" w:themeColor="text1"/>
              </w:rPr>
              <w:t>8.90</w:t>
            </w:r>
          </w:p>
        </w:tc>
        <w:tc>
          <w:tcPr>
            <w:tcW w:w="1275" w:type="dxa"/>
            <w:vAlign w:val="center"/>
          </w:tcPr>
          <w:p>
            <w:pPr>
              <w:pStyle w:val="55"/>
              <w:rPr>
                <w:color w:val="000000" w:themeColor="text1"/>
              </w:rPr>
            </w:pPr>
            <w:r>
              <w:rPr>
                <w:rFonts w:hint="eastAsia"/>
                <w:color w:val="000000" w:themeColor="text1"/>
              </w:rPr>
              <w:t>9.44</w:t>
            </w:r>
          </w:p>
        </w:tc>
        <w:tc>
          <w:tcPr>
            <w:tcW w:w="1276" w:type="dxa"/>
            <w:vAlign w:val="center"/>
          </w:tcPr>
          <w:p>
            <w:pPr>
              <w:pStyle w:val="55"/>
              <w:rPr>
                <w:color w:val="000000" w:themeColor="text1"/>
              </w:rPr>
            </w:pPr>
            <w:r>
              <w:rPr>
                <w:rFonts w:hint="eastAsia"/>
                <w:color w:val="000000" w:themeColor="text1"/>
              </w:rPr>
              <w:t>8.55</w:t>
            </w:r>
          </w:p>
        </w:tc>
        <w:tc>
          <w:tcPr>
            <w:tcW w:w="992" w:type="dxa"/>
            <w:vAlign w:val="center"/>
          </w:tcPr>
          <w:p>
            <w:pPr>
              <w:pStyle w:val="55"/>
              <w:rPr>
                <w:color w:val="000000" w:themeColor="text1"/>
              </w:rPr>
            </w:pPr>
            <w:r>
              <w:rPr>
                <w:color w:val="000000" w:themeColor="text1"/>
              </w:rPr>
              <w:t>≤250</w:t>
            </w:r>
          </w:p>
        </w:tc>
        <w:tc>
          <w:tcPr>
            <w:tcW w:w="851" w:type="dxa"/>
            <w:vAlign w:val="center"/>
          </w:tcPr>
          <w:p>
            <w:pPr>
              <w:pStyle w:val="55"/>
              <w:rPr>
                <w:color w:val="000000" w:themeColor="text1"/>
              </w:rPr>
            </w:pPr>
            <w:r>
              <w:rPr>
                <w:color w:val="000000" w:themeColor="text1"/>
              </w:rPr>
              <w:t>3.7</w:t>
            </w:r>
            <w:r>
              <w:rPr>
                <w:rFonts w:hint="eastAsia"/>
                <w:color w:val="000000" w:themeColor="text1"/>
              </w:rPr>
              <w:t>8</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硫酸盐</w:t>
            </w:r>
          </w:p>
        </w:tc>
        <w:tc>
          <w:tcPr>
            <w:tcW w:w="1276" w:type="dxa"/>
            <w:vAlign w:val="center"/>
          </w:tcPr>
          <w:p>
            <w:pPr>
              <w:pStyle w:val="55"/>
              <w:rPr>
                <w:color w:val="000000" w:themeColor="text1"/>
              </w:rPr>
            </w:pPr>
            <w:r>
              <w:rPr>
                <w:rFonts w:hint="eastAsia"/>
                <w:color w:val="000000" w:themeColor="text1"/>
              </w:rPr>
              <w:t>191</w:t>
            </w:r>
          </w:p>
        </w:tc>
        <w:tc>
          <w:tcPr>
            <w:tcW w:w="1275" w:type="dxa"/>
            <w:vAlign w:val="center"/>
          </w:tcPr>
          <w:p>
            <w:pPr>
              <w:pStyle w:val="55"/>
              <w:rPr>
                <w:color w:val="000000" w:themeColor="text1"/>
              </w:rPr>
            </w:pPr>
            <w:r>
              <w:rPr>
                <w:rFonts w:hint="eastAsia"/>
                <w:color w:val="000000" w:themeColor="text1"/>
              </w:rPr>
              <w:t>191</w:t>
            </w:r>
          </w:p>
        </w:tc>
        <w:tc>
          <w:tcPr>
            <w:tcW w:w="1276" w:type="dxa"/>
            <w:vAlign w:val="center"/>
          </w:tcPr>
          <w:p>
            <w:pPr>
              <w:pStyle w:val="55"/>
              <w:rPr>
                <w:color w:val="000000" w:themeColor="text1"/>
              </w:rPr>
            </w:pPr>
            <w:r>
              <w:rPr>
                <w:rFonts w:hint="eastAsia"/>
                <w:color w:val="000000" w:themeColor="text1"/>
              </w:rPr>
              <w:t>189</w:t>
            </w:r>
          </w:p>
        </w:tc>
        <w:tc>
          <w:tcPr>
            <w:tcW w:w="992" w:type="dxa"/>
            <w:vAlign w:val="center"/>
          </w:tcPr>
          <w:p>
            <w:pPr>
              <w:pStyle w:val="55"/>
              <w:rPr>
                <w:color w:val="000000" w:themeColor="text1"/>
              </w:rPr>
            </w:pPr>
            <w:r>
              <w:rPr>
                <w:color w:val="000000" w:themeColor="text1"/>
              </w:rPr>
              <w:t>≤250</w:t>
            </w:r>
          </w:p>
        </w:tc>
        <w:tc>
          <w:tcPr>
            <w:tcW w:w="851" w:type="dxa"/>
            <w:vAlign w:val="center"/>
          </w:tcPr>
          <w:p>
            <w:pPr>
              <w:pStyle w:val="55"/>
              <w:rPr>
                <w:color w:val="000000" w:themeColor="text1"/>
              </w:rPr>
            </w:pPr>
            <w:r>
              <w:rPr>
                <w:color w:val="000000" w:themeColor="text1"/>
              </w:rPr>
              <w:t>76.4</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氨氮</w:t>
            </w:r>
          </w:p>
        </w:tc>
        <w:tc>
          <w:tcPr>
            <w:tcW w:w="1276" w:type="dxa"/>
            <w:vAlign w:val="center"/>
          </w:tcPr>
          <w:p>
            <w:pPr>
              <w:pStyle w:val="55"/>
              <w:rPr>
                <w:color w:val="000000" w:themeColor="text1"/>
              </w:rPr>
            </w:pPr>
            <w:r>
              <w:rPr>
                <w:rFonts w:hint="eastAsia"/>
                <w:color w:val="000000" w:themeColor="text1"/>
              </w:rPr>
              <w:t>0.025L</w:t>
            </w:r>
          </w:p>
        </w:tc>
        <w:tc>
          <w:tcPr>
            <w:tcW w:w="1275" w:type="dxa"/>
            <w:vAlign w:val="center"/>
          </w:tcPr>
          <w:p>
            <w:pPr>
              <w:pStyle w:val="55"/>
              <w:rPr>
                <w:color w:val="000000" w:themeColor="text1"/>
              </w:rPr>
            </w:pPr>
            <w:r>
              <w:rPr>
                <w:rFonts w:hint="eastAsia"/>
                <w:color w:val="000000" w:themeColor="text1"/>
              </w:rPr>
              <w:t>0.025L</w:t>
            </w:r>
          </w:p>
        </w:tc>
        <w:tc>
          <w:tcPr>
            <w:tcW w:w="1276" w:type="dxa"/>
            <w:vAlign w:val="center"/>
          </w:tcPr>
          <w:p>
            <w:pPr>
              <w:pStyle w:val="55"/>
              <w:rPr>
                <w:color w:val="000000" w:themeColor="text1"/>
              </w:rPr>
            </w:pPr>
            <w:r>
              <w:rPr>
                <w:rFonts w:hint="eastAsia"/>
                <w:color w:val="000000" w:themeColor="text1"/>
              </w:rPr>
              <w:t>0.025L</w:t>
            </w:r>
          </w:p>
        </w:tc>
        <w:tc>
          <w:tcPr>
            <w:tcW w:w="992" w:type="dxa"/>
            <w:vAlign w:val="center"/>
          </w:tcPr>
          <w:p>
            <w:pPr>
              <w:pStyle w:val="55"/>
              <w:rPr>
                <w:color w:val="000000" w:themeColor="text1"/>
              </w:rPr>
            </w:pPr>
            <w:r>
              <w:rPr>
                <w:color w:val="000000" w:themeColor="text1"/>
              </w:rPr>
              <w:t>≤0.5</w:t>
            </w:r>
          </w:p>
        </w:tc>
        <w:tc>
          <w:tcPr>
            <w:tcW w:w="851" w:type="dxa"/>
            <w:vAlign w:val="center"/>
          </w:tcPr>
          <w:p>
            <w:pPr>
              <w:pStyle w:val="55"/>
              <w:rPr>
                <w:color w:val="000000" w:themeColor="text1"/>
              </w:rPr>
            </w:pPr>
            <w:r>
              <w:rPr>
                <w:rFonts w:hint="eastAsia"/>
                <w:color w:val="000000" w:themeColor="text1"/>
              </w:rPr>
              <w:t>/</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氰化物</w:t>
            </w:r>
          </w:p>
        </w:tc>
        <w:tc>
          <w:tcPr>
            <w:tcW w:w="1276" w:type="dxa"/>
            <w:vAlign w:val="center"/>
          </w:tcPr>
          <w:p>
            <w:pPr>
              <w:pStyle w:val="55"/>
              <w:rPr>
                <w:color w:val="000000" w:themeColor="text1"/>
              </w:rPr>
            </w:pPr>
            <w:r>
              <w:rPr>
                <w:rFonts w:hint="eastAsia"/>
                <w:color w:val="000000" w:themeColor="text1"/>
              </w:rPr>
              <w:t>0.001L</w:t>
            </w:r>
          </w:p>
        </w:tc>
        <w:tc>
          <w:tcPr>
            <w:tcW w:w="1275" w:type="dxa"/>
            <w:vAlign w:val="center"/>
          </w:tcPr>
          <w:p>
            <w:pPr>
              <w:pStyle w:val="55"/>
              <w:rPr>
                <w:color w:val="000000" w:themeColor="text1"/>
              </w:rPr>
            </w:pPr>
            <w:r>
              <w:rPr>
                <w:rFonts w:hint="eastAsia"/>
                <w:color w:val="000000" w:themeColor="text1"/>
              </w:rPr>
              <w:t>0.001L</w:t>
            </w:r>
          </w:p>
        </w:tc>
        <w:tc>
          <w:tcPr>
            <w:tcW w:w="1276" w:type="dxa"/>
            <w:vAlign w:val="center"/>
          </w:tcPr>
          <w:p>
            <w:pPr>
              <w:pStyle w:val="55"/>
              <w:rPr>
                <w:color w:val="000000" w:themeColor="text1"/>
              </w:rPr>
            </w:pPr>
            <w:r>
              <w:rPr>
                <w:rFonts w:hint="eastAsia"/>
                <w:color w:val="000000" w:themeColor="text1"/>
              </w:rPr>
              <w:t>0.001L</w:t>
            </w:r>
          </w:p>
        </w:tc>
        <w:tc>
          <w:tcPr>
            <w:tcW w:w="992" w:type="dxa"/>
            <w:vAlign w:val="center"/>
          </w:tcPr>
          <w:p>
            <w:pPr>
              <w:pStyle w:val="55"/>
              <w:rPr>
                <w:color w:val="000000" w:themeColor="text1"/>
              </w:rPr>
            </w:pPr>
            <w:r>
              <w:rPr>
                <w:color w:val="000000" w:themeColor="text1"/>
              </w:rPr>
              <w:t>≤0.05</w:t>
            </w:r>
          </w:p>
        </w:tc>
        <w:tc>
          <w:tcPr>
            <w:tcW w:w="851" w:type="dxa"/>
            <w:vAlign w:val="center"/>
          </w:tcPr>
          <w:p>
            <w:pPr>
              <w:pStyle w:val="55"/>
              <w:rPr>
                <w:color w:val="000000" w:themeColor="text1"/>
              </w:rPr>
            </w:pPr>
            <w:r>
              <w:rPr>
                <w:rFonts w:hint="eastAsia"/>
                <w:color w:val="000000" w:themeColor="text1"/>
              </w:rPr>
              <w:t>/</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溶解性总固体</w:t>
            </w:r>
          </w:p>
        </w:tc>
        <w:tc>
          <w:tcPr>
            <w:tcW w:w="1276" w:type="dxa"/>
            <w:vAlign w:val="center"/>
          </w:tcPr>
          <w:p>
            <w:pPr>
              <w:pStyle w:val="55"/>
              <w:rPr>
                <w:color w:val="000000" w:themeColor="text1"/>
              </w:rPr>
            </w:pPr>
            <w:r>
              <w:rPr>
                <w:rFonts w:hint="eastAsia"/>
                <w:color w:val="000000" w:themeColor="text1"/>
              </w:rPr>
              <w:t>938</w:t>
            </w:r>
          </w:p>
        </w:tc>
        <w:tc>
          <w:tcPr>
            <w:tcW w:w="1275" w:type="dxa"/>
            <w:vAlign w:val="center"/>
          </w:tcPr>
          <w:p>
            <w:pPr>
              <w:pStyle w:val="55"/>
              <w:rPr>
                <w:color w:val="000000" w:themeColor="text1"/>
              </w:rPr>
            </w:pPr>
            <w:r>
              <w:rPr>
                <w:rFonts w:hint="eastAsia"/>
                <w:color w:val="000000" w:themeColor="text1"/>
              </w:rPr>
              <w:t>945</w:t>
            </w:r>
          </w:p>
        </w:tc>
        <w:tc>
          <w:tcPr>
            <w:tcW w:w="1276" w:type="dxa"/>
            <w:vAlign w:val="center"/>
          </w:tcPr>
          <w:p>
            <w:pPr>
              <w:pStyle w:val="55"/>
              <w:rPr>
                <w:color w:val="000000" w:themeColor="text1"/>
              </w:rPr>
            </w:pPr>
            <w:r>
              <w:rPr>
                <w:rFonts w:hint="eastAsia"/>
                <w:color w:val="000000" w:themeColor="text1"/>
              </w:rPr>
              <w:t>951</w:t>
            </w:r>
          </w:p>
        </w:tc>
        <w:tc>
          <w:tcPr>
            <w:tcW w:w="992" w:type="dxa"/>
            <w:vAlign w:val="center"/>
          </w:tcPr>
          <w:p>
            <w:pPr>
              <w:pStyle w:val="55"/>
              <w:rPr>
                <w:color w:val="000000" w:themeColor="text1"/>
              </w:rPr>
            </w:pPr>
            <w:r>
              <w:rPr>
                <w:color w:val="000000" w:themeColor="text1"/>
              </w:rPr>
              <w:t>≤1000</w:t>
            </w:r>
          </w:p>
        </w:tc>
        <w:tc>
          <w:tcPr>
            <w:tcW w:w="851" w:type="dxa"/>
            <w:vAlign w:val="center"/>
          </w:tcPr>
          <w:p>
            <w:pPr>
              <w:pStyle w:val="55"/>
              <w:rPr>
                <w:color w:val="000000" w:themeColor="text1"/>
              </w:rPr>
            </w:pPr>
            <w:r>
              <w:rPr>
                <w:color w:val="000000" w:themeColor="text1"/>
              </w:rPr>
              <w:t>95.1</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铬（六价）</w:t>
            </w:r>
          </w:p>
        </w:tc>
        <w:tc>
          <w:tcPr>
            <w:tcW w:w="1276" w:type="dxa"/>
            <w:vAlign w:val="center"/>
          </w:tcPr>
          <w:p>
            <w:pPr>
              <w:pStyle w:val="55"/>
              <w:rPr>
                <w:color w:val="000000" w:themeColor="text1"/>
              </w:rPr>
            </w:pPr>
            <w:r>
              <w:rPr>
                <w:rFonts w:hint="eastAsia"/>
                <w:color w:val="000000" w:themeColor="text1"/>
              </w:rPr>
              <w:t>0.004L</w:t>
            </w:r>
          </w:p>
        </w:tc>
        <w:tc>
          <w:tcPr>
            <w:tcW w:w="1275" w:type="dxa"/>
            <w:vAlign w:val="center"/>
          </w:tcPr>
          <w:p>
            <w:pPr>
              <w:pStyle w:val="55"/>
              <w:rPr>
                <w:color w:val="000000" w:themeColor="text1"/>
              </w:rPr>
            </w:pPr>
            <w:r>
              <w:rPr>
                <w:rFonts w:hint="eastAsia"/>
                <w:color w:val="000000" w:themeColor="text1"/>
              </w:rPr>
              <w:t>0.004L</w:t>
            </w:r>
          </w:p>
        </w:tc>
        <w:tc>
          <w:tcPr>
            <w:tcW w:w="1276" w:type="dxa"/>
            <w:vAlign w:val="center"/>
          </w:tcPr>
          <w:p>
            <w:pPr>
              <w:pStyle w:val="55"/>
              <w:rPr>
                <w:color w:val="000000" w:themeColor="text1"/>
              </w:rPr>
            </w:pPr>
            <w:r>
              <w:rPr>
                <w:rFonts w:hint="eastAsia"/>
                <w:color w:val="000000" w:themeColor="text1"/>
              </w:rPr>
              <w:t>0.004L</w:t>
            </w:r>
          </w:p>
        </w:tc>
        <w:tc>
          <w:tcPr>
            <w:tcW w:w="992" w:type="dxa"/>
            <w:vAlign w:val="center"/>
          </w:tcPr>
          <w:p>
            <w:pPr>
              <w:pStyle w:val="55"/>
              <w:rPr>
                <w:color w:val="000000" w:themeColor="text1"/>
              </w:rPr>
            </w:pPr>
            <w:r>
              <w:rPr>
                <w:color w:val="000000" w:themeColor="text1"/>
              </w:rPr>
              <w:t>≤0.</w:t>
            </w:r>
            <w:r>
              <w:rPr>
                <w:rFonts w:hint="eastAsia"/>
                <w:color w:val="000000" w:themeColor="text1"/>
              </w:rPr>
              <w:t>05</w:t>
            </w:r>
          </w:p>
        </w:tc>
        <w:tc>
          <w:tcPr>
            <w:tcW w:w="851" w:type="dxa"/>
            <w:vAlign w:val="center"/>
          </w:tcPr>
          <w:p>
            <w:pPr>
              <w:pStyle w:val="55"/>
              <w:rPr>
                <w:color w:val="000000" w:themeColor="text1"/>
              </w:rPr>
            </w:pPr>
            <w:r>
              <w:rPr>
                <w:rFonts w:hint="eastAsia"/>
                <w:color w:val="000000" w:themeColor="text1"/>
              </w:rPr>
              <w:t>/</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汞（</w:t>
            </w:r>
            <w:r>
              <w:rPr>
                <w:color w:val="000000" w:themeColor="text1"/>
              </w:rPr>
              <w:t>ɥmg/L</w:t>
            </w:r>
            <w:r>
              <w:rPr>
                <w:rFonts w:hint="eastAsia"/>
                <w:color w:val="000000" w:themeColor="text1"/>
              </w:rPr>
              <w:t>）</w:t>
            </w:r>
          </w:p>
        </w:tc>
        <w:tc>
          <w:tcPr>
            <w:tcW w:w="1276" w:type="dxa"/>
            <w:vAlign w:val="center"/>
          </w:tcPr>
          <w:p>
            <w:pPr>
              <w:pStyle w:val="55"/>
              <w:rPr>
                <w:color w:val="000000" w:themeColor="text1"/>
              </w:rPr>
            </w:pPr>
            <w:r>
              <w:rPr>
                <w:rFonts w:hint="eastAsia"/>
                <w:color w:val="000000" w:themeColor="text1"/>
              </w:rPr>
              <w:t>4.00×10</w:t>
            </w:r>
            <w:r>
              <w:rPr>
                <w:rFonts w:hint="eastAsia"/>
                <w:color w:val="000000" w:themeColor="text1"/>
                <w:vertAlign w:val="superscript"/>
              </w:rPr>
              <w:t>-5</w:t>
            </w:r>
          </w:p>
        </w:tc>
        <w:tc>
          <w:tcPr>
            <w:tcW w:w="1275" w:type="dxa"/>
            <w:vAlign w:val="center"/>
          </w:tcPr>
          <w:p>
            <w:pPr>
              <w:pStyle w:val="55"/>
              <w:rPr>
                <w:color w:val="000000" w:themeColor="text1"/>
              </w:rPr>
            </w:pPr>
            <w:r>
              <w:rPr>
                <w:rFonts w:hint="eastAsia"/>
                <w:color w:val="000000" w:themeColor="text1"/>
              </w:rPr>
              <w:t>5.00×10</w:t>
            </w:r>
            <w:r>
              <w:rPr>
                <w:rFonts w:hint="eastAsia"/>
                <w:color w:val="000000" w:themeColor="text1"/>
                <w:vertAlign w:val="superscript"/>
              </w:rPr>
              <w:t>-5</w:t>
            </w:r>
          </w:p>
        </w:tc>
        <w:tc>
          <w:tcPr>
            <w:tcW w:w="1276" w:type="dxa"/>
            <w:vAlign w:val="center"/>
          </w:tcPr>
          <w:p>
            <w:pPr>
              <w:pStyle w:val="55"/>
              <w:rPr>
                <w:color w:val="000000" w:themeColor="text1"/>
              </w:rPr>
            </w:pPr>
            <w:r>
              <w:rPr>
                <w:rFonts w:hint="eastAsia"/>
                <w:color w:val="000000" w:themeColor="text1"/>
              </w:rPr>
              <w:t>8.00×10</w:t>
            </w:r>
            <w:r>
              <w:rPr>
                <w:rFonts w:hint="eastAsia"/>
                <w:color w:val="000000" w:themeColor="text1"/>
                <w:vertAlign w:val="superscript"/>
              </w:rPr>
              <w:t>-5</w:t>
            </w:r>
          </w:p>
        </w:tc>
        <w:tc>
          <w:tcPr>
            <w:tcW w:w="992" w:type="dxa"/>
            <w:vAlign w:val="center"/>
          </w:tcPr>
          <w:p>
            <w:pPr>
              <w:pStyle w:val="55"/>
              <w:rPr>
                <w:color w:val="000000" w:themeColor="text1"/>
              </w:rPr>
            </w:pPr>
            <w:r>
              <w:rPr>
                <w:color w:val="000000" w:themeColor="text1"/>
              </w:rPr>
              <w:t>≤0.001</w:t>
            </w:r>
          </w:p>
        </w:tc>
        <w:tc>
          <w:tcPr>
            <w:tcW w:w="851" w:type="dxa"/>
            <w:vAlign w:val="center"/>
          </w:tcPr>
          <w:p>
            <w:pPr>
              <w:pStyle w:val="55"/>
              <w:rPr>
                <w:color w:val="000000" w:themeColor="text1"/>
              </w:rPr>
            </w:pPr>
            <w:r>
              <w:rPr>
                <w:rFonts w:hint="eastAsia"/>
                <w:color w:val="000000" w:themeColor="text1"/>
              </w:rPr>
              <w:t>8</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砷（</w:t>
            </w:r>
            <w:r>
              <w:rPr>
                <w:color w:val="000000" w:themeColor="text1"/>
              </w:rPr>
              <w:t>ɥmg/L</w:t>
            </w:r>
            <w:r>
              <w:rPr>
                <w:rFonts w:hint="eastAsia"/>
                <w:color w:val="000000" w:themeColor="text1"/>
              </w:rPr>
              <w:t>）</w:t>
            </w:r>
          </w:p>
        </w:tc>
        <w:tc>
          <w:tcPr>
            <w:tcW w:w="1276" w:type="dxa"/>
            <w:vAlign w:val="center"/>
          </w:tcPr>
          <w:p>
            <w:pPr>
              <w:pStyle w:val="55"/>
              <w:rPr>
                <w:color w:val="000000" w:themeColor="text1"/>
              </w:rPr>
            </w:pPr>
            <w:r>
              <w:rPr>
                <w:rFonts w:hint="eastAsia"/>
                <w:color w:val="000000" w:themeColor="text1"/>
              </w:rPr>
              <w:t>3.60×10</w:t>
            </w:r>
            <w:r>
              <w:rPr>
                <w:rFonts w:hint="eastAsia"/>
                <w:color w:val="000000" w:themeColor="text1"/>
                <w:vertAlign w:val="superscript"/>
              </w:rPr>
              <w:t>-4</w:t>
            </w:r>
            <w:r>
              <w:rPr>
                <w:rFonts w:hint="eastAsia"/>
                <w:color w:val="000000" w:themeColor="text1"/>
              </w:rPr>
              <w:t>L</w:t>
            </w:r>
          </w:p>
        </w:tc>
        <w:tc>
          <w:tcPr>
            <w:tcW w:w="1275" w:type="dxa"/>
            <w:vAlign w:val="center"/>
          </w:tcPr>
          <w:p>
            <w:pPr>
              <w:pStyle w:val="55"/>
              <w:rPr>
                <w:color w:val="000000" w:themeColor="text1"/>
              </w:rPr>
            </w:pPr>
            <w:r>
              <w:rPr>
                <w:rFonts w:hint="eastAsia"/>
                <w:color w:val="000000" w:themeColor="text1"/>
              </w:rPr>
              <w:t>3.70×10</w:t>
            </w:r>
            <w:r>
              <w:rPr>
                <w:rFonts w:hint="eastAsia"/>
                <w:color w:val="000000" w:themeColor="text1"/>
                <w:vertAlign w:val="superscript"/>
              </w:rPr>
              <w:t>-4</w:t>
            </w:r>
            <w:r>
              <w:rPr>
                <w:rFonts w:hint="eastAsia"/>
                <w:color w:val="000000" w:themeColor="text1"/>
              </w:rPr>
              <w:t>L</w:t>
            </w:r>
          </w:p>
        </w:tc>
        <w:tc>
          <w:tcPr>
            <w:tcW w:w="1276" w:type="dxa"/>
            <w:vAlign w:val="center"/>
          </w:tcPr>
          <w:p>
            <w:pPr>
              <w:pStyle w:val="55"/>
              <w:rPr>
                <w:color w:val="000000" w:themeColor="text1"/>
              </w:rPr>
            </w:pPr>
            <w:r>
              <w:rPr>
                <w:rFonts w:hint="eastAsia"/>
                <w:color w:val="000000" w:themeColor="text1"/>
              </w:rPr>
              <w:t>3.50×10</w:t>
            </w:r>
            <w:r>
              <w:rPr>
                <w:rFonts w:hint="eastAsia"/>
                <w:color w:val="000000" w:themeColor="text1"/>
                <w:vertAlign w:val="superscript"/>
              </w:rPr>
              <w:t>-4</w:t>
            </w:r>
            <w:r>
              <w:rPr>
                <w:rFonts w:hint="eastAsia"/>
                <w:color w:val="000000" w:themeColor="text1"/>
              </w:rPr>
              <w:t>L</w:t>
            </w:r>
          </w:p>
        </w:tc>
        <w:tc>
          <w:tcPr>
            <w:tcW w:w="992" w:type="dxa"/>
            <w:vAlign w:val="center"/>
          </w:tcPr>
          <w:p>
            <w:pPr>
              <w:pStyle w:val="55"/>
              <w:rPr>
                <w:color w:val="000000" w:themeColor="text1"/>
              </w:rPr>
            </w:pPr>
            <w:r>
              <w:rPr>
                <w:color w:val="000000" w:themeColor="text1"/>
              </w:rPr>
              <w:t>≤0.0</w:t>
            </w:r>
            <w:r>
              <w:rPr>
                <w:rFonts w:hint="eastAsia"/>
                <w:color w:val="000000" w:themeColor="text1"/>
              </w:rPr>
              <w:t>1</w:t>
            </w:r>
          </w:p>
        </w:tc>
        <w:tc>
          <w:tcPr>
            <w:tcW w:w="851" w:type="dxa"/>
            <w:vAlign w:val="center"/>
          </w:tcPr>
          <w:p>
            <w:pPr>
              <w:pStyle w:val="55"/>
              <w:rPr>
                <w:color w:val="000000" w:themeColor="text1"/>
              </w:rPr>
            </w:pPr>
            <w:r>
              <w:rPr>
                <w:rFonts w:hint="eastAsia"/>
                <w:color w:val="000000" w:themeColor="text1"/>
              </w:rPr>
              <w:t>/</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铅</w:t>
            </w:r>
          </w:p>
        </w:tc>
        <w:tc>
          <w:tcPr>
            <w:tcW w:w="1276" w:type="dxa"/>
            <w:vAlign w:val="center"/>
          </w:tcPr>
          <w:p>
            <w:pPr>
              <w:pStyle w:val="55"/>
              <w:rPr>
                <w:color w:val="000000" w:themeColor="text1"/>
              </w:rPr>
            </w:pPr>
            <w:r>
              <w:rPr>
                <w:rFonts w:hint="eastAsia"/>
                <w:color w:val="000000" w:themeColor="text1"/>
              </w:rPr>
              <w:t>2.31×10</w:t>
            </w:r>
            <w:r>
              <w:rPr>
                <w:rFonts w:hint="eastAsia"/>
                <w:color w:val="000000" w:themeColor="text1"/>
                <w:vertAlign w:val="superscript"/>
              </w:rPr>
              <w:t>-3</w:t>
            </w:r>
          </w:p>
        </w:tc>
        <w:tc>
          <w:tcPr>
            <w:tcW w:w="1275" w:type="dxa"/>
            <w:vAlign w:val="center"/>
          </w:tcPr>
          <w:p>
            <w:pPr>
              <w:pStyle w:val="55"/>
              <w:rPr>
                <w:color w:val="000000" w:themeColor="text1"/>
              </w:rPr>
            </w:pPr>
            <w:r>
              <w:rPr>
                <w:rFonts w:hint="eastAsia"/>
                <w:color w:val="000000" w:themeColor="text1"/>
              </w:rPr>
              <w:t>1.23×10</w:t>
            </w:r>
            <w:r>
              <w:rPr>
                <w:rFonts w:hint="eastAsia"/>
                <w:color w:val="000000" w:themeColor="text1"/>
                <w:vertAlign w:val="superscript"/>
              </w:rPr>
              <w:t>-3</w:t>
            </w:r>
          </w:p>
        </w:tc>
        <w:tc>
          <w:tcPr>
            <w:tcW w:w="1276" w:type="dxa"/>
            <w:vAlign w:val="center"/>
          </w:tcPr>
          <w:p>
            <w:pPr>
              <w:pStyle w:val="55"/>
              <w:rPr>
                <w:color w:val="000000" w:themeColor="text1"/>
              </w:rPr>
            </w:pPr>
            <w:r>
              <w:rPr>
                <w:rFonts w:hint="eastAsia"/>
                <w:color w:val="000000" w:themeColor="text1"/>
              </w:rPr>
              <w:t>3.11×10</w:t>
            </w:r>
            <w:r>
              <w:rPr>
                <w:rFonts w:hint="eastAsia"/>
                <w:color w:val="000000" w:themeColor="text1"/>
                <w:vertAlign w:val="superscript"/>
              </w:rPr>
              <w:t>-3</w:t>
            </w:r>
          </w:p>
        </w:tc>
        <w:tc>
          <w:tcPr>
            <w:tcW w:w="992" w:type="dxa"/>
            <w:vAlign w:val="center"/>
          </w:tcPr>
          <w:p>
            <w:pPr>
              <w:pStyle w:val="55"/>
              <w:rPr>
                <w:color w:val="000000" w:themeColor="text1"/>
              </w:rPr>
            </w:pPr>
            <w:r>
              <w:rPr>
                <w:color w:val="000000" w:themeColor="text1"/>
              </w:rPr>
              <w:t>≤0.0</w:t>
            </w:r>
            <w:r>
              <w:rPr>
                <w:rFonts w:hint="eastAsia"/>
                <w:color w:val="000000" w:themeColor="text1"/>
              </w:rPr>
              <w:t>1</w:t>
            </w:r>
          </w:p>
        </w:tc>
        <w:tc>
          <w:tcPr>
            <w:tcW w:w="851" w:type="dxa"/>
            <w:vAlign w:val="center"/>
          </w:tcPr>
          <w:p>
            <w:pPr>
              <w:pStyle w:val="55"/>
              <w:rPr>
                <w:color w:val="000000" w:themeColor="text1"/>
              </w:rPr>
            </w:pPr>
            <w:r>
              <w:rPr>
                <w:rFonts w:hint="eastAsia"/>
                <w:color w:val="000000" w:themeColor="text1"/>
              </w:rPr>
              <w:t>31.1</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镉</w:t>
            </w:r>
          </w:p>
        </w:tc>
        <w:tc>
          <w:tcPr>
            <w:tcW w:w="1276" w:type="dxa"/>
            <w:vAlign w:val="center"/>
          </w:tcPr>
          <w:p>
            <w:pPr>
              <w:pStyle w:val="55"/>
              <w:rPr>
                <w:color w:val="000000" w:themeColor="text1"/>
              </w:rPr>
            </w:pPr>
            <w:r>
              <w:rPr>
                <w:rFonts w:hint="eastAsia"/>
                <w:color w:val="000000" w:themeColor="text1"/>
              </w:rPr>
              <w:t>1.00×10</w:t>
            </w:r>
            <w:r>
              <w:rPr>
                <w:rFonts w:hint="eastAsia"/>
                <w:color w:val="000000" w:themeColor="text1"/>
                <w:vertAlign w:val="superscript"/>
              </w:rPr>
              <w:t>-4</w:t>
            </w:r>
            <w:r>
              <w:rPr>
                <w:rFonts w:hint="eastAsia"/>
                <w:color w:val="000000" w:themeColor="text1"/>
              </w:rPr>
              <w:t>L</w:t>
            </w:r>
          </w:p>
        </w:tc>
        <w:tc>
          <w:tcPr>
            <w:tcW w:w="1275" w:type="dxa"/>
            <w:vAlign w:val="center"/>
          </w:tcPr>
          <w:p>
            <w:pPr>
              <w:pStyle w:val="55"/>
              <w:rPr>
                <w:color w:val="000000" w:themeColor="text1"/>
              </w:rPr>
            </w:pPr>
            <w:r>
              <w:rPr>
                <w:rFonts w:hint="eastAsia"/>
                <w:color w:val="000000" w:themeColor="text1"/>
              </w:rPr>
              <w:t>1.00×10</w:t>
            </w:r>
            <w:r>
              <w:rPr>
                <w:rFonts w:hint="eastAsia"/>
                <w:color w:val="000000" w:themeColor="text1"/>
                <w:vertAlign w:val="superscript"/>
              </w:rPr>
              <w:t>-4</w:t>
            </w:r>
            <w:r>
              <w:rPr>
                <w:rFonts w:hint="eastAsia"/>
                <w:color w:val="000000" w:themeColor="text1"/>
              </w:rPr>
              <w:t>L</w:t>
            </w:r>
          </w:p>
        </w:tc>
        <w:tc>
          <w:tcPr>
            <w:tcW w:w="1276" w:type="dxa"/>
            <w:vAlign w:val="center"/>
          </w:tcPr>
          <w:p>
            <w:pPr>
              <w:pStyle w:val="55"/>
              <w:rPr>
                <w:color w:val="000000" w:themeColor="text1"/>
              </w:rPr>
            </w:pPr>
            <w:r>
              <w:rPr>
                <w:rFonts w:hint="eastAsia"/>
                <w:color w:val="000000" w:themeColor="text1"/>
              </w:rPr>
              <w:t>1.00×10</w:t>
            </w:r>
            <w:r>
              <w:rPr>
                <w:rFonts w:hint="eastAsia"/>
                <w:color w:val="000000" w:themeColor="text1"/>
                <w:vertAlign w:val="superscript"/>
              </w:rPr>
              <w:t>-4</w:t>
            </w:r>
            <w:r>
              <w:rPr>
                <w:rFonts w:hint="eastAsia"/>
                <w:color w:val="000000" w:themeColor="text1"/>
              </w:rPr>
              <w:t>L</w:t>
            </w:r>
          </w:p>
        </w:tc>
        <w:tc>
          <w:tcPr>
            <w:tcW w:w="992" w:type="dxa"/>
            <w:vAlign w:val="center"/>
          </w:tcPr>
          <w:p>
            <w:pPr>
              <w:pStyle w:val="55"/>
              <w:rPr>
                <w:color w:val="000000" w:themeColor="text1"/>
              </w:rPr>
            </w:pPr>
            <w:r>
              <w:rPr>
                <w:color w:val="000000" w:themeColor="text1"/>
              </w:rPr>
              <w:t>≤0.0</w:t>
            </w:r>
            <w:r>
              <w:rPr>
                <w:rFonts w:hint="eastAsia"/>
                <w:color w:val="000000" w:themeColor="text1"/>
              </w:rPr>
              <w:t>05</w:t>
            </w:r>
          </w:p>
        </w:tc>
        <w:tc>
          <w:tcPr>
            <w:tcW w:w="851" w:type="dxa"/>
            <w:vAlign w:val="center"/>
          </w:tcPr>
          <w:p>
            <w:pPr>
              <w:pStyle w:val="55"/>
              <w:rPr>
                <w:color w:val="000000" w:themeColor="text1"/>
              </w:rPr>
            </w:pPr>
            <w:r>
              <w:rPr>
                <w:rFonts w:hint="eastAsia"/>
                <w:color w:val="000000" w:themeColor="text1"/>
              </w:rPr>
              <w:t>/</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color w:val="000000" w:themeColor="text1"/>
              </w:rPr>
              <w:t>铜</w:t>
            </w:r>
          </w:p>
        </w:tc>
        <w:tc>
          <w:tcPr>
            <w:tcW w:w="1276" w:type="dxa"/>
            <w:vAlign w:val="center"/>
          </w:tcPr>
          <w:p>
            <w:pPr>
              <w:pStyle w:val="55"/>
              <w:rPr>
                <w:color w:val="000000" w:themeColor="text1"/>
              </w:rPr>
            </w:pPr>
            <w:r>
              <w:rPr>
                <w:rFonts w:hint="eastAsia"/>
                <w:color w:val="000000" w:themeColor="text1"/>
              </w:rPr>
              <w:t>3.02×10</w:t>
            </w:r>
            <w:r>
              <w:rPr>
                <w:rFonts w:hint="eastAsia"/>
                <w:color w:val="000000" w:themeColor="text1"/>
                <w:vertAlign w:val="superscript"/>
              </w:rPr>
              <w:t>-3</w:t>
            </w:r>
          </w:p>
        </w:tc>
        <w:tc>
          <w:tcPr>
            <w:tcW w:w="1275" w:type="dxa"/>
            <w:vAlign w:val="center"/>
          </w:tcPr>
          <w:p>
            <w:pPr>
              <w:pStyle w:val="55"/>
              <w:rPr>
                <w:color w:val="000000" w:themeColor="text1"/>
              </w:rPr>
            </w:pPr>
            <w:r>
              <w:rPr>
                <w:rFonts w:hint="eastAsia"/>
                <w:color w:val="000000" w:themeColor="text1"/>
              </w:rPr>
              <w:t>3.01×10</w:t>
            </w:r>
            <w:r>
              <w:rPr>
                <w:rFonts w:hint="eastAsia"/>
                <w:color w:val="000000" w:themeColor="text1"/>
                <w:vertAlign w:val="superscript"/>
              </w:rPr>
              <w:t>-3</w:t>
            </w:r>
          </w:p>
        </w:tc>
        <w:tc>
          <w:tcPr>
            <w:tcW w:w="1276" w:type="dxa"/>
            <w:vAlign w:val="center"/>
          </w:tcPr>
          <w:p>
            <w:pPr>
              <w:pStyle w:val="55"/>
              <w:rPr>
                <w:color w:val="000000" w:themeColor="text1"/>
              </w:rPr>
            </w:pPr>
            <w:r>
              <w:rPr>
                <w:rFonts w:hint="eastAsia"/>
                <w:color w:val="000000" w:themeColor="text1"/>
              </w:rPr>
              <w:t>2.96×10</w:t>
            </w:r>
            <w:r>
              <w:rPr>
                <w:rFonts w:hint="eastAsia"/>
                <w:color w:val="000000" w:themeColor="text1"/>
                <w:vertAlign w:val="superscript"/>
              </w:rPr>
              <w:t>-3</w:t>
            </w:r>
          </w:p>
        </w:tc>
        <w:tc>
          <w:tcPr>
            <w:tcW w:w="992" w:type="dxa"/>
            <w:vAlign w:val="center"/>
          </w:tcPr>
          <w:p>
            <w:pPr>
              <w:pStyle w:val="55"/>
              <w:rPr>
                <w:color w:val="000000" w:themeColor="text1"/>
              </w:rPr>
            </w:pPr>
            <w:r>
              <w:rPr>
                <w:color w:val="000000" w:themeColor="text1"/>
              </w:rPr>
              <w:t>≤</w:t>
            </w:r>
            <w:r>
              <w:rPr>
                <w:rFonts w:hint="eastAsia"/>
                <w:color w:val="000000" w:themeColor="text1"/>
              </w:rPr>
              <w:t>1.0</w:t>
            </w:r>
          </w:p>
        </w:tc>
        <w:tc>
          <w:tcPr>
            <w:tcW w:w="851" w:type="dxa"/>
            <w:vAlign w:val="center"/>
          </w:tcPr>
          <w:p>
            <w:pPr>
              <w:pStyle w:val="55"/>
              <w:rPr>
                <w:color w:val="000000" w:themeColor="text1"/>
              </w:rPr>
            </w:pPr>
            <w:r>
              <w:rPr>
                <w:rFonts w:hint="eastAsia"/>
                <w:color w:val="000000" w:themeColor="text1"/>
              </w:rPr>
              <w:t>0.3</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color w:val="000000" w:themeColor="text1"/>
              </w:rPr>
              <w:t>锌</w:t>
            </w:r>
          </w:p>
        </w:tc>
        <w:tc>
          <w:tcPr>
            <w:tcW w:w="1276" w:type="dxa"/>
            <w:vAlign w:val="center"/>
          </w:tcPr>
          <w:p>
            <w:pPr>
              <w:pStyle w:val="55"/>
              <w:rPr>
                <w:color w:val="000000" w:themeColor="text1"/>
              </w:rPr>
            </w:pPr>
            <w:r>
              <w:rPr>
                <w:rFonts w:hint="eastAsia"/>
                <w:color w:val="000000" w:themeColor="text1"/>
              </w:rPr>
              <w:t>0.079</w:t>
            </w:r>
          </w:p>
        </w:tc>
        <w:tc>
          <w:tcPr>
            <w:tcW w:w="1275" w:type="dxa"/>
            <w:vAlign w:val="center"/>
          </w:tcPr>
          <w:p>
            <w:pPr>
              <w:pStyle w:val="55"/>
              <w:rPr>
                <w:color w:val="000000" w:themeColor="text1"/>
              </w:rPr>
            </w:pPr>
            <w:r>
              <w:rPr>
                <w:rFonts w:hint="eastAsia"/>
                <w:color w:val="000000" w:themeColor="text1"/>
              </w:rPr>
              <w:t>0.080</w:t>
            </w:r>
          </w:p>
        </w:tc>
        <w:tc>
          <w:tcPr>
            <w:tcW w:w="1276" w:type="dxa"/>
            <w:vAlign w:val="center"/>
          </w:tcPr>
          <w:p>
            <w:pPr>
              <w:pStyle w:val="55"/>
              <w:rPr>
                <w:color w:val="000000" w:themeColor="text1"/>
              </w:rPr>
            </w:pPr>
            <w:r>
              <w:rPr>
                <w:rFonts w:hint="eastAsia"/>
                <w:color w:val="000000" w:themeColor="text1"/>
              </w:rPr>
              <w:t>0.078</w:t>
            </w:r>
          </w:p>
        </w:tc>
        <w:tc>
          <w:tcPr>
            <w:tcW w:w="992" w:type="dxa"/>
            <w:vAlign w:val="center"/>
          </w:tcPr>
          <w:p>
            <w:pPr>
              <w:pStyle w:val="55"/>
              <w:rPr>
                <w:color w:val="000000" w:themeColor="text1"/>
              </w:rPr>
            </w:pPr>
            <w:r>
              <w:rPr>
                <w:color w:val="000000" w:themeColor="text1"/>
              </w:rPr>
              <w:t>≤</w:t>
            </w:r>
            <w:r>
              <w:rPr>
                <w:rFonts w:hint="eastAsia"/>
                <w:color w:val="000000" w:themeColor="text1"/>
              </w:rPr>
              <w:t>1.0</w:t>
            </w:r>
          </w:p>
        </w:tc>
        <w:tc>
          <w:tcPr>
            <w:tcW w:w="851" w:type="dxa"/>
            <w:vAlign w:val="center"/>
          </w:tcPr>
          <w:p>
            <w:pPr>
              <w:pStyle w:val="55"/>
              <w:rPr>
                <w:color w:val="000000" w:themeColor="text1"/>
              </w:rPr>
            </w:pPr>
            <w:r>
              <w:rPr>
                <w:color w:val="000000" w:themeColor="text1"/>
              </w:rPr>
              <w:t>7.9</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铁</w:t>
            </w:r>
          </w:p>
        </w:tc>
        <w:tc>
          <w:tcPr>
            <w:tcW w:w="1276" w:type="dxa"/>
            <w:vAlign w:val="center"/>
          </w:tcPr>
          <w:p>
            <w:pPr>
              <w:pStyle w:val="55"/>
              <w:rPr>
                <w:color w:val="000000" w:themeColor="text1"/>
              </w:rPr>
            </w:pPr>
            <w:r>
              <w:rPr>
                <w:rFonts w:hint="eastAsia"/>
                <w:color w:val="000000" w:themeColor="text1"/>
              </w:rPr>
              <w:t>0.220</w:t>
            </w:r>
          </w:p>
        </w:tc>
        <w:tc>
          <w:tcPr>
            <w:tcW w:w="1275" w:type="dxa"/>
            <w:vAlign w:val="center"/>
          </w:tcPr>
          <w:p>
            <w:pPr>
              <w:pStyle w:val="55"/>
              <w:rPr>
                <w:color w:val="000000" w:themeColor="text1"/>
              </w:rPr>
            </w:pPr>
            <w:r>
              <w:rPr>
                <w:rFonts w:hint="eastAsia"/>
                <w:color w:val="000000" w:themeColor="text1"/>
              </w:rPr>
              <w:t>0.225</w:t>
            </w:r>
          </w:p>
        </w:tc>
        <w:tc>
          <w:tcPr>
            <w:tcW w:w="1276" w:type="dxa"/>
            <w:vAlign w:val="center"/>
          </w:tcPr>
          <w:p>
            <w:pPr>
              <w:pStyle w:val="55"/>
              <w:rPr>
                <w:color w:val="000000" w:themeColor="text1"/>
              </w:rPr>
            </w:pPr>
            <w:r>
              <w:rPr>
                <w:rFonts w:hint="eastAsia"/>
                <w:color w:val="000000" w:themeColor="text1"/>
              </w:rPr>
              <w:t>0.223</w:t>
            </w:r>
          </w:p>
        </w:tc>
        <w:tc>
          <w:tcPr>
            <w:tcW w:w="992" w:type="dxa"/>
            <w:vAlign w:val="center"/>
          </w:tcPr>
          <w:p>
            <w:pPr>
              <w:pStyle w:val="55"/>
              <w:rPr>
                <w:color w:val="000000" w:themeColor="text1"/>
              </w:rPr>
            </w:pPr>
            <w:r>
              <w:rPr>
                <w:color w:val="000000" w:themeColor="text1"/>
              </w:rPr>
              <w:t>≤0.3</w:t>
            </w:r>
          </w:p>
        </w:tc>
        <w:tc>
          <w:tcPr>
            <w:tcW w:w="851" w:type="dxa"/>
            <w:vAlign w:val="center"/>
          </w:tcPr>
          <w:p>
            <w:pPr>
              <w:pStyle w:val="55"/>
              <w:rPr>
                <w:color w:val="000000" w:themeColor="text1"/>
              </w:rPr>
            </w:pPr>
            <w:r>
              <w:rPr>
                <w:rFonts w:hint="eastAsia"/>
                <w:color w:val="000000" w:themeColor="text1"/>
              </w:rPr>
              <w:t>75</w:t>
            </w:r>
          </w:p>
        </w:tc>
        <w:tc>
          <w:tcPr>
            <w:tcW w:w="709" w:type="dxa"/>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5" w:type="dxa"/>
            <w:vMerge w:val="continue"/>
            <w:vAlign w:val="center"/>
          </w:tcPr>
          <w:p>
            <w:pPr>
              <w:pStyle w:val="55"/>
              <w:rPr>
                <w:color w:val="000000" w:themeColor="text1"/>
              </w:rPr>
            </w:pPr>
          </w:p>
        </w:tc>
        <w:tc>
          <w:tcPr>
            <w:tcW w:w="1418" w:type="dxa"/>
            <w:vAlign w:val="center"/>
          </w:tcPr>
          <w:p>
            <w:pPr>
              <w:pStyle w:val="55"/>
              <w:rPr>
                <w:color w:val="000000" w:themeColor="text1"/>
              </w:rPr>
            </w:pPr>
            <w:r>
              <w:rPr>
                <w:rFonts w:hint="eastAsia"/>
                <w:color w:val="000000" w:themeColor="text1"/>
              </w:rPr>
              <w:t>锰</w:t>
            </w:r>
          </w:p>
        </w:tc>
        <w:tc>
          <w:tcPr>
            <w:tcW w:w="1276" w:type="dxa"/>
            <w:vAlign w:val="center"/>
          </w:tcPr>
          <w:p>
            <w:pPr>
              <w:pStyle w:val="55"/>
              <w:rPr>
                <w:color w:val="000000" w:themeColor="text1"/>
              </w:rPr>
            </w:pPr>
            <w:r>
              <w:rPr>
                <w:rFonts w:hint="eastAsia"/>
                <w:color w:val="000000" w:themeColor="text1"/>
              </w:rPr>
              <w:t>0.094</w:t>
            </w:r>
          </w:p>
        </w:tc>
        <w:tc>
          <w:tcPr>
            <w:tcW w:w="1275" w:type="dxa"/>
            <w:vAlign w:val="center"/>
          </w:tcPr>
          <w:p>
            <w:pPr>
              <w:pStyle w:val="55"/>
              <w:rPr>
                <w:color w:val="000000" w:themeColor="text1"/>
              </w:rPr>
            </w:pPr>
            <w:r>
              <w:rPr>
                <w:rFonts w:hint="eastAsia"/>
                <w:color w:val="000000" w:themeColor="text1"/>
              </w:rPr>
              <w:t>0.094</w:t>
            </w:r>
          </w:p>
        </w:tc>
        <w:tc>
          <w:tcPr>
            <w:tcW w:w="1276" w:type="dxa"/>
            <w:vAlign w:val="center"/>
          </w:tcPr>
          <w:p>
            <w:pPr>
              <w:pStyle w:val="55"/>
              <w:rPr>
                <w:color w:val="000000" w:themeColor="text1"/>
              </w:rPr>
            </w:pPr>
            <w:r>
              <w:rPr>
                <w:rFonts w:hint="eastAsia"/>
                <w:color w:val="000000" w:themeColor="text1"/>
              </w:rPr>
              <w:t>0.094</w:t>
            </w:r>
          </w:p>
        </w:tc>
        <w:tc>
          <w:tcPr>
            <w:tcW w:w="992" w:type="dxa"/>
            <w:vAlign w:val="center"/>
          </w:tcPr>
          <w:p>
            <w:pPr>
              <w:pStyle w:val="55"/>
              <w:rPr>
                <w:color w:val="000000" w:themeColor="text1"/>
              </w:rPr>
            </w:pPr>
            <w:r>
              <w:rPr>
                <w:color w:val="000000" w:themeColor="text1"/>
              </w:rPr>
              <w:t>≤0.1</w:t>
            </w:r>
          </w:p>
        </w:tc>
        <w:tc>
          <w:tcPr>
            <w:tcW w:w="851" w:type="dxa"/>
            <w:vAlign w:val="center"/>
          </w:tcPr>
          <w:p>
            <w:pPr>
              <w:pStyle w:val="55"/>
              <w:rPr>
                <w:color w:val="000000" w:themeColor="text1"/>
              </w:rPr>
            </w:pPr>
            <w:r>
              <w:rPr>
                <w:rFonts w:hint="eastAsia"/>
                <w:color w:val="000000" w:themeColor="text1"/>
              </w:rPr>
              <w:t>94</w:t>
            </w:r>
          </w:p>
        </w:tc>
        <w:tc>
          <w:tcPr>
            <w:tcW w:w="709" w:type="dxa"/>
            <w:vAlign w:val="center"/>
          </w:tcPr>
          <w:p>
            <w:pPr>
              <w:pStyle w:val="55"/>
              <w:rPr>
                <w:color w:val="000000" w:themeColor="text1"/>
              </w:rPr>
            </w:pPr>
            <w:r>
              <w:rPr>
                <w:rFonts w:hint="eastAsia"/>
                <w:color w:val="000000" w:themeColor="text1"/>
              </w:rPr>
              <w:t>达标</w:t>
            </w:r>
          </w:p>
        </w:tc>
      </w:tr>
    </w:tbl>
    <w:p>
      <w:pPr>
        <w:ind w:firstLine="480"/>
        <w:rPr>
          <w:color w:val="000000" w:themeColor="text1"/>
        </w:rPr>
      </w:pPr>
      <w:r>
        <w:rPr>
          <w:rFonts w:hint="eastAsia"/>
          <w:color w:val="000000" w:themeColor="text1"/>
          <w:szCs w:val="21"/>
        </w:rPr>
        <w:t>由上表地下水现状检测结果可知上舍克村、小龙白、碧云村检测点位的各项检测因子均能满足</w:t>
      </w:r>
      <w:r>
        <w:rPr>
          <w:rFonts w:hint="eastAsia"/>
          <w:color w:val="000000" w:themeColor="text1"/>
        </w:rPr>
        <w:t>《地下水质量标准》（</w:t>
      </w:r>
      <w:r>
        <w:rPr>
          <w:color w:val="000000" w:themeColor="text1"/>
        </w:rPr>
        <w:t>GB/T14848-2017</w:t>
      </w:r>
      <w:r>
        <w:rPr>
          <w:rFonts w:hint="eastAsia"/>
          <w:color w:val="000000" w:themeColor="text1"/>
        </w:rPr>
        <w:t>）</w:t>
      </w:r>
      <w:r>
        <w:rPr>
          <w:color w:val="000000" w:themeColor="text1"/>
        </w:rPr>
        <w:t>III</w:t>
      </w:r>
      <w:r>
        <w:rPr>
          <w:rFonts w:hint="eastAsia"/>
          <w:color w:val="000000" w:themeColor="text1"/>
        </w:rPr>
        <w:t>类标准，说明该区域地下水质量现状良好。</w:t>
      </w:r>
    </w:p>
    <w:p>
      <w:pPr>
        <w:pStyle w:val="3"/>
        <w:rPr>
          <w:color w:val="000000" w:themeColor="text1"/>
        </w:rPr>
      </w:pPr>
      <w:bookmarkStart w:id="103" w:name="_Toc47375847"/>
      <w:r>
        <w:rPr>
          <w:rFonts w:hint="eastAsia"/>
          <w:color w:val="000000" w:themeColor="text1"/>
        </w:rPr>
        <w:t>4.4声环境质量现状监测与评价</w:t>
      </w:r>
      <w:bookmarkEnd w:id="103"/>
    </w:p>
    <w:p>
      <w:pPr>
        <w:ind w:firstLine="480"/>
        <w:rPr>
          <w:bCs/>
          <w:color w:val="000000" w:themeColor="text1"/>
        </w:rPr>
      </w:pPr>
      <w:r>
        <w:rPr>
          <w:rFonts w:hint="eastAsia"/>
          <w:bCs/>
          <w:color w:val="000000" w:themeColor="text1"/>
        </w:rPr>
        <w:t>建设单位委托云南环清环境检测技术有限公司于</w:t>
      </w:r>
      <w:r>
        <w:rPr>
          <w:bCs/>
          <w:color w:val="000000" w:themeColor="text1"/>
        </w:rPr>
        <w:t>20</w:t>
      </w:r>
      <w:r>
        <w:rPr>
          <w:rFonts w:hint="eastAsia"/>
          <w:bCs/>
          <w:color w:val="000000" w:themeColor="text1"/>
        </w:rPr>
        <w:t>20年05月09日至10日对项目区声环境进行了现状监测。</w:t>
      </w:r>
    </w:p>
    <w:p>
      <w:pPr>
        <w:ind w:firstLine="480"/>
        <w:rPr>
          <w:bCs/>
          <w:color w:val="000000" w:themeColor="text1"/>
        </w:rPr>
      </w:pPr>
      <w:r>
        <w:rPr>
          <w:rFonts w:hint="eastAsia"/>
          <w:bCs/>
          <w:color w:val="000000" w:themeColor="text1"/>
        </w:rPr>
        <w:t>（</w:t>
      </w:r>
      <w:r>
        <w:rPr>
          <w:bCs/>
          <w:color w:val="000000" w:themeColor="text1"/>
        </w:rPr>
        <w:t>1</w:t>
      </w:r>
      <w:r>
        <w:rPr>
          <w:rFonts w:hint="eastAsia"/>
          <w:bCs/>
          <w:color w:val="000000" w:themeColor="text1"/>
        </w:rPr>
        <w:t>）声环境监测</w:t>
      </w:r>
    </w:p>
    <w:p>
      <w:pPr>
        <w:ind w:firstLine="480"/>
        <w:rPr>
          <w:bCs/>
          <w:color w:val="000000" w:themeColor="text1"/>
        </w:rPr>
      </w:pPr>
      <w:r>
        <w:rPr>
          <w:rFonts w:hint="eastAsia"/>
          <w:bCs/>
          <w:color w:val="000000" w:themeColor="text1"/>
        </w:rPr>
        <w:t>监测点位：共布设5个点位，分别是目东厂界（</w:t>
      </w:r>
      <w:r>
        <w:rPr>
          <w:bCs/>
          <w:color w:val="000000" w:themeColor="text1"/>
        </w:rPr>
        <w:t>1#</w:t>
      </w:r>
      <w:r>
        <w:rPr>
          <w:rFonts w:hint="eastAsia"/>
          <w:bCs/>
          <w:color w:val="000000" w:themeColor="text1"/>
        </w:rPr>
        <w:t>）、项目南厂界（</w:t>
      </w:r>
      <w:r>
        <w:rPr>
          <w:bCs/>
          <w:color w:val="000000" w:themeColor="text1"/>
        </w:rPr>
        <w:t>2#</w:t>
      </w:r>
      <w:r>
        <w:rPr>
          <w:rFonts w:hint="eastAsia"/>
          <w:bCs/>
          <w:color w:val="000000" w:themeColor="text1"/>
        </w:rPr>
        <w:t>）、项目西厂界（</w:t>
      </w:r>
      <w:r>
        <w:rPr>
          <w:bCs/>
          <w:color w:val="000000" w:themeColor="text1"/>
        </w:rPr>
        <w:t>3#</w:t>
      </w:r>
      <w:r>
        <w:rPr>
          <w:rFonts w:hint="eastAsia"/>
          <w:bCs/>
          <w:color w:val="000000" w:themeColor="text1"/>
        </w:rPr>
        <w:t>）、项目北厂界（</w:t>
      </w:r>
      <w:r>
        <w:rPr>
          <w:bCs/>
          <w:color w:val="000000" w:themeColor="text1"/>
        </w:rPr>
        <w:t>4#</w:t>
      </w:r>
      <w:r>
        <w:rPr>
          <w:rFonts w:hint="eastAsia"/>
          <w:bCs/>
          <w:color w:val="000000" w:themeColor="text1"/>
        </w:rPr>
        <w:t>）、厂址东南侧小龙白村（</w:t>
      </w:r>
      <w:r>
        <w:rPr>
          <w:bCs/>
          <w:color w:val="000000" w:themeColor="text1"/>
        </w:rPr>
        <w:t>5#</w:t>
      </w:r>
      <w:r>
        <w:rPr>
          <w:rFonts w:hint="eastAsia"/>
          <w:bCs/>
          <w:color w:val="000000" w:themeColor="text1"/>
        </w:rPr>
        <w:t>）；</w:t>
      </w:r>
    </w:p>
    <w:p>
      <w:pPr>
        <w:ind w:firstLine="480"/>
        <w:rPr>
          <w:bCs/>
          <w:color w:val="000000" w:themeColor="text1"/>
        </w:rPr>
      </w:pPr>
      <w:r>
        <w:rPr>
          <w:rFonts w:hint="eastAsia"/>
          <w:bCs/>
          <w:color w:val="000000" w:themeColor="text1"/>
        </w:rPr>
        <w:t>监测因子：等效连续</w:t>
      </w:r>
      <w:r>
        <w:rPr>
          <w:bCs/>
          <w:color w:val="000000" w:themeColor="text1"/>
        </w:rPr>
        <w:t>A</w:t>
      </w:r>
      <w:r>
        <w:rPr>
          <w:rFonts w:hint="eastAsia"/>
          <w:bCs/>
          <w:color w:val="000000" w:themeColor="text1"/>
        </w:rPr>
        <w:t>声级，</w:t>
      </w:r>
      <w:r>
        <w:rPr>
          <w:bCs/>
          <w:color w:val="000000" w:themeColor="text1"/>
        </w:rPr>
        <w:t>LAeq</w:t>
      </w:r>
      <w:r>
        <w:rPr>
          <w:rFonts w:hint="eastAsia"/>
          <w:bCs/>
          <w:color w:val="000000" w:themeColor="text1"/>
        </w:rPr>
        <w:t>；</w:t>
      </w:r>
    </w:p>
    <w:p>
      <w:pPr>
        <w:ind w:firstLine="480"/>
        <w:rPr>
          <w:bCs/>
          <w:color w:val="000000" w:themeColor="text1"/>
        </w:rPr>
      </w:pPr>
      <w:r>
        <w:rPr>
          <w:rFonts w:hint="eastAsia"/>
          <w:bCs/>
          <w:color w:val="000000" w:themeColor="text1"/>
        </w:rPr>
        <w:t>监测时间：监测一天，分昼间、夜间</w:t>
      </w:r>
      <w:r>
        <w:rPr>
          <w:bCs/>
          <w:color w:val="000000" w:themeColor="text1"/>
        </w:rPr>
        <w:t>2</w:t>
      </w:r>
      <w:r>
        <w:rPr>
          <w:rFonts w:hint="eastAsia"/>
          <w:bCs/>
          <w:color w:val="000000" w:themeColor="text1"/>
        </w:rPr>
        <w:t>时段监测。</w:t>
      </w:r>
    </w:p>
    <w:p>
      <w:pPr>
        <w:ind w:firstLine="480"/>
        <w:rPr>
          <w:bCs/>
          <w:color w:val="000000" w:themeColor="text1"/>
        </w:rPr>
      </w:pPr>
      <w:r>
        <w:rPr>
          <w:rFonts w:hint="eastAsia"/>
          <w:bCs/>
          <w:color w:val="000000" w:themeColor="text1"/>
        </w:rPr>
        <w:t>（</w:t>
      </w:r>
      <w:r>
        <w:rPr>
          <w:bCs/>
          <w:color w:val="000000" w:themeColor="text1"/>
        </w:rPr>
        <w:t>2</w:t>
      </w:r>
      <w:r>
        <w:rPr>
          <w:rFonts w:hint="eastAsia"/>
          <w:bCs/>
          <w:color w:val="000000" w:themeColor="text1"/>
        </w:rPr>
        <w:t>）声环境环境监测结果与评价</w:t>
      </w:r>
    </w:p>
    <w:p>
      <w:pPr>
        <w:ind w:firstLine="480"/>
        <w:rPr>
          <w:bCs/>
          <w:color w:val="000000" w:themeColor="text1"/>
        </w:rPr>
      </w:pPr>
      <w:r>
        <w:rPr>
          <w:rFonts w:hint="eastAsia"/>
          <w:bCs/>
          <w:color w:val="000000" w:themeColor="text1"/>
        </w:rPr>
        <w:t>本项目厂界外</w:t>
      </w:r>
      <w:r>
        <w:rPr>
          <w:bCs/>
          <w:color w:val="000000" w:themeColor="text1"/>
        </w:rPr>
        <w:t>1m</w:t>
      </w:r>
      <w:r>
        <w:rPr>
          <w:rFonts w:hint="eastAsia"/>
          <w:bCs/>
          <w:color w:val="000000" w:themeColor="text1"/>
        </w:rPr>
        <w:t>处声环境监测结果见表4.4</w:t>
      </w:r>
      <w:r>
        <w:rPr>
          <w:bCs/>
          <w:color w:val="000000" w:themeColor="text1"/>
        </w:rPr>
        <w:t>-</w:t>
      </w:r>
      <w:r>
        <w:rPr>
          <w:rFonts w:hint="eastAsia"/>
          <w:bCs/>
          <w:color w:val="000000" w:themeColor="text1"/>
        </w:rPr>
        <w:t>1所示。</w:t>
      </w:r>
    </w:p>
    <w:p>
      <w:pPr>
        <w:pStyle w:val="54"/>
        <w:rPr>
          <w:bCs/>
          <w:color w:val="000000" w:themeColor="text1"/>
          <w:sz w:val="24"/>
        </w:rPr>
      </w:pPr>
      <w:r>
        <w:rPr>
          <w:rFonts w:hint="eastAsia"/>
          <w:color w:val="000000" w:themeColor="text1"/>
          <w:kern w:val="0"/>
        </w:rPr>
        <w:t xml:space="preserve">表4.4-1  </w:t>
      </w:r>
      <w:r>
        <w:rPr>
          <w:rFonts w:hint="eastAsia"/>
          <w:color w:val="000000" w:themeColor="text1"/>
        </w:rPr>
        <w:t>项目区声环境监测及评价结果</w:t>
      </w:r>
      <w:r>
        <w:rPr>
          <w:color w:val="000000" w:themeColor="text1"/>
          <w:kern w:val="0"/>
        </w:rPr>
        <w:t xml:space="preserve">  </w:t>
      </w:r>
      <w:r>
        <w:rPr>
          <w:rFonts w:hint="eastAsia"/>
          <w:color w:val="000000" w:themeColor="text1"/>
          <w:kern w:val="0"/>
        </w:rPr>
        <w:t>单位：</w:t>
      </w:r>
      <w:r>
        <w:rPr>
          <w:color w:val="000000" w:themeColor="text1"/>
          <w:kern w:val="0"/>
        </w:rPr>
        <w:t>Leq</w:t>
      </w:r>
      <w:r>
        <w:rPr>
          <w:rFonts w:hint="eastAsia"/>
          <w:color w:val="000000" w:themeColor="text1"/>
          <w:kern w:val="0"/>
        </w:rPr>
        <w:t>（</w:t>
      </w:r>
      <w:r>
        <w:rPr>
          <w:color w:val="000000" w:themeColor="text1"/>
          <w:kern w:val="0"/>
        </w:rPr>
        <w:t>A</w:t>
      </w:r>
      <w:r>
        <w:rPr>
          <w:rFonts w:hint="eastAsia"/>
          <w:color w:val="000000" w:themeColor="text1"/>
          <w:kern w:val="0"/>
        </w:rPr>
        <w:t>）</w:t>
      </w:r>
    </w:p>
    <w:tbl>
      <w:tblPr>
        <w:tblStyle w:val="42"/>
        <w:tblW w:w="79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2"/>
        <w:gridCol w:w="1320"/>
        <w:gridCol w:w="1176"/>
        <w:gridCol w:w="1205"/>
        <w:gridCol w:w="1283"/>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监测点</w:t>
            </w:r>
          </w:p>
        </w:tc>
        <w:tc>
          <w:tcPr>
            <w:tcW w:w="2496"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监测时间</w:t>
            </w:r>
          </w:p>
        </w:tc>
        <w:tc>
          <w:tcPr>
            <w:tcW w:w="12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Leq</w:t>
            </w:r>
          </w:p>
        </w:tc>
        <w:tc>
          <w:tcPr>
            <w:tcW w:w="128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标准值</w:t>
            </w:r>
          </w:p>
        </w:tc>
        <w:tc>
          <w:tcPr>
            <w:tcW w:w="126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92"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厂界东</w:t>
            </w:r>
          </w:p>
        </w:tc>
        <w:tc>
          <w:tcPr>
            <w:tcW w:w="1320" w:type="dxa"/>
            <w:vMerge w:val="restart"/>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kern w:val="0"/>
              </w:rPr>
            </w:pPr>
            <w:r>
              <w:rPr>
                <w:bCs/>
                <w:color w:val="000000" w:themeColor="text1"/>
                <w:kern w:val="0"/>
              </w:rPr>
              <w:t>20</w:t>
            </w:r>
            <w:r>
              <w:rPr>
                <w:rFonts w:hint="eastAsia"/>
                <w:bCs/>
                <w:color w:val="000000" w:themeColor="text1"/>
                <w:kern w:val="0"/>
              </w:rPr>
              <w:t>20</w:t>
            </w:r>
            <w:r>
              <w:rPr>
                <w:bCs/>
                <w:color w:val="000000" w:themeColor="text1"/>
                <w:kern w:val="0"/>
              </w:rPr>
              <w:t>.</w:t>
            </w:r>
            <w:r>
              <w:rPr>
                <w:rFonts w:hint="eastAsia"/>
                <w:bCs/>
                <w:color w:val="000000" w:themeColor="text1"/>
                <w:kern w:val="0"/>
              </w:rPr>
              <w:t>05</w:t>
            </w:r>
            <w:r>
              <w:rPr>
                <w:bCs/>
                <w:color w:val="000000" w:themeColor="text1"/>
                <w:kern w:val="0"/>
              </w:rPr>
              <w:t>.</w:t>
            </w:r>
            <w:r>
              <w:rPr>
                <w:rFonts w:hint="eastAsia"/>
                <w:bCs/>
                <w:color w:val="000000" w:themeColor="text1"/>
                <w:kern w:val="0"/>
              </w:rPr>
              <w:t>09</w:t>
            </w:r>
          </w:p>
        </w:tc>
        <w:tc>
          <w:tcPr>
            <w:tcW w:w="11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昼</w:t>
            </w:r>
          </w:p>
        </w:tc>
        <w:tc>
          <w:tcPr>
            <w:tcW w:w="12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51.4</w:t>
            </w:r>
          </w:p>
        </w:tc>
        <w:tc>
          <w:tcPr>
            <w:tcW w:w="128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60</w:t>
            </w:r>
          </w:p>
        </w:tc>
        <w:tc>
          <w:tcPr>
            <w:tcW w:w="1266"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92"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c>
          <w:tcPr>
            <w:tcW w:w="1320" w:type="dxa"/>
            <w:vMerge w:val="continue"/>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kern w:val="0"/>
              </w:rPr>
            </w:pPr>
          </w:p>
        </w:tc>
        <w:tc>
          <w:tcPr>
            <w:tcW w:w="11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夜</w:t>
            </w:r>
          </w:p>
        </w:tc>
        <w:tc>
          <w:tcPr>
            <w:tcW w:w="12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45.6</w:t>
            </w:r>
          </w:p>
        </w:tc>
        <w:tc>
          <w:tcPr>
            <w:tcW w:w="128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50</w:t>
            </w:r>
          </w:p>
        </w:tc>
        <w:tc>
          <w:tcPr>
            <w:tcW w:w="126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92"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c>
          <w:tcPr>
            <w:tcW w:w="1320" w:type="dxa"/>
            <w:vMerge w:val="restart"/>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kern w:val="0"/>
              </w:rPr>
            </w:pPr>
            <w:r>
              <w:rPr>
                <w:bCs/>
                <w:color w:val="000000" w:themeColor="text1"/>
                <w:kern w:val="0"/>
              </w:rPr>
              <w:t>20</w:t>
            </w:r>
            <w:r>
              <w:rPr>
                <w:rFonts w:hint="eastAsia"/>
                <w:bCs/>
                <w:color w:val="000000" w:themeColor="text1"/>
                <w:kern w:val="0"/>
              </w:rPr>
              <w:t>20</w:t>
            </w:r>
            <w:r>
              <w:rPr>
                <w:bCs/>
                <w:color w:val="000000" w:themeColor="text1"/>
                <w:kern w:val="0"/>
              </w:rPr>
              <w:t>.</w:t>
            </w:r>
            <w:r>
              <w:rPr>
                <w:rFonts w:hint="eastAsia"/>
                <w:bCs/>
                <w:color w:val="000000" w:themeColor="text1"/>
                <w:kern w:val="0"/>
              </w:rPr>
              <w:t>05</w:t>
            </w:r>
            <w:r>
              <w:rPr>
                <w:bCs/>
                <w:color w:val="000000" w:themeColor="text1"/>
                <w:kern w:val="0"/>
              </w:rPr>
              <w:t>.1</w:t>
            </w:r>
            <w:r>
              <w:rPr>
                <w:rFonts w:hint="eastAsia"/>
                <w:bCs/>
                <w:color w:val="000000" w:themeColor="text1"/>
                <w:kern w:val="0"/>
              </w:rPr>
              <w:t>0</w:t>
            </w:r>
          </w:p>
        </w:tc>
        <w:tc>
          <w:tcPr>
            <w:tcW w:w="11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昼</w:t>
            </w:r>
          </w:p>
        </w:tc>
        <w:tc>
          <w:tcPr>
            <w:tcW w:w="12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50.6</w:t>
            </w:r>
          </w:p>
        </w:tc>
        <w:tc>
          <w:tcPr>
            <w:tcW w:w="128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60</w:t>
            </w:r>
          </w:p>
        </w:tc>
        <w:tc>
          <w:tcPr>
            <w:tcW w:w="1266"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92"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c>
          <w:tcPr>
            <w:tcW w:w="1320" w:type="dxa"/>
            <w:vMerge w:val="continue"/>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kern w:val="0"/>
              </w:rPr>
            </w:pPr>
          </w:p>
        </w:tc>
        <w:tc>
          <w:tcPr>
            <w:tcW w:w="11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夜</w:t>
            </w:r>
          </w:p>
        </w:tc>
        <w:tc>
          <w:tcPr>
            <w:tcW w:w="12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44.5</w:t>
            </w:r>
          </w:p>
        </w:tc>
        <w:tc>
          <w:tcPr>
            <w:tcW w:w="128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50</w:t>
            </w:r>
          </w:p>
        </w:tc>
        <w:tc>
          <w:tcPr>
            <w:tcW w:w="126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92"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厂界南</w:t>
            </w:r>
          </w:p>
        </w:tc>
        <w:tc>
          <w:tcPr>
            <w:tcW w:w="1320" w:type="dxa"/>
            <w:vMerge w:val="restart"/>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kern w:val="0"/>
              </w:rPr>
            </w:pPr>
            <w:r>
              <w:rPr>
                <w:bCs/>
                <w:color w:val="000000" w:themeColor="text1"/>
                <w:kern w:val="0"/>
              </w:rPr>
              <w:t>20</w:t>
            </w:r>
            <w:r>
              <w:rPr>
                <w:rFonts w:hint="eastAsia"/>
                <w:bCs/>
                <w:color w:val="000000" w:themeColor="text1"/>
                <w:kern w:val="0"/>
              </w:rPr>
              <w:t>20</w:t>
            </w:r>
            <w:r>
              <w:rPr>
                <w:bCs/>
                <w:color w:val="000000" w:themeColor="text1"/>
                <w:kern w:val="0"/>
              </w:rPr>
              <w:t>.</w:t>
            </w:r>
            <w:r>
              <w:rPr>
                <w:rFonts w:hint="eastAsia"/>
                <w:bCs/>
                <w:color w:val="000000" w:themeColor="text1"/>
                <w:kern w:val="0"/>
              </w:rPr>
              <w:t>05</w:t>
            </w:r>
            <w:r>
              <w:rPr>
                <w:bCs/>
                <w:color w:val="000000" w:themeColor="text1"/>
                <w:kern w:val="0"/>
              </w:rPr>
              <w:t>.</w:t>
            </w:r>
            <w:r>
              <w:rPr>
                <w:rFonts w:hint="eastAsia"/>
                <w:bCs/>
                <w:color w:val="000000" w:themeColor="text1"/>
                <w:kern w:val="0"/>
              </w:rPr>
              <w:t>09</w:t>
            </w:r>
          </w:p>
        </w:tc>
        <w:tc>
          <w:tcPr>
            <w:tcW w:w="11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昼</w:t>
            </w:r>
          </w:p>
        </w:tc>
        <w:tc>
          <w:tcPr>
            <w:tcW w:w="12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49.7</w:t>
            </w:r>
          </w:p>
        </w:tc>
        <w:tc>
          <w:tcPr>
            <w:tcW w:w="128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60</w:t>
            </w:r>
          </w:p>
        </w:tc>
        <w:tc>
          <w:tcPr>
            <w:tcW w:w="1266"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92"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c>
          <w:tcPr>
            <w:tcW w:w="1320" w:type="dxa"/>
            <w:vMerge w:val="continue"/>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kern w:val="0"/>
              </w:rPr>
            </w:pPr>
          </w:p>
        </w:tc>
        <w:tc>
          <w:tcPr>
            <w:tcW w:w="11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夜</w:t>
            </w:r>
          </w:p>
        </w:tc>
        <w:tc>
          <w:tcPr>
            <w:tcW w:w="12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45.2</w:t>
            </w:r>
          </w:p>
        </w:tc>
        <w:tc>
          <w:tcPr>
            <w:tcW w:w="128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50</w:t>
            </w:r>
          </w:p>
        </w:tc>
        <w:tc>
          <w:tcPr>
            <w:tcW w:w="126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92"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c>
          <w:tcPr>
            <w:tcW w:w="1320" w:type="dxa"/>
            <w:vMerge w:val="restart"/>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kern w:val="0"/>
              </w:rPr>
            </w:pPr>
            <w:r>
              <w:rPr>
                <w:bCs/>
                <w:color w:val="000000" w:themeColor="text1"/>
                <w:kern w:val="0"/>
              </w:rPr>
              <w:t>20</w:t>
            </w:r>
            <w:r>
              <w:rPr>
                <w:rFonts w:hint="eastAsia"/>
                <w:bCs/>
                <w:color w:val="000000" w:themeColor="text1"/>
                <w:kern w:val="0"/>
              </w:rPr>
              <w:t>20</w:t>
            </w:r>
            <w:r>
              <w:rPr>
                <w:bCs/>
                <w:color w:val="000000" w:themeColor="text1"/>
                <w:kern w:val="0"/>
              </w:rPr>
              <w:t>.</w:t>
            </w:r>
            <w:r>
              <w:rPr>
                <w:rFonts w:hint="eastAsia"/>
                <w:bCs/>
                <w:color w:val="000000" w:themeColor="text1"/>
                <w:kern w:val="0"/>
              </w:rPr>
              <w:t>05</w:t>
            </w:r>
            <w:r>
              <w:rPr>
                <w:bCs/>
                <w:color w:val="000000" w:themeColor="text1"/>
                <w:kern w:val="0"/>
              </w:rPr>
              <w:t>.1</w:t>
            </w:r>
            <w:r>
              <w:rPr>
                <w:rFonts w:hint="eastAsia"/>
                <w:bCs/>
                <w:color w:val="000000" w:themeColor="text1"/>
                <w:kern w:val="0"/>
              </w:rPr>
              <w:t>0</w:t>
            </w:r>
          </w:p>
        </w:tc>
        <w:tc>
          <w:tcPr>
            <w:tcW w:w="11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昼</w:t>
            </w:r>
          </w:p>
        </w:tc>
        <w:tc>
          <w:tcPr>
            <w:tcW w:w="12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50.3</w:t>
            </w:r>
          </w:p>
        </w:tc>
        <w:tc>
          <w:tcPr>
            <w:tcW w:w="128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60</w:t>
            </w:r>
          </w:p>
        </w:tc>
        <w:tc>
          <w:tcPr>
            <w:tcW w:w="1266"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92"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c>
          <w:tcPr>
            <w:tcW w:w="1320" w:type="dxa"/>
            <w:vMerge w:val="continue"/>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kern w:val="0"/>
              </w:rPr>
            </w:pPr>
          </w:p>
        </w:tc>
        <w:tc>
          <w:tcPr>
            <w:tcW w:w="11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夜</w:t>
            </w:r>
          </w:p>
        </w:tc>
        <w:tc>
          <w:tcPr>
            <w:tcW w:w="12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45.3</w:t>
            </w:r>
          </w:p>
        </w:tc>
        <w:tc>
          <w:tcPr>
            <w:tcW w:w="128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50</w:t>
            </w:r>
          </w:p>
        </w:tc>
        <w:tc>
          <w:tcPr>
            <w:tcW w:w="126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92"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厂界西</w:t>
            </w:r>
          </w:p>
        </w:tc>
        <w:tc>
          <w:tcPr>
            <w:tcW w:w="1320" w:type="dxa"/>
            <w:vMerge w:val="restart"/>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kern w:val="0"/>
              </w:rPr>
            </w:pPr>
            <w:r>
              <w:rPr>
                <w:bCs/>
                <w:color w:val="000000" w:themeColor="text1"/>
                <w:kern w:val="0"/>
              </w:rPr>
              <w:t>20</w:t>
            </w:r>
            <w:r>
              <w:rPr>
                <w:rFonts w:hint="eastAsia"/>
                <w:bCs/>
                <w:color w:val="000000" w:themeColor="text1"/>
                <w:kern w:val="0"/>
              </w:rPr>
              <w:t>20</w:t>
            </w:r>
            <w:r>
              <w:rPr>
                <w:bCs/>
                <w:color w:val="000000" w:themeColor="text1"/>
                <w:kern w:val="0"/>
              </w:rPr>
              <w:t>.</w:t>
            </w:r>
            <w:r>
              <w:rPr>
                <w:rFonts w:hint="eastAsia"/>
                <w:bCs/>
                <w:color w:val="000000" w:themeColor="text1"/>
                <w:kern w:val="0"/>
              </w:rPr>
              <w:t>05</w:t>
            </w:r>
            <w:r>
              <w:rPr>
                <w:bCs/>
                <w:color w:val="000000" w:themeColor="text1"/>
                <w:kern w:val="0"/>
              </w:rPr>
              <w:t>.</w:t>
            </w:r>
            <w:r>
              <w:rPr>
                <w:rFonts w:hint="eastAsia"/>
                <w:bCs/>
                <w:color w:val="000000" w:themeColor="text1"/>
                <w:kern w:val="0"/>
              </w:rPr>
              <w:t>09</w:t>
            </w:r>
          </w:p>
        </w:tc>
        <w:tc>
          <w:tcPr>
            <w:tcW w:w="11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昼</w:t>
            </w:r>
          </w:p>
        </w:tc>
        <w:tc>
          <w:tcPr>
            <w:tcW w:w="12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48.6</w:t>
            </w:r>
          </w:p>
        </w:tc>
        <w:tc>
          <w:tcPr>
            <w:tcW w:w="128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60</w:t>
            </w:r>
          </w:p>
        </w:tc>
        <w:tc>
          <w:tcPr>
            <w:tcW w:w="1266"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92"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c>
          <w:tcPr>
            <w:tcW w:w="1320" w:type="dxa"/>
            <w:vMerge w:val="continue"/>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kern w:val="0"/>
              </w:rPr>
            </w:pPr>
          </w:p>
        </w:tc>
        <w:tc>
          <w:tcPr>
            <w:tcW w:w="11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夜</w:t>
            </w:r>
          </w:p>
        </w:tc>
        <w:tc>
          <w:tcPr>
            <w:tcW w:w="12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45.5</w:t>
            </w:r>
          </w:p>
        </w:tc>
        <w:tc>
          <w:tcPr>
            <w:tcW w:w="128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50</w:t>
            </w:r>
          </w:p>
        </w:tc>
        <w:tc>
          <w:tcPr>
            <w:tcW w:w="126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92"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c>
          <w:tcPr>
            <w:tcW w:w="1320" w:type="dxa"/>
            <w:vMerge w:val="restart"/>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kern w:val="0"/>
              </w:rPr>
            </w:pPr>
            <w:r>
              <w:rPr>
                <w:bCs/>
                <w:color w:val="000000" w:themeColor="text1"/>
                <w:kern w:val="0"/>
              </w:rPr>
              <w:t>20</w:t>
            </w:r>
            <w:r>
              <w:rPr>
                <w:rFonts w:hint="eastAsia"/>
                <w:bCs/>
                <w:color w:val="000000" w:themeColor="text1"/>
                <w:kern w:val="0"/>
              </w:rPr>
              <w:t>20</w:t>
            </w:r>
            <w:r>
              <w:rPr>
                <w:bCs/>
                <w:color w:val="000000" w:themeColor="text1"/>
                <w:kern w:val="0"/>
              </w:rPr>
              <w:t>.</w:t>
            </w:r>
            <w:r>
              <w:rPr>
                <w:rFonts w:hint="eastAsia"/>
                <w:bCs/>
                <w:color w:val="000000" w:themeColor="text1"/>
                <w:kern w:val="0"/>
              </w:rPr>
              <w:t>05</w:t>
            </w:r>
            <w:r>
              <w:rPr>
                <w:bCs/>
                <w:color w:val="000000" w:themeColor="text1"/>
                <w:kern w:val="0"/>
              </w:rPr>
              <w:t>.1</w:t>
            </w:r>
            <w:r>
              <w:rPr>
                <w:rFonts w:hint="eastAsia"/>
                <w:bCs/>
                <w:color w:val="000000" w:themeColor="text1"/>
                <w:kern w:val="0"/>
              </w:rPr>
              <w:t>0</w:t>
            </w:r>
          </w:p>
        </w:tc>
        <w:tc>
          <w:tcPr>
            <w:tcW w:w="11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昼</w:t>
            </w:r>
          </w:p>
        </w:tc>
        <w:tc>
          <w:tcPr>
            <w:tcW w:w="12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48.3</w:t>
            </w:r>
          </w:p>
        </w:tc>
        <w:tc>
          <w:tcPr>
            <w:tcW w:w="128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60</w:t>
            </w:r>
          </w:p>
        </w:tc>
        <w:tc>
          <w:tcPr>
            <w:tcW w:w="1266"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92"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c>
          <w:tcPr>
            <w:tcW w:w="1320" w:type="dxa"/>
            <w:vMerge w:val="continue"/>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kern w:val="0"/>
              </w:rPr>
            </w:pPr>
          </w:p>
        </w:tc>
        <w:tc>
          <w:tcPr>
            <w:tcW w:w="11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夜</w:t>
            </w:r>
          </w:p>
        </w:tc>
        <w:tc>
          <w:tcPr>
            <w:tcW w:w="12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44.9</w:t>
            </w:r>
          </w:p>
        </w:tc>
        <w:tc>
          <w:tcPr>
            <w:tcW w:w="128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50</w:t>
            </w:r>
          </w:p>
        </w:tc>
        <w:tc>
          <w:tcPr>
            <w:tcW w:w="126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92"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厂界北</w:t>
            </w:r>
          </w:p>
        </w:tc>
        <w:tc>
          <w:tcPr>
            <w:tcW w:w="1320" w:type="dxa"/>
            <w:vMerge w:val="restart"/>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kern w:val="0"/>
              </w:rPr>
            </w:pPr>
            <w:r>
              <w:rPr>
                <w:bCs/>
                <w:color w:val="000000" w:themeColor="text1"/>
                <w:kern w:val="0"/>
              </w:rPr>
              <w:t>20</w:t>
            </w:r>
            <w:r>
              <w:rPr>
                <w:rFonts w:hint="eastAsia"/>
                <w:bCs/>
                <w:color w:val="000000" w:themeColor="text1"/>
                <w:kern w:val="0"/>
              </w:rPr>
              <w:t>20</w:t>
            </w:r>
            <w:r>
              <w:rPr>
                <w:bCs/>
                <w:color w:val="000000" w:themeColor="text1"/>
                <w:kern w:val="0"/>
              </w:rPr>
              <w:t>.</w:t>
            </w:r>
            <w:r>
              <w:rPr>
                <w:rFonts w:hint="eastAsia"/>
                <w:bCs/>
                <w:color w:val="000000" w:themeColor="text1"/>
                <w:kern w:val="0"/>
              </w:rPr>
              <w:t>05</w:t>
            </w:r>
            <w:r>
              <w:rPr>
                <w:bCs/>
                <w:color w:val="000000" w:themeColor="text1"/>
                <w:kern w:val="0"/>
              </w:rPr>
              <w:t>.</w:t>
            </w:r>
            <w:r>
              <w:rPr>
                <w:rFonts w:hint="eastAsia"/>
                <w:bCs/>
                <w:color w:val="000000" w:themeColor="text1"/>
                <w:kern w:val="0"/>
              </w:rPr>
              <w:t>09</w:t>
            </w:r>
          </w:p>
        </w:tc>
        <w:tc>
          <w:tcPr>
            <w:tcW w:w="11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昼</w:t>
            </w:r>
          </w:p>
        </w:tc>
        <w:tc>
          <w:tcPr>
            <w:tcW w:w="12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50.7</w:t>
            </w:r>
          </w:p>
        </w:tc>
        <w:tc>
          <w:tcPr>
            <w:tcW w:w="128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60</w:t>
            </w:r>
          </w:p>
        </w:tc>
        <w:tc>
          <w:tcPr>
            <w:tcW w:w="1266"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92"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c>
          <w:tcPr>
            <w:tcW w:w="1320" w:type="dxa"/>
            <w:vMerge w:val="continue"/>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kern w:val="0"/>
              </w:rPr>
            </w:pPr>
          </w:p>
        </w:tc>
        <w:tc>
          <w:tcPr>
            <w:tcW w:w="11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夜</w:t>
            </w:r>
          </w:p>
        </w:tc>
        <w:tc>
          <w:tcPr>
            <w:tcW w:w="12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44.7</w:t>
            </w:r>
          </w:p>
        </w:tc>
        <w:tc>
          <w:tcPr>
            <w:tcW w:w="128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50</w:t>
            </w:r>
          </w:p>
        </w:tc>
        <w:tc>
          <w:tcPr>
            <w:tcW w:w="126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92"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c>
          <w:tcPr>
            <w:tcW w:w="1320" w:type="dxa"/>
            <w:vMerge w:val="restart"/>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kern w:val="0"/>
              </w:rPr>
            </w:pPr>
            <w:r>
              <w:rPr>
                <w:bCs/>
                <w:color w:val="000000" w:themeColor="text1"/>
                <w:kern w:val="0"/>
              </w:rPr>
              <w:t>20</w:t>
            </w:r>
            <w:r>
              <w:rPr>
                <w:rFonts w:hint="eastAsia"/>
                <w:bCs/>
                <w:color w:val="000000" w:themeColor="text1"/>
                <w:kern w:val="0"/>
              </w:rPr>
              <w:t>20</w:t>
            </w:r>
            <w:r>
              <w:rPr>
                <w:bCs/>
                <w:color w:val="000000" w:themeColor="text1"/>
                <w:kern w:val="0"/>
              </w:rPr>
              <w:t>.</w:t>
            </w:r>
            <w:r>
              <w:rPr>
                <w:rFonts w:hint="eastAsia"/>
                <w:bCs/>
                <w:color w:val="000000" w:themeColor="text1"/>
                <w:kern w:val="0"/>
              </w:rPr>
              <w:t>05</w:t>
            </w:r>
            <w:r>
              <w:rPr>
                <w:bCs/>
                <w:color w:val="000000" w:themeColor="text1"/>
                <w:kern w:val="0"/>
              </w:rPr>
              <w:t>.1</w:t>
            </w:r>
            <w:r>
              <w:rPr>
                <w:rFonts w:hint="eastAsia"/>
                <w:bCs/>
                <w:color w:val="000000" w:themeColor="text1"/>
                <w:kern w:val="0"/>
              </w:rPr>
              <w:t>0</w:t>
            </w:r>
          </w:p>
        </w:tc>
        <w:tc>
          <w:tcPr>
            <w:tcW w:w="11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昼</w:t>
            </w:r>
          </w:p>
        </w:tc>
        <w:tc>
          <w:tcPr>
            <w:tcW w:w="12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49.0</w:t>
            </w:r>
          </w:p>
        </w:tc>
        <w:tc>
          <w:tcPr>
            <w:tcW w:w="128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60</w:t>
            </w:r>
          </w:p>
        </w:tc>
        <w:tc>
          <w:tcPr>
            <w:tcW w:w="1266"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92"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c>
          <w:tcPr>
            <w:tcW w:w="1320" w:type="dxa"/>
            <w:vMerge w:val="continue"/>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kern w:val="0"/>
              </w:rPr>
            </w:pPr>
          </w:p>
        </w:tc>
        <w:tc>
          <w:tcPr>
            <w:tcW w:w="11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夜</w:t>
            </w:r>
          </w:p>
        </w:tc>
        <w:tc>
          <w:tcPr>
            <w:tcW w:w="12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44.6</w:t>
            </w:r>
          </w:p>
        </w:tc>
        <w:tc>
          <w:tcPr>
            <w:tcW w:w="128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50</w:t>
            </w:r>
          </w:p>
        </w:tc>
        <w:tc>
          <w:tcPr>
            <w:tcW w:w="126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92"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厂址东南侧小龙白村</w:t>
            </w:r>
          </w:p>
        </w:tc>
        <w:tc>
          <w:tcPr>
            <w:tcW w:w="1320" w:type="dxa"/>
            <w:vMerge w:val="restart"/>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kern w:val="0"/>
              </w:rPr>
            </w:pPr>
            <w:r>
              <w:rPr>
                <w:bCs/>
                <w:color w:val="000000" w:themeColor="text1"/>
                <w:kern w:val="0"/>
              </w:rPr>
              <w:t>20</w:t>
            </w:r>
            <w:r>
              <w:rPr>
                <w:rFonts w:hint="eastAsia"/>
                <w:bCs/>
                <w:color w:val="000000" w:themeColor="text1"/>
                <w:kern w:val="0"/>
              </w:rPr>
              <w:t>20</w:t>
            </w:r>
            <w:r>
              <w:rPr>
                <w:bCs/>
                <w:color w:val="000000" w:themeColor="text1"/>
                <w:kern w:val="0"/>
              </w:rPr>
              <w:t>.</w:t>
            </w:r>
            <w:r>
              <w:rPr>
                <w:rFonts w:hint="eastAsia"/>
                <w:bCs/>
                <w:color w:val="000000" w:themeColor="text1"/>
                <w:kern w:val="0"/>
              </w:rPr>
              <w:t>05</w:t>
            </w:r>
            <w:r>
              <w:rPr>
                <w:bCs/>
                <w:color w:val="000000" w:themeColor="text1"/>
                <w:kern w:val="0"/>
              </w:rPr>
              <w:t>.</w:t>
            </w:r>
            <w:r>
              <w:rPr>
                <w:rFonts w:hint="eastAsia"/>
                <w:bCs/>
                <w:color w:val="000000" w:themeColor="text1"/>
                <w:kern w:val="0"/>
              </w:rPr>
              <w:t>09</w:t>
            </w:r>
          </w:p>
        </w:tc>
        <w:tc>
          <w:tcPr>
            <w:tcW w:w="11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昼</w:t>
            </w:r>
          </w:p>
        </w:tc>
        <w:tc>
          <w:tcPr>
            <w:tcW w:w="12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49.5</w:t>
            </w:r>
          </w:p>
        </w:tc>
        <w:tc>
          <w:tcPr>
            <w:tcW w:w="128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60</w:t>
            </w:r>
          </w:p>
        </w:tc>
        <w:tc>
          <w:tcPr>
            <w:tcW w:w="1266"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92"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c>
          <w:tcPr>
            <w:tcW w:w="1320"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c>
          <w:tcPr>
            <w:tcW w:w="11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夜</w:t>
            </w:r>
          </w:p>
        </w:tc>
        <w:tc>
          <w:tcPr>
            <w:tcW w:w="12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45.8</w:t>
            </w:r>
          </w:p>
        </w:tc>
        <w:tc>
          <w:tcPr>
            <w:tcW w:w="128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50</w:t>
            </w:r>
          </w:p>
        </w:tc>
        <w:tc>
          <w:tcPr>
            <w:tcW w:w="126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92"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c>
          <w:tcPr>
            <w:tcW w:w="1320" w:type="dxa"/>
            <w:vMerge w:val="restart"/>
            <w:tcBorders>
              <w:top w:val="single" w:color="auto" w:sz="4" w:space="0"/>
              <w:left w:val="single" w:color="auto" w:sz="4" w:space="0"/>
              <w:bottom w:val="single" w:color="auto" w:sz="4" w:space="0"/>
              <w:right w:val="single" w:color="auto" w:sz="4" w:space="0"/>
            </w:tcBorders>
            <w:vAlign w:val="center"/>
          </w:tcPr>
          <w:p>
            <w:pPr>
              <w:pStyle w:val="55"/>
              <w:rPr>
                <w:bCs/>
                <w:color w:val="000000" w:themeColor="text1"/>
                <w:kern w:val="0"/>
              </w:rPr>
            </w:pPr>
            <w:r>
              <w:rPr>
                <w:bCs/>
                <w:color w:val="000000" w:themeColor="text1"/>
                <w:kern w:val="0"/>
              </w:rPr>
              <w:t>20</w:t>
            </w:r>
            <w:r>
              <w:rPr>
                <w:rFonts w:hint="eastAsia"/>
                <w:bCs/>
                <w:color w:val="000000" w:themeColor="text1"/>
                <w:kern w:val="0"/>
              </w:rPr>
              <w:t>20</w:t>
            </w:r>
            <w:r>
              <w:rPr>
                <w:bCs/>
                <w:color w:val="000000" w:themeColor="text1"/>
                <w:kern w:val="0"/>
              </w:rPr>
              <w:t>.</w:t>
            </w:r>
            <w:r>
              <w:rPr>
                <w:rFonts w:hint="eastAsia"/>
                <w:bCs/>
                <w:color w:val="000000" w:themeColor="text1"/>
                <w:kern w:val="0"/>
              </w:rPr>
              <w:t>05</w:t>
            </w:r>
            <w:r>
              <w:rPr>
                <w:bCs/>
                <w:color w:val="000000" w:themeColor="text1"/>
                <w:kern w:val="0"/>
              </w:rPr>
              <w:t>.1</w:t>
            </w:r>
            <w:r>
              <w:rPr>
                <w:rFonts w:hint="eastAsia"/>
                <w:bCs/>
                <w:color w:val="000000" w:themeColor="text1"/>
                <w:kern w:val="0"/>
              </w:rPr>
              <w:t>0</w:t>
            </w:r>
          </w:p>
        </w:tc>
        <w:tc>
          <w:tcPr>
            <w:tcW w:w="11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昼</w:t>
            </w:r>
          </w:p>
        </w:tc>
        <w:tc>
          <w:tcPr>
            <w:tcW w:w="12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48.8</w:t>
            </w:r>
          </w:p>
        </w:tc>
        <w:tc>
          <w:tcPr>
            <w:tcW w:w="128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60</w:t>
            </w:r>
          </w:p>
        </w:tc>
        <w:tc>
          <w:tcPr>
            <w:tcW w:w="1266"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92"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c>
          <w:tcPr>
            <w:tcW w:w="1320"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c>
          <w:tcPr>
            <w:tcW w:w="11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夜</w:t>
            </w:r>
          </w:p>
        </w:tc>
        <w:tc>
          <w:tcPr>
            <w:tcW w:w="12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45.5</w:t>
            </w:r>
          </w:p>
        </w:tc>
        <w:tc>
          <w:tcPr>
            <w:tcW w:w="128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50</w:t>
            </w:r>
          </w:p>
        </w:tc>
        <w:tc>
          <w:tcPr>
            <w:tcW w:w="126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r>
    </w:tbl>
    <w:p>
      <w:pPr>
        <w:ind w:firstLine="480"/>
        <w:rPr>
          <w:bCs/>
          <w:color w:val="000000" w:themeColor="text1"/>
        </w:rPr>
      </w:pPr>
      <w:r>
        <w:rPr>
          <w:rFonts w:hint="eastAsia"/>
          <w:bCs/>
          <w:color w:val="000000" w:themeColor="text1"/>
        </w:rPr>
        <w:t>从表4.4-1可以看出，项目四周厂界及敏感点小龙白村的声环境质量均可达到《声环境质量标准》（</w:t>
      </w:r>
      <w:r>
        <w:rPr>
          <w:bCs/>
          <w:color w:val="000000" w:themeColor="text1"/>
        </w:rPr>
        <w:t>GB3096-2008</w:t>
      </w:r>
      <w:r>
        <w:rPr>
          <w:rFonts w:hint="eastAsia"/>
          <w:bCs/>
          <w:color w:val="000000" w:themeColor="text1"/>
        </w:rPr>
        <w:t>）</w:t>
      </w:r>
      <w:r>
        <w:rPr>
          <w:bCs/>
          <w:color w:val="000000" w:themeColor="text1"/>
        </w:rPr>
        <w:t>2</w:t>
      </w:r>
      <w:r>
        <w:rPr>
          <w:rFonts w:hint="eastAsia"/>
          <w:bCs/>
          <w:color w:val="000000" w:themeColor="text1"/>
        </w:rPr>
        <w:t>类标准，项目所在区域声环境质量较好。</w:t>
      </w:r>
    </w:p>
    <w:p>
      <w:pPr>
        <w:pStyle w:val="3"/>
        <w:rPr>
          <w:color w:val="000000" w:themeColor="text1"/>
        </w:rPr>
      </w:pPr>
      <w:bookmarkStart w:id="104" w:name="_Toc47375848"/>
      <w:r>
        <w:rPr>
          <w:rFonts w:hint="eastAsia"/>
          <w:color w:val="000000" w:themeColor="text1"/>
        </w:rPr>
        <w:t>4.5土壤环境现状</w:t>
      </w:r>
      <w:bookmarkEnd w:id="104"/>
    </w:p>
    <w:p>
      <w:pPr>
        <w:adjustRightInd w:val="0"/>
        <w:snapToGrid w:val="0"/>
        <w:ind w:firstLine="480"/>
        <w:rPr>
          <w:color w:val="000000" w:themeColor="text1"/>
          <w:szCs w:val="24"/>
        </w:rPr>
      </w:pPr>
      <w:r>
        <w:rPr>
          <w:rFonts w:hint="eastAsia"/>
          <w:color w:val="000000" w:themeColor="text1"/>
          <w:szCs w:val="24"/>
        </w:rPr>
        <w:t>砚山县土壤类型差异较大，全县分红壤、黄壤、紫色壤、石灰岩土、水稻土</w:t>
      </w:r>
      <w:r>
        <w:rPr>
          <w:color w:val="000000" w:themeColor="text1"/>
          <w:szCs w:val="24"/>
        </w:rPr>
        <w:t>5</w:t>
      </w:r>
      <w:r>
        <w:rPr>
          <w:rFonts w:hint="eastAsia"/>
          <w:color w:val="000000" w:themeColor="text1"/>
          <w:szCs w:val="24"/>
        </w:rPr>
        <w:t>个土类，</w:t>
      </w:r>
      <w:r>
        <w:rPr>
          <w:color w:val="000000" w:themeColor="text1"/>
          <w:szCs w:val="24"/>
        </w:rPr>
        <w:t>11</w:t>
      </w:r>
      <w:r>
        <w:rPr>
          <w:rFonts w:hint="eastAsia"/>
          <w:color w:val="000000" w:themeColor="text1"/>
          <w:szCs w:val="24"/>
        </w:rPr>
        <w:t>个亚类，</w:t>
      </w:r>
      <w:r>
        <w:rPr>
          <w:color w:val="000000" w:themeColor="text1"/>
          <w:szCs w:val="24"/>
        </w:rPr>
        <w:t>17</w:t>
      </w:r>
      <w:r>
        <w:rPr>
          <w:rFonts w:hint="eastAsia"/>
          <w:color w:val="000000" w:themeColor="text1"/>
          <w:szCs w:val="24"/>
        </w:rPr>
        <w:t>个土属，</w:t>
      </w:r>
      <w:r>
        <w:rPr>
          <w:color w:val="000000" w:themeColor="text1"/>
          <w:szCs w:val="24"/>
        </w:rPr>
        <w:t>31</w:t>
      </w:r>
      <w:r>
        <w:rPr>
          <w:rFonts w:hint="eastAsia"/>
          <w:color w:val="000000" w:themeColor="text1"/>
          <w:szCs w:val="24"/>
        </w:rPr>
        <w:t>个土种，土壤酸碱适中，有机质含量</w:t>
      </w:r>
      <w:r>
        <w:rPr>
          <w:color w:val="000000" w:themeColor="text1"/>
          <w:szCs w:val="24"/>
        </w:rPr>
        <w:t>2.7-6.8% g/kg</w:t>
      </w:r>
      <w:r>
        <w:rPr>
          <w:rFonts w:hint="eastAsia"/>
          <w:color w:val="000000" w:themeColor="text1"/>
          <w:szCs w:val="24"/>
        </w:rPr>
        <w:t>，普遍缺磷、少钾、微量元素含量普遍偏低。根据实地调查，评价区土壤类型主要为黄壤和红壤，在沟谷积斜坡部位分布有第四系表土层。土壤质地大部分为粘壤、粘土。土壤透气性差，土壤肥力一般。普遍呈微酸性，水解氮、速效磷、有机质含量都低，土壤结构差、保水保肥能力弱，缺乏抵御干旱的能力。</w:t>
      </w:r>
    </w:p>
    <w:p>
      <w:pPr>
        <w:adjustRightInd w:val="0"/>
        <w:snapToGrid w:val="0"/>
        <w:ind w:firstLine="480"/>
        <w:rPr>
          <w:color w:val="000000" w:themeColor="text1"/>
          <w:szCs w:val="24"/>
        </w:rPr>
      </w:pPr>
      <w:r>
        <w:rPr>
          <w:rFonts w:hint="eastAsia"/>
          <w:color w:val="000000" w:themeColor="text1"/>
          <w:szCs w:val="24"/>
        </w:rPr>
        <w:t>根据实地调查，项目区范围内主要土壤类型为红壤、红棕壤，土体疏松，土层厚度</w:t>
      </w:r>
      <w:r>
        <w:rPr>
          <w:color w:val="000000" w:themeColor="text1"/>
          <w:szCs w:val="24"/>
        </w:rPr>
        <w:t>2-3m</w:t>
      </w:r>
      <w:r>
        <w:rPr>
          <w:rFonts w:hint="eastAsia"/>
          <w:color w:val="000000" w:themeColor="text1"/>
          <w:szCs w:val="24"/>
        </w:rPr>
        <w:t>，农作物一年二熟，利于发展林、粮、果等多种作物。</w:t>
      </w:r>
    </w:p>
    <w:p>
      <w:pPr>
        <w:pStyle w:val="3"/>
        <w:rPr>
          <w:color w:val="000000" w:themeColor="text1"/>
        </w:rPr>
      </w:pPr>
      <w:bookmarkStart w:id="105" w:name="_Toc47375849"/>
      <w:r>
        <w:rPr>
          <w:rFonts w:hint="eastAsia"/>
          <w:color w:val="000000" w:themeColor="text1"/>
        </w:rPr>
        <w:t>4.6生态环境现状</w:t>
      </w:r>
      <w:bookmarkEnd w:id="105"/>
    </w:p>
    <w:p>
      <w:pPr>
        <w:ind w:firstLine="480"/>
        <w:rPr>
          <w:color w:val="000000" w:themeColor="text1"/>
        </w:rPr>
      </w:pPr>
      <w:r>
        <w:rPr>
          <w:rFonts w:hint="eastAsia"/>
          <w:color w:val="000000" w:themeColor="text1"/>
        </w:rPr>
        <w:t>（1）植被现状</w:t>
      </w:r>
    </w:p>
    <w:p>
      <w:pPr>
        <w:ind w:firstLine="480"/>
        <w:rPr>
          <w:color w:val="000000" w:themeColor="text1"/>
        </w:rPr>
      </w:pPr>
      <w:r>
        <w:rPr>
          <w:rFonts w:hint="eastAsia"/>
          <w:color w:val="000000" w:themeColor="text1"/>
        </w:rPr>
        <w:t>砚山县具有复杂多变的地形地貌特征和北亚热带、中亚热带、南温带等立体气候，生物资源丰富。在 389 种栽培植物中，除三七初步开发了医药、保健类的 10 多个系列 40 余种产品和辣椒初步开发 6 个系列 10 多个品种外，对 100 多种中草药材都有待于进行深入开发和综合利用。县境内植物资源丰富，树种主要有云南松，油杉、思茅松、杉木、麻栎、栓皮栎、樟木、夜合欢、黄杨木，还有国家列为一类、二类保护树种的水杉、银杏等。</w:t>
      </w:r>
    </w:p>
    <w:p>
      <w:pPr>
        <w:ind w:firstLine="480"/>
        <w:rPr>
          <w:color w:val="000000" w:themeColor="text1"/>
        </w:rPr>
      </w:pPr>
      <w:r>
        <w:rPr>
          <w:rFonts w:hint="eastAsia"/>
          <w:color w:val="000000" w:themeColor="text1"/>
        </w:rPr>
        <w:t>砚山县亚热带低纬度地区，境内山峦起伏，地形地貌复杂多样，植被种类较为丰富。</w:t>
      </w:r>
    </w:p>
    <w:p>
      <w:pPr>
        <w:ind w:firstLine="480"/>
        <w:rPr>
          <w:color w:val="000000" w:themeColor="text1"/>
        </w:rPr>
      </w:pPr>
      <w:r>
        <w:rPr>
          <w:rFonts w:hint="eastAsia"/>
          <w:color w:val="000000" w:themeColor="text1"/>
        </w:rPr>
        <w:t>本项目建设地点为工业建设用地，占地面积9613.84</w:t>
      </w:r>
      <w:r>
        <w:rPr>
          <w:color w:val="000000" w:themeColor="text1"/>
          <w:kern w:val="0"/>
        </w:rPr>
        <w:t>m</w:t>
      </w:r>
      <w:r>
        <w:rPr>
          <w:color w:val="000000" w:themeColor="text1"/>
          <w:kern w:val="0"/>
          <w:vertAlign w:val="superscript"/>
        </w:rPr>
        <w:t>2</w:t>
      </w:r>
      <w:r>
        <w:rPr>
          <w:rFonts w:hint="eastAsia"/>
          <w:color w:val="000000" w:themeColor="text1"/>
          <w:kern w:val="0"/>
        </w:rPr>
        <w:t>，</w:t>
      </w:r>
      <w:r>
        <w:rPr>
          <w:rFonts w:hint="eastAsia"/>
          <w:color w:val="000000" w:themeColor="text1"/>
        </w:rPr>
        <w:t>评价区范围内的主要植被类型有云南松林、石灰山灌丛、石灰山稀树草丛、水生植被和人工栽培植被。</w:t>
      </w:r>
      <w:r>
        <w:rPr>
          <w:rFonts w:hint="eastAsia" w:ascii="宋体" w:hAnsi="宋体"/>
          <w:snapToGrid w:val="0"/>
          <w:color w:val="000000" w:themeColor="text1"/>
        </w:rPr>
        <w:t>项目区域及周边200m范围内无珍稀濒危和国家重点保护野生植物、云南省级保护植物及地方狭域种类分布。</w:t>
      </w:r>
    </w:p>
    <w:p>
      <w:pPr>
        <w:ind w:firstLine="480"/>
        <w:rPr>
          <w:color w:val="000000" w:themeColor="text1"/>
        </w:rPr>
      </w:pPr>
      <w:r>
        <w:rPr>
          <w:rFonts w:hint="eastAsia"/>
          <w:color w:val="000000" w:themeColor="text1"/>
        </w:rPr>
        <w:t>（2）动物现状</w:t>
      </w:r>
    </w:p>
    <w:p>
      <w:pPr>
        <w:ind w:firstLine="480"/>
        <w:rPr>
          <w:color w:val="000000" w:themeColor="text1"/>
        </w:rPr>
      </w:pPr>
      <w:r>
        <w:rPr>
          <w:rFonts w:hint="eastAsia"/>
          <w:color w:val="000000" w:themeColor="text1"/>
        </w:rPr>
        <w:t>本项目建设地点为工业建设用地，其周围人类活动频繁，区内基本没有大型野生哺乳动物分布。根据现场踏勘，没有发现珍稀濒危野生动物，</w:t>
      </w:r>
      <w:r>
        <w:rPr>
          <w:rFonts w:hint="eastAsia" w:ascii="宋体" w:hAnsi="宋体"/>
          <w:snapToGrid w:val="0"/>
          <w:color w:val="000000" w:themeColor="text1"/>
        </w:rPr>
        <w:t>无国家重点保护的鸟类、两栖类、爬行类、哺乳类动物种类分布。属于被人类开发利用的农田生态系统，动物主要有麻雀、老鼠、蛇等小型爬行类，</w:t>
      </w:r>
      <w:r>
        <w:rPr>
          <w:rFonts w:hint="eastAsia"/>
          <w:color w:val="000000" w:themeColor="text1"/>
        </w:rPr>
        <w:t>且数量有限。</w:t>
      </w:r>
    </w:p>
    <w:p>
      <w:pPr>
        <w:ind w:firstLine="480"/>
        <w:rPr>
          <w:color w:val="000000" w:themeColor="text1"/>
          <w:sz w:val="32"/>
        </w:rPr>
      </w:pPr>
      <w:r>
        <w:rPr>
          <w:rFonts w:hint="eastAsia"/>
          <w:color w:val="000000" w:themeColor="text1"/>
        </w:rPr>
        <w:t>综上：根据调查和访问评价范围无特殊生态敏感区，无云南省和地方需要重点保护的野生动物和植物分布，也无古树和名木，</w:t>
      </w:r>
      <w:r>
        <w:rPr>
          <w:rFonts w:hint="eastAsia"/>
          <w:color w:val="000000" w:themeColor="text1"/>
          <w:kern w:val="0"/>
        </w:rPr>
        <w:t>也不是国家和省级重点保护动物的主要迁移通道</w:t>
      </w:r>
      <w:r>
        <w:rPr>
          <w:rFonts w:hint="eastAsia"/>
          <w:color w:val="000000" w:themeColor="text1"/>
        </w:rPr>
        <w:t>。</w:t>
      </w:r>
      <w:r>
        <w:rPr>
          <w:color w:val="000000" w:themeColor="text1"/>
        </w:rPr>
        <w:br w:type="page"/>
      </w:r>
    </w:p>
    <w:p>
      <w:pPr>
        <w:pStyle w:val="2"/>
        <w:spacing w:before="192" w:after="192"/>
        <w:rPr>
          <w:color w:val="000000" w:themeColor="text1"/>
        </w:rPr>
      </w:pPr>
      <w:bookmarkStart w:id="106" w:name="_Toc47375850"/>
      <w:r>
        <w:rPr>
          <w:rFonts w:hint="eastAsia"/>
          <w:color w:val="000000" w:themeColor="text1"/>
        </w:rPr>
        <w:t>5.施工期环境影响分析与评价</w:t>
      </w:r>
      <w:bookmarkEnd w:id="106"/>
    </w:p>
    <w:p>
      <w:pPr>
        <w:pStyle w:val="3"/>
        <w:rPr>
          <w:color w:val="000000" w:themeColor="text1"/>
        </w:rPr>
      </w:pPr>
      <w:bookmarkStart w:id="107" w:name="_Toc47375851"/>
      <w:bookmarkStart w:id="108" w:name="_Toc530059679"/>
      <w:bookmarkStart w:id="109" w:name="_Toc229976813"/>
      <w:bookmarkStart w:id="110" w:name="_Toc387938353"/>
      <w:bookmarkStart w:id="111" w:name="_Toc388604056"/>
      <w:r>
        <w:rPr>
          <w:rFonts w:hint="eastAsia"/>
          <w:color w:val="000000" w:themeColor="text1"/>
        </w:rPr>
        <w:t>5</w:t>
      </w:r>
      <w:r>
        <w:rPr>
          <w:color w:val="000000" w:themeColor="text1"/>
        </w:rPr>
        <w:t>.1</w:t>
      </w:r>
      <w:r>
        <w:rPr>
          <w:rFonts w:hint="eastAsia"/>
          <w:color w:val="000000" w:themeColor="text1"/>
        </w:rPr>
        <w:t>施工期大气环境影响分析及评价</w:t>
      </w:r>
      <w:bookmarkEnd w:id="107"/>
      <w:bookmarkEnd w:id="108"/>
      <w:bookmarkEnd w:id="109"/>
      <w:bookmarkEnd w:id="110"/>
      <w:bookmarkEnd w:id="111"/>
    </w:p>
    <w:p>
      <w:pPr>
        <w:pStyle w:val="38"/>
        <w:ind w:firstLine="281"/>
        <w:rPr>
          <w:color w:val="000000" w:themeColor="text1"/>
        </w:rPr>
      </w:pPr>
      <w:bookmarkStart w:id="112" w:name="_Toc530059680"/>
      <w:bookmarkStart w:id="113" w:name="_Toc326738745"/>
      <w:bookmarkStart w:id="114" w:name="_Toc387938355"/>
      <w:bookmarkStart w:id="115" w:name="_Toc47375852"/>
      <w:bookmarkStart w:id="116" w:name="_Toc388604058"/>
      <w:r>
        <w:rPr>
          <w:rFonts w:hint="eastAsia"/>
          <w:color w:val="000000" w:themeColor="text1"/>
        </w:rPr>
        <w:t>5</w:t>
      </w:r>
      <w:r>
        <w:rPr>
          <w:color w:val="000000" w:themeColor="text1"/>
        </w:rPr>
        <w:t>.1.1</w:t>
      </w:r>
      <w:r>
        <w:rPr>
          <w:rFonts w:hint="eastAsia"/>
          <w:color w:val="000000" w:themeColor="text1"/>
        </w:rPr>
        <w:t>粉尘扬尘对大气环境的影响</w:t>
      </w:r>
      <w:bookmarkEnd w:id="112"/>
      <w:bookmarkEnd w:id="113"/>
      <w:bookmarkEnd w:id="114"/>
      <w:bookmarkEnd w:id="115"/>
      <w:bookmarkEnd w:id="116"/>
    </w:p>
    <w:p>
      <w:pPr>
        <w:ind w:firstLine="480"/>
        <w:rPr>
          <w:color w:val="000000" w:themeColor="text1"/>
          <w:szCs w:val="24"/>
        </w:rPr>
      </w:pPr>
      <w:bookmarkStart w:id="117" w:name="_Toc326738746"/>
      <w:bookmarkStart w:id="118" w:name="_Toc388604059"/>
      <w:bookmarkStart w:id="119" w:name="_Toc387938356"/>
      <w:r>
        <w:rPr>
          <w:rFonts w:hint="eastAsia"/>
          <w:color w:val="000000" w:themeColor="text1"/>
        </w:rPr>
        <w:t>（</w:t>
      </w:r>
      <w:r>
        <w:rPr>
          <w:color w:val="000000" w:themeColor="text1"/>
        </w:rPr>
        <w:t>1</w:t>
      </w:r>
      <w:r>
        <w:rPr>
          <w:rFonts w:hint="eastAsia"/>
          <w:color w:val="000000" w:themeColor="text1"/>
        </w:rPr>
        <w:t>）施工扬尘</w:t>
      </w:r>
    </w:p>
    <w:p>
      <w:pPr>
        <w:ind w:firstLine="480"/>
        <w:rPr>
          <w:color w:val="000000" w:themeColor="text1"/>
          <w:lang w:val="sq-AL"/>
        </w:rPr>
      </w:pPr>
      <w:r>
        <w:rPr>
          <w:rFonts w:hint="eastAsia"/>
          <w:color w:val="000000" w:themeColor="text1"/>
        </w:rPr>
        <w:t>施工粉尘和扬尘是项目施工期最主要的污染物，主要来源于如下环节：建筑材料（白灰、水泥、砂子、石子、砖等）的搬运及堆放；施工材料的堆放及清理；施工期运输车辆运行，属间断性排放，对环境空气有一定影响。特别是在天气干燥、地面风速大的时期，影响较严重。但由于粉尘颗粒较重，容易沉降，影响范围一般局限于</w:t>
      </w:r>
      <w:r>
        <w:rPr>
          <w:color w:val="000000" w:themeColor="text1"/>
        </w:rPr>
        <w:t>200m</w:t>
      </w:r>
      <w:r>
        <w:rPr>
          <w:rFonts w:hint="eastAsia"/>
          <w:color w:val="000000" w:themeColor="text1"/>
        </w:rPr>
        <w:t>以内。</w:t>
      </w:r>
      <w:r>
        <w:rPr>
          <w:rFonts w:hint="eastAsia"/>
          <w:color w:val="000000" w:themeColor="text1"/>
          <w:lang w:val="sq-AL"/>
        </w:rPr>
        <w:t>因项目距离最近的是</w:t>
      </w:r>
      <w:r>
        <w:rPr>
          <w:rFonts w:hint="eastAsia"/>
          <w:color w:val="000000" w:themeColor="text1"/>
        </w:rPr>
        <w:t>东南侧50</w:t>
      </w:r>
      <w:r>
        <w:rPr>
          <w:color w:val="000000" w:themeColor="text1"/>
        </w:rPr>
        <w:t>0m</w:t>
      </w:r>
      <w:r>
        <w:rPr>
          <w:rFonts w:hint="eastAsia"/>
          <w:color w:val="000000" w:themeColor="text1"/>
        </w:rPr>
        <w:t>处的小龙白村居民</w:t>
      </w:r>
      <w:r>
        <w:rPr>
          <w:rFonts w:hint="eastAsia"/>
          <w:color w:val="000000" w:themeColor="text1"/>
          <w:lang w:val="sq-AL"/>
        </w:rPr>
        <w:t>，敏感目标距离较近，若不采取措施，施工扬尘将会对其将产生不良影响。</w:t>
      </w:r>
    </w:p>
    <w:p>
      <w:pPr>
        <w:ind w:firstLine="480"/>
        <w:rPr>
          <w:color w:val="000000" w:themeColor="text1"/>
          <w:lang w:val="sq-AL"/>
        </w:rPr>
      </w:pPr>
      <w:r>
        <w:rPr>
          <w:rFonts w:hint="eastAsia"/>
          <w:color w:val="000000" w:themeColor="text1"/>
          <w:lang w:val="sq-AL"/>
        </w:rPr>
        <w:t>（</w:t>
      </w:r>
      <w:r>
        <w:rPr>
          <w:color w:val="000000" w:themeColor="text1"/>
          <w:lang w:val="sq-AL"/>
        </w:rPr>
        <w:t>2</w:t>
      </w:r>
      <w:r>
        <w:rPr>
          <w:rFonts w:hint="eastAsia"/>
          <w:color w:val="000000" w:themeColor="text1"/>
          <w:lang w:val="sq-AL"/>
        </w:rPr>
        <w:t>）</w:t>
      </w:r>
      <w:r>
        <w:rPr>
          <w:rFonts w:hint="eastAsia"/>
          <w:color w:val="000000" w:themeColor="text1"/>
        </w:rPr>
        <w:t>汽车尾气</w:t>
      </w:r>
    </w:p>
    <w:p>
      <w:pPr>
        <w:ind w:firstLine="480"/>
        <w:rPr>
          <w:color w:val="000000" w:themeColor="text1"/>
        </w:rPr>
      </w:pPr>
      <w:r>
        <w:rPr>
          <w:rFonts w:hint="eastAsia"/>
          <w:color w:val="000000" w:themeColor="text1"/>
        </w:rPr>
        <w:t>本项目施工量小，运输不大，道路扬尘污染不大。汽车运输产生的道路扬尘量与车型、车速、车流量、风速、道路表面积尘、尘土湿度等有关。根据交通部公路研究所对施工现场车辆扬尘监测结果：下风向</w:t>
      </w:r>
      <w:r>
        <w:rPr>
          <w:color w:val="000000" w:themeColor="text1"/>
        </w:rPr>
        <w:t>150m</w:t>
      </w:r>
      <w:r>
        <w:rPr>
          <w:rFonts w:hint="eastAsia"/>
          <w:color w:val="000000" w:themeColor="text1"/>
        </w:rPr>
        <w:t>处扬尘瞬时浓度达</w:t>
      </w:r>
      <w:r>
        <w:rPr>
          <w:color w:val="000000" w:themeColor="text1"/>
        </w:rPr>
        <w:t>3.49 mg/m</w:t>
      </w:r>
      <w:r>
        <w:rPr>
          <w:color w:val="000000" w:themeColor="text1"/>
          <w:vertAlign w:val="superscript"/>
        </w:rPr>
        <w:t>3</w:t>
      </w:r>
      <w:r>
        <w:rPr>
          <w:rFonts w:hint="eastAsia"/>
          <w:color w:val="000000" w:themeColor="text1"/>
        </w:rPr>
        <w:t>，超过《环境空气质量标准》（</w:t>
      </w:r>
      <w:r>
        <w:rPr>
          <w:color w:val="000000" w:themeColor="text1"/>
        </w:rPr>
        <w:t>GB3096</w:t>
      </w:r>
      <w:r>
        <w:rPr>
          <w:rFonts w:hint="eastAsia"/>
          <w:color w:val="000000" w:themeColor="text1"/>
        </w:rPr>
        <w:t>－</w:t>
      </w:r>
      <w:r>
        <w:rPr>
          <w:color w:val="000000" w:themeColor="text1"/>
        </w:rPr>
        <w:t>2012</w:t>
      </w:r>
      <w:r>
        <w:rPr>
          <w:rFonts w:hint="eastAsia"/>
          <w:color w:val="000000" w:themeColor="text1"/>
        </w:rPr>
        <w:t>）二级标准中</w:t>
      </w:r>
      <w:r>
        <w:rPr>
          <w:color w:val="000000" w:themeColor="text1"/>
        </w:rPr>
        <w:t>1</w:t>
      </w:r>
      <w:r>
        <w:rPr>
          <w:rFonts w:hint="eastAsia"/>
          <w:color w:val="000000" w:themeColor="text1"/>
        </w:rPr>
        <w:t>小时平均值的</w:t>
      </w:r>
      <w:r>
        <w:rPr>
          <w:color w:val="000000" w:themeColor="text1"/>
        </w:rPr>
        <w:t>2.9</w:t>
      </w:r>
      <w:r>
        <w:rPr>
          <w:rFonts w:hint="eastAsia"/>
          <w:color w:val="000000" w:themeColor="text1"/>
        </w:rPr>
        <w:t>倍。项目运输车辆运输产尘对施工道路两侧影响较大。</w:t>
      </w:r>
    </w:p>
    <w:p>
      <w:pPr>
        <w:ind w:firstLine="480"/>
        <w:rPr>
          <w:color w:val="000000" w:themeColor="text1"/>
        </w:rPr>
      </w:pPr>
      <w:r>
        <w:rPr>
          <w:rFonts w:hint="eastAsia"/>
          <w:color w:val="000000" w:themeColor="text1"/>
        </w:rPr>
        <w:t>项目所在地东侧道路为永红公路，500m以内道路两侧未分布居民。本工程施工期建筑材料清运可采取遮盖措施，避免建筑材料抛洒，可有效防治运输扬尘的污染。</w:t>
      </w:r>
    </w:p>
    <w:p>
      <w:pPr>
        <w:ind w:firstLine="480"/>
        <w:rPr>
          <w:color w:val="000000" w:themeColor="text1"/>
        </w:rPr>
      </w:pPr>
      <w:r>
        <w:rPr>
          <w:rFonts w:hint="eastAsia"/>
          <w:color w:val="000000" w:themeColor="text1"/>
        </w:rPr>
        <w:t>（</w:t>
      </w:r>
      <w:r>
        <w:rPr>
          <w:color w:val="000000" w:themeColor="text1"/>
        </w:rPr>
        <w:t>3</w:t>
      </w:r>
      <w:r>
        <w:rPr>
          <w:rFonts w:hint="eastAsia"/>
          <w:color w:val="000000" w:themeColor="text1"/>
        </w:rPr>
        <w:t>）施工机械废气影响分析</w:t>
      </w:r>
    </w:p>
    <w:p>
      <w:pPr>
        <w:ind w:firstLine="480"/>
        <w:rPr>
          <w:color w:val="000000" w:themeColor="text1"/>
        </w:rPr>
      </w:pPr>
      <w:r>
        <w:rPr>
          <w:rFonts w:hint="eastAsia"/>
          <w:color w:val="000000" w:themeColor="text1"/>
        </w:rPr>
        <w:t>施工机械和运输车辆在施工期间产生的废气主要是</w:t>
      </w:r>
      <w:r>
        <w:rPr>
          <w:color w:val="000000" w:themeColor="text1"/>
        </w:rPr>
        <w:t>CO</w:t>
      </w:r>
      <w:r>
        <w:rPr>
          <w:rFonts w:hint="eastAsia"/>
          <w:color w:val="000000" w:themeColor="text1"/>
        </w:rPr>
        <w:t>、碳氢化合物等，也将对周围环境产生影响，施工机械和运输车辆尾气排放相对较小，尾气排放点随设备移动呈不固定方式排放，在空气环境中经一定的距离自然扩散、稀释后，对评价区域空气质量影响不大。</w:t>
      </w:r>
    </w:p>
    <w:p>
      <w:pPr>
        <w:pStyle w:val="38"/>
        <w:ind w:firstLine="281"/>
        <w:rPr>
          <w:color w:val="000000" w:themeColor="text1"/>
        </w:rPr>
      </w:pPr>
      <w:bookmarkStart w:id="120" w:name="_Toc326738744"/>
      <w:bookmarkStart w:id="121" w:name="_Toc388604057"/>
      <w:bookmarkStart w:id="122" w:name="_Toc387938354"/>
      <w:bookmarkStart w:id="123" w:name="_Toc530059681"/>
      <w:bookmarkStart w:id="124" w:name="_Toc47375853"/>
      <w:r>
        <w:rPr>
          <w:rFonts w:hint="eastAsia"/>
          <w:color w:val="000000" w:themeColor="text1"/>
        </w:rPr>
        <w:t>5</w:t>
      </w:r>
      <w:r>
        <w:rPr>
          <w:color w:val="000000" w:themeColor="text1"/>
        </w:rPr>
        <w:t>.1.2</w:t>
      </w:r>
      <w:bookmarkEnd w:id="120"/>
      <w:bookmarkEnd w:id="121"/>
      <w:bookmarkEnd w:id="122"/>
      <w:r>
        <w:rPr>
          <w:rFonts w:hint="eastAsia"/>
          <w:color w:val="000000" w:themeColor="text1"/>
        </w:rPr>
        <w:t>装修废气对大气环境的影响</w:t>
      </w:r>
      <w:bookmarkEnd w:id="117"/>
      <w:bookmarkEnd w:id="118"/>
      <w:bookmarkEnd w:id="119"/>
      <w:bookmarkEnd w:id="123"/>
      <w:bookmarkEnd w:id="124"/>
    </w:p>
    <w:p>
      <w:pPr>
        <w:ind w:firstLine="480"/>
        <w:rPr>
          <w:color w:val="000000" w:themeColor="text1"/>
          <w:szCs w:val="24"/>
          <w:lang w:val="sq-AL"/>
        </w:rPr>
      </w:pPr>
      <w:r>
        <w:rPr>
          <w:rFonts w:hint="eastAsia"/>
          <w:color w:val="000000" w:themeColor="text1"/>
          <w:lang w:val="sq-AL"/>
        </w:rPr>
        <w:t>根据本项目工程分析，装修阶段需向周围大气环境排放甲苯和二甲苯。但排放时间和部位不能十分明确，随机性大，时间跨度很长，装修阶段的油漆废气排放周期短，且作业点分散，故产生的油漆废气对周围环境基本不会带来明显的影响。</w:t>
      </w:r>
    </w:p>
    <w:p>
      <w:pPr>
        <w:pStyle w:val="3"/>
        <w:rPr>
          <w:color w:val="000000" w:themeColor="text1"/>
          <w:sz w:val="32"/>
        </w:rPr>
      </w:pPr>
      <w:bookmarkStart w:id="125" w:name="_Toc47375854"/>
      <w:bookmarkStart w:id="126" w:name="_Toc530059683"/>
      <w:bookmarkStart w:id="127" w:name="_Toc387938358"/>
      <w:bookmarkStart w:id="128" w:name="_Toc326738747"/>
      <w:bookmarkStart w:id="129" w:name="_Toc388604060"/>
      <w:r>
        <w:rPr>
          <w:rFonts w:hint="eastAsia"/>
          <w:color w:val="000000" w:themeColor="text1"/>
        </w:rPr>
        <w:t>5.</w:t>
      </w:r>
      <w:r>
        <w:rPr>
          <w:color w:val="000000" w:themeColor="text1"/>
        </w:rPr>
        <w:t>2</w:t>
      </w:r>
      <w:r>
        <w:rPr>
          <w:rFonts w:hint="eastAsia"/>
          <w:color w:val="000000" w:themeColor="text1"/>
        </w:rPr>
        <w:t>施工期水环境影响分析</w:t>
      </w:r>
      <w:bookmarkEnd w:id="125"/>
      <w:bookmarkEnd w:id="126"/>
      <w:bookmarkEnd w:id="127"/>
      <w:bookmarkEnd w:id="128"/>
      <w:bookmarkEnd w:id="129"/>
    </w:p>
    <w:p>
      <w:pPr>
        <w:pStyle w:val="38"/>
        <w:ind w:firstLine="281"/>
        <w:rPr>
          <w:color w:val="000000" w:themeColor="text1"/>
        </w:rPr>
      </w:pPr>
      <w:bookmarkStart w:id="130" w:name="_Toc388604061"/>
      <w:bookmarkStart w:id="131" w:name="_Toc387938359"/>
      <w:bookmarkStart w:id="132" w:name="_Toc326738748"/>
      <w:bookmarkStart w:id="133" w:name="_Toc47375855"/>
      <w:bookmarkStart w:id="134" w:name="_Toc530059684"/>
      <w:r>
        <w:rPr>
          <w:rFonts w:hint="eastAsia"/>
          <w:color w:val="000000" w:themeColor="text1"/>
        </w:rPr>
        <w:t>5</w:t>
      </w:r>
      <w:r>
        <w:rPr>
          <w:color w:val="000000" w:themeColor="text1"/>
          <w:szCs w:val="28"/>
        </w:rPr>
        <w:t>.2.1</w:t>
      </w:r>
      <w:r>
        <w:rPr>
          <w:rFonts w:hint="eastAsia"/>
          <w:color w:val="000000" w:themeColor="text1"/>
          <w:szCs w:val="28"/>
        </w:rPr>
        <w:t>施工废水水环境影响分析</w:t>
      </w:r>
      <w:bookmarkEnd w:id="130"/>
      <w:bookmarkEnd w:id="131"/>
      <w:bookmarkEnd w:id="132"/>
      <w:bookmarkEnd w:id="133"/>
      <w:bookmarkEnd w:id="134"/>
    </w:p>
    <w:p>
      <w:pPr>
        <w:widowControl/>
        <w:adjustRightInd w:val="0"/>
        <w:snapToGrid w:val="0"/>
        <w:ind w:firstLine="480"/>
        <w:rPr>
          <w:color w:val="000000" w:themeColor="text1"/>
          <w:kern w:val="0"/>
          <w:szCs w:val="24"/>
        </w:rPr>
      </w:pPr>
      <w:bookmarkStart w:id="135" w:name="_Toc388604064"/>
      <w:bookmarkStart w:id="136" w:name="_Toc326738751"/>
      <w:bookmarkStart w:id="137" w:name="_Toc387938362"/>
      <w:r>
        <w:rPr>
          <w:rFonts w:hint="eastAsia"/>
          <w:color w:val="000000" w:themeColor="text1"/>
          <w:kern w:val="0"/>
        </w:rPr>
        <w:t>由工程分析可知，项目施工过程中将产生</w:t>
      </w:r>
      <w:r>
        <w:rPr>
          <w:rFonts w:hint="eastAsia"/>
          <w:color w:val="000000" w:themeColor="text1"/>
        </w:rPr>
        <w:t>1066</w:t>
      </w:r>
      <w:r>
        <w:rPr>
          <w:color w:val="000000" w:themeColor="text1"/>
          <w:kern w:val="0"/>
        </w:rPr>
        <w:t>m</w:t>
      </w:r>
      <w:r>
        <w:rPr>
          <w:color w:val="000000" w:themeColor="text1"/>
          <w:kern w:val="0"/>
          <w:vertAlign w:val="superscript"/>
        </w:rPr>
        <w:t>3</w:t>
      </w:r>
      <w:r>
        <w:rPr>
          <w:rFonts w:hint="eastAsia"/>
          <w:color w:val="000000" w:themeColor="text1"/>
          <w:kern w:val="0"/>
        </w:rPr>
        <w:t>的施工废水，产生量较大，如果施工废水任意排放，则会对项目区环境造成负面影响。所以本报告书要求项目方在施工过程中设置施工废水沉清池，将废水引入池中进行沉清处理后回用于建筑材料的冲洗、施工场地喷水降尘等，施工废水不外排，经过上述措施处理后施工废水对周边地表水环境</w:t>
      </w:r>
      <w:r>
        <w:rPr>
          <w:rFonts w:hint="eastAsia"/>
          <w:color w:val="000000" w:themeColor="text1"/>
        </w:rPr>
        <w:t>影响可以接受</w:t>
      </w:r>
      <w:r>
        <w:rPr>
          <w:rFonts w:hint="eastAsia"/>
          <w:color w:val="000000" w:themeColor="text1"/>
          <w:kern w:val="0"/>
        </w:rPr>
        <w:t>。</w:t>
      </w:r>
    </w:p>
    <w:p>
      <w:pPr>
        <w:pStyle w:val="38"/>
        <w:ind w:firstLine="281"/>
        <w:rPr>
          <w:color w:val="000000" w:themeColor="text1"/>
        </w:rPr>
      </w:pPr>
      <w:bookmarkStart w:id="138" w:name="_Toc530059685"/>
      <w:bookmarkStart w:id="139" w:name="_Toc47375856"/>
      <w:r>
        <w:rPr>
          <w:rFonts w:hint="eastAsia"/>
          <w:color w:val="000000" w:themeColor="text1"/>
        </w:rPr>
        <w:t>5</w:t>
      </w:r>
      <w:r>
        <w:rPr>
          <w:color w:val="000000" w:themeColor="text1"/>
        </w:rPr>
        <w:t>.2.2</w:t>
      </w:r>
      <w:r>
        <w:rPr>
          <w:rFonts w:hint="eastAsia"/>
          <w:color w:val="000000" w:themeColor="text1"/>
        </w:rPr>
        <w:t>施工期生活污水环境影响分析</w:t>
      </w:r>
      <w:bookmarkEnd w:id="135"/>
      <w:bookmarkEnd w:id="136"/>
      <w:bookmarkEnd w:id="137"/>
      <w:bookmarkEnd w:id="138"/>
      <w:bookmarkEnd w:id="139"/>
    </w:p>
    <w:p>
      <w:pPr>
        <w:widowControl/>
        <w:adjustRightInd w:val="0"/>
        <w:snapToGrid w:val="0"/>
        <w:ind w:firstLine="480"/>
        <w:rPr>
          <w:color w:val="000000" w:themeColor="text1"/>
          <w:kern w:val="0"/>
          <w:szCs w:val="24"/>
        </w:rPr>
      </w:pPr>
      <w:bookmarkStart w:id="140" w:name="_Toc326738752"/>
      <w:bookmarkStart w:id="141" w:name="_Toc387938363"/>
      <w:bookmarkStart w:id="142" w:name="_Toc388604065"/>
      <w:bookmarkStart w:id="143" w:name="_Toc143085390"/>
      <w:bookmarkStart w:id="144" w:name="_Toc229976815"/>
      <w:r>
        <w:rPr>
          <w:rFonts w:hint="eastAsia"/>
          <w:color w:val="000000" w:themeColor="text1"/>
          <w:kern w:val="0"/>
        </w:rPr>
        <w:t>根据工程分析，施工人员的生活污水产生量为</w:t>
      </w:r>
      <w:r>
        <w:rPr>
          <w:rFonts w:hint="eastAsia"/>
          <w:color w:val="000000" w:themeColor="text1"/>
        </w:rPr>
        <w:t>0.6</w:t>
      </w:r>
      <w:r>
        <w:rPr>
          <w:color w:val="000000" w:themeColor="text1"/>
          <w:kern w:val="0"/>
        </w:rPr>
        <w:t>m</w:t>
      </w:r>
      <w:r>
        <w:rPr>
          <w:color w:val="000000" w:themeColor="text1"/>
          <w:kern w:val="0"/>
          <w:vertAlign w:val="superscript"/>
        </w:rPr>
        <w:t>3</w:t>
      </w:r>
      <w:r>
        <w:rPr>
          <w:color w:val="000000" w:themeColor="text1"/>
          <w:kern w:val="0"/>
        </w:rPr>
        <w:t>/d</w:t>
      </w:r>
      <w:r>
        <w:rPr>
          <w:rFonts w:hint="eastAsia"/>
          <w:color w:val="000000" w:themeColor="text1"/>
          <w:kern w:val="0"/>
        </w:rPr>
        <w:t>，整个施工期产生总量为</w:t>
      </w:r>
      <w:r>
        <w:rPr>
          <w:rFonts w:hint="eastAsia"/>
          <w:color w:val="000000" w:themeColor="text1"/>
        </w:rPr>
        <w:t>108</w:t>
      </w:r>
      <w:r>
        <w:rPr>
          <w:color w:val="000000" w:themeColor="text1"/>
          <w:kern w:val="0"/>
        </w:rPr>
        <w:t>m</w:t>
      </w:r>
      <w:r>
        <w:rPr>
          <w:color w:val="000000" w:themeColor="text1"/>
          <w:kern w:val="0"/>
          <w:vertAlign w:val="superscript"/>
        </w:rPr>
        <w:t>3</w:t>
      </w:r>
      <w:r>
        <w:rPr>
          <w:rFonts w:hint="eastAsia"/>
          <w:color w:val="000000" w:themeColor="text1"/>
          <w:kern w:val="0"/>
        </w:rPr>
        <w:t>，项目区不设施工营地，生活污水主要来自洗手、清洁用水，施工期生活污水排放量较小，污染物成分简单，主要污染因子为</w:t>
      </w:r>
      <w:r>
        <w:rPr>
          <w:color w:val="000000" w:themeColor="text1"/>
          <w:kern w:val="0"/>
        </w:rPr>
        <w:t>SS</w:t>
      </w:r>
      <w:r>
        <w:rPr>
          <w:rFonts w:hint="eastAsia"/>
          <w:color w:val="000000" w:themeColor="text1"/>
          <w:kern w:val="0"/>
        </w:rPr>
        <w:t>、</w:t>
      </w:r>
      <w:r>
        <w:rPr>
          <w:color w:val="000000" w:themeColor="text1"/>
          <w:kern w:val="0"/>
        </w:rPr>
        <w:t>COD</w:t>
      </w:r>
      <w:r>
        <w:rPr>
          <w:rFonts w:hint="eastAsia"/>
          <w:color w:val="000000" w:themeColor="text1"/>
          <w:kern w:val="0"/>
        </w:rPr>
        <w:t>、</w:t>
      </w:r>
      <w:r>
        <w:rPr>
          <w:color w:val="000000" w:themeColor="text1"/>
          <w:kern w:val="0"/>
        </w:rPr>
        <w:t>NH</w:t>
      </w:r>
      <w:r>
        <w:rPr>
          <w:color w:val="000000" w:themeColor="text1"/>
          <w:kern w:val="0"/>
          <w:vertAlign w:val="subscript"/>
        </w:rPr>
        <w:t>3</w:t>
      </w:r>
      <w:r>
        <w:rPr>
          <w:color w:val="000000" w:themeColor="text1"/>
          <w:kern w:val="0"/>
        </w:rPr>
        <w:t>-N</w:t>
      </w:r>
      <w:r>
        <w:rPr>
          <w:rFonts w:hint="eastAsia"/>
          <w:color w:val="000000" w:themeColor="text1"/>
          <w:kern w:val="0"/>
        </w:rPr>
        <w:t>、</w:t>
      </w:r>
      <w:r>
        <w:rPr>
          <w:color w:val="000000" w:themeColor="text1"/>
          <w:kern w:val="0"/>
        </w:rPr>
        <w:t>BOD</w:t>
      </w:r>
      <w:r>
        <w:rPr>
          <w:color w:val="000000" w:themeColor="text1"/>
          <w:kern w:val="0"/>
          <w:vertAlign w:val="subscript"/>
        </w:rPr>
        <w:t>5</w:t>
      </w:r>
      <w:r>
        <w:rPr>
          <w:rFonts w:hint="eastAsia"/>
          <w:color w:val="000000" w:themeColor="text1"/>
          <w:kern w:val="0"/>
        </w:rPr>
        <w:t>等。粪便污水排入临时旱厕经收集后委托周边农户清掏用作农肥，其他较清洁的生活污水经沉清池处理后用于施工场地内洒水降尘。施工生活污水不外排，对周边地表水环境影响不大。</w:t>
      </w:r>
    </w:p>
    <w:p>
      <w:pPr>
        <w:widowControl/>
        <w:adjustRightInd w:val="0"/>
        <w:snapToGrid w:val="0"/>
        <w:ind w:firstLine="480"/>
        <w:rPr>
          <w:color w:val="000000" w:themeColor="text1"/>
          <w:kern w:val="0"/>
        </w:rPr>
      </w:pPr>
      <w:r>
        <w:rPr>
          <w:rFonts w:hint="eastAsia"/>
          <w:color w:val="000000" w:themeColor="text1"/>
          <w:kern w:val="0"/>
        </w:rPr>
        <w:t>总之，项目施工期施工废水采取沉清处理后再利用，不外排；生活污水中粪便污水经临时旱厕收集后委托周边农户清掏用作农肥，其他较清洁的生活污水经统一收集沉清处理后用于施工场地洒水降尘不外排。可有效防治项目施工对水环境的影响。</w:t>
      </w:r>
    </w:p>
    <w:p>
      <w:pPr>
        <w:pStyle w:val="3"/>
        <w:rPr>
          <w:color w:val="000000" w:themeColor="text1"/>
          <w:sz w:val="32"/>
        </w:rPr>
      </w:pPr>
      <w:bookmarkStart w:id="145" w:name="_Toc530059686"/>
      <w:bookmarkStart w:id="146" w:name="_Toc47375857"/>
      <w:r>
        <w:rPr>
          <w:rFonts w:hint="eastAsia"/>
          <w:color w:val="000000" w:themeColor="text1"/>
        </w:rPr>
        <w:t>5</w:t>
      </w:r>
      <w:r>
        <w:rPr>
          <w:color w:val="000000" w:themeColor="text1"/>
        </w:rPr>
        <w:t>.3</w:t>
      </w:r>
      <w:r>
        <w:rPr>
          <w:rFonts w:hint="eastAsia"/>
          <w:color w:val="000000" w:themeColor="text1"/>
        </w:rPr>
        <w:t>施工期声环境影响分析</w:t>
      </w:r>
      <w:bookmarkEnd w:id="140"/>
      <w:bookmarkEnd w:id="141"/>
      <w:bookmarkEnd w:id="142"/>
      <w:bookmarkEnd w:id="145"/>
      <w:bookmarkEnd w:id="146"/>
    </w:p>
    <w:p>
      <w:pPr>
        <w:widowControl/>
        <w:ind w:firstLine="480"/>
        <w:rPr>
          <w:bCs/>
          <w:color w:val="000000" w:themeColor="text1"/>
        </w:rPr>
      </w:pPr>
      <w:bookmarkStart w:id="147" w:name="_Toc326738756"/>
      <w:bookmarkStart w:id="148" w:name="_Toc387938367"/>
      <w:bookmarkStart w:id="149" w:name="_Toc388604068"/>
      <w:r>
        <w:rPr>
          <w:rFonts w:hint="eastAsia"/>
          <w:bCs/>
          <w:color w:val="000000" w:themeColor="text1"/>
        </w:rPr>
        <w:t>（1）根据工程分析可知，噪声源主要为施工设备、建筑材料等运输车辆以及施工人员，其中，设备声压级为</w:t>
      </w:r>
      <w:r>
        <w:rPr>
          <w:bCs/>
          <w:color w:val="000000" w:themeColor="text1"/>
        </w:rPr>
        <w:t>75</w:t>
      </w:r>
      <w:r>
        <w:rPr>
          <w:rFonts w:hint="eastAsia"/>
          <w:bCs/>
          <w:color w:val="000000" w:themeColor="text1"/>
        </w:rPr>
        <w:t>～</w:t>
      </w:r>
      <w:r>
        <w:rPr>
          <w:bCs/>
          <w:color w:val="000000" w:themeColor="text1"/>
        </w:rPr>
        <w:t>95dB(A)</w:t>
      </w:r>
      <w:r>
        <w:rPr>
          <w:rFonts w:hint="eastAsia"/>
          <w:bCs/>
          <w:color w:val="000000" w:themeColor="text1"/>
        </w:rPr>
        <w:t>、施工车辆噪声声压级为</w:t>
      </w:r>
      <w:r>
        <w:rPr>
          <w:bCs/>
          <w:color w:val="000000" w:themeColor="text1"/>
        </w:rPr>
        <w:t>75</w:t>
      </w:r>
      <w:r>
        <w:rPr>
          <w:rFonts w:hint="eastAsia"/>
          <w:bCs/>
          <w:color w:val="000000" w:themeColor="text1"/>
        </w:rPr>
        <w:t>～</w:t>
      </w:r>
      <w:r>
        <w:rPr>
          <w:bCs/>
          <w:color w:val="000000" w:themeColor="text1"/>
        </w:rPr>
        <w:t>80dB(A)</w:t>
      </w:r>
      <w:r>
        <w:rPr>
          <w:rFonts w:hint="eastAsia"/>
          <w:bCs/>
          <w:color w:val="000000" w:themeColor="text1"/>
        </w:rPr>
        <w:t>、施工人员活动噪声声压级为</w:t>
      </w:r>
      <w:r>
        <w:rPr>
          <w:bCs/>
          <w:color w:val="000000" w:themeColor="text1"/>
        </w:rPr>
        <w:t>50</w:t>
      </w:r>
      <w:r>
        <w:rPr>
          <w:rFonts w:hint="eastAsia"/>
          <w:bCs/>
          <w:color w:val="000000" w:themeColor="text1"/>
        </w:rPr>
        <w:t>～</w:t>
      </w:r>
      <w:r>
        <w:rPr>
          <w:bCs/>
          <w:color w:val="000000" w:themeColor="text1"/>
        </w:rPr>
        <w:t>65dB(A)</w:t>
      </w:r>
      <w:r>
        <w:rPr>
          <w:rFonts w:hint="eastAsia"/>
          <w:bCs/>
          <w:color w:val="000000" w:themeColor="text1"/>
        </w:rPr>
        <w:t>。根据建设项目施工机械的作业分布、噪声强度，采用噪声衰减模型对项目施工期最大噪声影响进行预测。</w:t>
      </w:r>
    </w:p>
    <w:p>
      <w:pPr>
        <w:ind w:firstLine="480"/>
        <w:rPr>
          <w:color w:val="000000" w:themeColor="text1"/>
        </w:rPr>
      </w:pPr>
      <w:r>
        <w:rPr>
          <w:color w:val="000000" w:themeColor="text1"/>
        </w:rPr>
        <w:t>Loct(r)</w:t>
      </w:r>
      <w:r>
        <w:rPr>
          <w:rFonts w:hint="eastAsia"/>
          <w:color w:val="000000" w:themeColor="text1"/>
        </w:rPr>
        <w:t>＝</w:t>
      </w:r>
      <w:r>
        <w:rPr>
          <w:color w:val="000000" w:themeColor="text1"/>
        </w:rPr>
        <w:t>Loct(r0)</w:t>
      </w:r>
      <w:r>
        <w:rPr>
          <w:rFonts w:hint="eastAsia"/>
          <w:color w:val="000000" w:themeColor="text1"/>
        </w:rPr>
        <w:t>－</w:t>
      </w:r>
      <w:r>
        <w:rPr>
          <w:color w:val="000000" w:themeColor="text1"/>
        </w:rPr>
        <w:t>20lg(r/r0)</w:t>
      </w:r>
      <w:r>
        <w:rPr>
          <w:rFonts w:hint="eastAsia"/>
          <w:color w:val="000000" w:themeColor="text1"/>
        </w:rPr>
        <w:t>－</w:t>
      </w:r>
      <w:r>
        <w:rPr>
          <w:rFonts w:ascii="Cambria Math" w:hAnsi="Cambria Math" w:cs="Cambria Math"/>
          <w:color w:val="000000" w:themeColor="text1"/>
        </w:rPr>
        <w:t>△</w:t>
      </w:r>
      <w:r>
        <w:rPr>
          <w:rFonts w:cs="Times New Roman"/>
          <w:color w:val="000000" w:themeColor="text1"/>
        </w:rPr>
        <w:t>Loct</w:t>
      </w:r>
    </w:p>
    <w:p>
      <w:pPr>
        <w:widowControl/>
        <w:ind w:firstLine="480"/>
        <w:rPr>
          <w:bCs/>
          <w:color w:val="000000" w:themeColor="text1"/>
        </w:rPr>
      </w:pPr>
      <w:r>
        <w:rPr>
          <w:rFonts w:hint="eastAsia"/>
          <w:bCs/>
          <w:color w:val="000000" w:themeColor="text1"/>
        </w:rPr>
        <w:t>式中：</w:t>
      </w:r>
      <w:r>
        <w:rPr>
          <w:bCs/>
          <w:color w:val="000000" w:themeColor="text1"/>
        </w:rPr>
        <w:t>Loct(r)—</w:t>
      </w:r>
      <w:r>
        <w:rPr>
          <w:rFonts w:hint="eastAsia"/>
          <w:bCs/>
          <w:color w:val="000000" w:themeColor="text1"/>
        </w:rPr>
        <w:t>点声源在预测点产生的声压级；</w:t>
      </w:r>
    </w:p>
    <w:p>
      <w:pPr>
        <w:widowControl/>
        <w:ind w:firstLine="480"/>
        <w:rPr>
          <w:bCs/>
          <w:color w:val="000000" w:themeColor="text1"/>
        </w:rPr>
      </w:pPr>
      <w:r>
        <w:rPr>
          <w:bCs/>
          <w:color w:val="000000" w:themeColor="text1"/>
        </w:rPr>
        <w:t>Loct(r0)—</w:t>
      </w:r>
      <w:r>
        <w:rPr>
          <w:rFonts w:hint="eastAsia"/>
          <w:bCs/>
          <w:color w:val="000000" w:themeColor="text1"/>
        </w:rPr>
        <w:t>参考位置处的声压级；</w:t>
      </w:r>
    </w:p>
    <w:p>
      <w:pPr>
        <w:widowControl/>
        <w:ind w:firstLine="480"/>
        <w:rPr>
          <w:bCs/>
          <w:color w:val="000000" w:themeColor="text1"/>
        </w:rPr>
      </w:pPr>
      <w:r>
        <w:rPr>
          <w:bCs/>
          <w:color w:val="000000" w:themeColor="text1"/>
        </w:rPr>
        <w:t>r0—</w:t>
      </w:r>
      <w:r>
        <w:rPr>
          <w:rFonts w:hint="eastAsia"/>
          <w:bCs/>
          <w:color w:val="000000" w:themeColor="text1"/>
        </w:rPr>
        <w:t>参考位置测点与声源之间的距离</w:t>
      </w:r>
      <w:r>
        <w:rPr>
          <w:bCs/>
          <w:color w:val="000000" w:themeColor="text1"/>
        </w:rPr>
        <w:t>(m)</w:t>
      </w:r>
      <w:r>
        <w:rPr>
          <w:rFonts w:hint="eastAsia"/>
          <w:bCs/>
          <w:color w:val="000000" w:themeColor="text1"/>
        </w:rPr>
        <w:t>；</w:t>
      </w:r>
    </w:p>
    <w:p>
      <w:pPr>
        <w:widowControl/>
        <w:ind w:firstLine="480"/>
        <w:rPr>
          <w:bCs/>
          <w:color w:val="000000" w:themeColor="text1"/>
        </w:rPr>
      </w:pPr>
      <w:r>
        <w:rPr>
          <w:bCs/>
          <w:color w:val="000000" w:themeColor="text1"/>
        </w:rPr>
        <w:t>r—</w:t>
      </w:r>
      <w:r>
        <w:rPr>
          <w:rFonts w:hint="eastAsia"/>
          <w:bCs/>
          <w:color w:val="000000" w:themeColor="text1"/>
        </w:rPr>
        <w:t>预测点与声源之间的距离</w:t>
      </w:r>
      <w:r>
        <w:rPr>
          <w:bCs/>
          <w:color w:val="000000" w:themeColor="text1"/>
        </w:rPr>
        <w:t>(m)</w:t>
      </w:r>
      <w:r>
        <w:rPr>
          <w:rFonts w:hint="eastAsia"/>
          <w:bCs/>
          <w:color w:val="000000" w:themeColor="text1"/>
        </w:rPr>
        <w:t>；</w:t>
      </w:r>
    </w:p>
    <w:p>
      <w:pPr>
        <w:widowControl/>
        <w:ind w:firstLine="480"/>
        <w:rPr>
          <w:bCs/>
          <w:color w:val="000000" w:themeColor="text1"/>
        </w:rPr>
      </w:pPr>
      <w:r>
        <w:rPr>
          <w:rFonts w:ascii="Cambria Math" w:hAnsi="Cambria Math" w:cs="Cambria Math"/>
          <w:bCs/>
          <w:color w:val="000000" w:themeColor="text1"/>
        </w:rPr>
        <w:t>△</w:t>
      </w:r>
      <w:r>
        <w:rPr>
          <w:rFonts w:cs="Times New Roman"/>
          <w:bCs/>
          <w:color w:val="000000" w:themeColor="text1"/>
        </w:rPr>
        <w:t>Loct—</w:t>
      </w:r>
      <w:r>
        <w:rPr>
          <w:rFonts w:hint="eastAsia"/>
          <w:bCs/>
          <w:color w:val="000000" w:themeColor="text1"/>
        </w:rPr>
        <w:t>各种因素引起的衰减量</w:t>
      </w:r>
      <w:r>
        <w:rPr>
          <w:bCs/>
          <w:color w:val="000000" w:themeColor="text1"/>
        </w:rPr>
        <w:t>(</w:t>
      </w:r>
      <w:r>
        <w:rPr>
          <w:rFonts w:hint="eastAsia"/>
          <w:bCs/>
          <w:color w:val="000000" w:themeColor="text1"/>
        </w:rPr>
        <w:t>包括声屏障、遮挡物、空气吸收、地面效应引起的衰减量</w:t>
      </w:r>
      <w:r>
        <w:rPr>
          <w:bCs/>
          <w:color w:val="000000" w:themeColor="text1"/>
        </w:rPr>
        <w:t>)</w:t>
      </w:r>
      <w:r>
        <w:rPr>
          <w:rFonts w:hint="eastAsia"/>
          <w:bCs/>
          <w:color w:val="000000" w:themeColor="text1"/>
        </w:rPr>
        <w:t>，本建设项目地点开阔、无声屏障、遮挡物等，因此衰减量忽略不计。</w:t>
      </w:r>
    </w:p>
    <w:p>
      <w:pPr>
        <w:widowControl/>
        <w:ind w:firstLine="480"/>
        <w:rPr>
          <w:bCs/>
          <w:color w:val="000000" w:themeColor="text1"/>
        </w:rPr>
      </w:pPr>
      <w:r>
        <w:rPr>
          <w:rFonts w:hint="eastAsia"/>
          <w:bCs/>
          <w:color w:val="000000" w:themeColor="text1"/>
        </w:rPr>
        <w:t>距噪声源不同距离处的噪声预测值见表5</w:t>
      </w:r>
      <w:r>
        <w:rPr>
          <w:bCs/>
          <w:color w:val="000000" w:themeColor="text1"/>
        </w:rPr>
        <w:t>.3-1</w:t>
      </w:r>
      <w:r>
        <w:rPr>
          <w:rFonts w:hint="eastAsia"/>
          <w:bCs/>
          <w:color w:val="000000" w:themeColor="text1"/>
        </w:rPr>
        <w:t>。</w:t>
      </w:r>
    </w:p>
    <w:p>
      <w:pPr>
        <w:pStyle w:val="54"/>
        <w:rPr>
          <w:bCs/>
          <w:color w:val="000000" w:themeColor="text1"/>
          <w:sz w:val="24"/>
        </w:rPr>
      </w:pPr>
      <w:r>
        <w:rPr>
          <w:rFonts w:hint="eastAsia"/>
          <w:color w:val="000000" w:themeColor="text1"/>
        </w:rPr>
        <w:t>表5</w:t>
      </w:r>
      <w:r>
        <w:rPr>
          <w:color w:val="000000" w:themeColor="text1"/>
        </w:rPr>
        <w:t xml:space="preserve">.3-1   </w:t>
      </w:r>
      <w:r>
        <w:rPr>
          <w:rFonts w:hint="eastAsia"/>
          <w:color w:val="000000" w:themeColor="text1"/>
        </w:rPr>
        <w:t>距噪声源不同距离处的噪声预测值单位：</w:t>
      </w:r>
      <w:r>
        <w:rPr>
          <w:color w:val="000000" w:themeColor="text1"/>
        </w:rPr>
        <w:t>dB(A)</w:t>
      </w:r>
    </w:p>
    <w:tbl>
      <w:tblPr>
        <w:tblStyle w:val="42"/>
        <w:tblW w:w="825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30"/>
        <w:gridCol w:w="1604"/>
        <w:gridCol w:w="798"/>
        <w:gridCol w:w="793"/>
        <w:gridCol w:w="837"/>
        <w:gridCol w:w="660"/>
        <w:gridCol w:w="730"/>
        <w:gridCol w:w="8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30"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声源名称</w:t>
            </w:r>
          </w:p>
        </w:tc>
        <w:tc>
          <w:tcPr>
            <w:tcW w:w="1604"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声源声级（</w:t>
            </w:r>
            <w:r>
              <w:rPr>
                <w:color w:val="000000" w:themeColor="text1"/>
              </w:rPr>
              <w:t>1m</w:t>
            </w:r>
            <w:r>
              <w:rPr>
                <w:rFonts w:hint="eastAsia"/>
                <w:color w:val="000000" w:themeColor="text1"/>
              </w:rPr>
              <w:t>处）（最高）</w:t>
            </w:r>
          </w:p>
        </w:tc>
        <w:tc>
          <w:tcPr>
            <w:tcW w:w="798"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color w:val="000000" w:themeColor="text1"/>
              </w:rPr>
              <w:t>3m</w:t>
            </w:r>
          </w:p>
        </w:tc>
        <w:tc>
          <w:tcPr>
            <w:tcW w:w="793"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color w:val="000000" w:themeColor="text1"/>
              </w:rPr>
              <w:t>18m</w:t>
            </w:r>
          </w:p>
        </w:tc>
        <w:tc>
          <w:tcPr>
            <w:tcW w:w="837"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color w:val="000000" w:themeColor="text1"/>
              </w:rPr>
              <w:t>50m</w:t>
            </w:r>
          </w:p>
        </w:tc>
        <w:tc>
          <w:tcPr>
            <w:tcW w:w="660" w:type="dxa"/>
            <w:tcBorders>
              <w:top w:val="single" w:color="000000" w:sz="4" w:space="0"/>
              <w:left w:val="single" w:color="000000" w:sz="4" w:space="0"/>
              <w:bottom w:val="single" w:color="000000" w:sz="4" w:space="0"/>
              <w:right w:val="single" w:color="auto" w:sz="4" w:space="0"/>
            </w:tcBorders>
            <w:vAlign w:val="center"/>
          </w:tcPr>
          <w:p>
            <w:pPr>
              <w:pStyle w:val="55"/>
              <w:rPr>
                <w:color w:val="000000" w:themeColor="text1"/>
              </w:rPr>
            </w:pPr>
            <w:r>
              <w:rPr>
                <w:color w:val="000000" w:themeColor="text1"/>
              </w:rPr>
              <w:t>80m</w:t>
            </w:r>
          </w:p>
        </w:tc>
        <w:tc>
          <w:tcPr>
            <w:tcW w:w="730" w:type="dxa"/>
            <w:tcBorders>
              <w:top w:val="single" w:color="000000" w:sz="4" w:space="0"/>
              <w:left w:val="single" w:color="auto" w:sz="4" w:space="0"/>
              <w:bottom w:val="single" w:color="000000" w:sz="4" w:space="0"/>
              <w:right w:val="single" w:color="000000" w:sz="4" w:space="0"/>
            </w:tcBorders>
            <w:vAlign w:val="center"/>
          </w:tcPr>
          <w:p>
            <w:pPr>
              <w:pStyle w:val="55"/>
              <w:rPr>
                <w:color w:val="000000" w:themeColor="text1"/>
              </w:rPr>
            </w:pPr>
            <w:r>
              <w:rPr>
                <w:color w:val="000000" w:themeColor="text1"/>
              </w:rPr>
              <w:t>100m</w:t>
            </w:r>
          </w:p>
        </w:tc>
        <w:tc>
          <w:tcPr>
            <w:tcW w:w="801" w:type="dxa"/>
            <w:tcBorders>
              <w:top w:val="single" w:color="000000" w:sz="4" w:space="0"/>
              <w:left w:val="single" w:color="000000" w:sz="4" w:space="0"/>
              <w:bottom w:val="single" w:color="000000" w:sz="4" w:space="0"/>
              <w:right w:val="single" w:color="auto" w:sz="4" w:space="0"/>
            </w:tcBorders>
            <w:vAlign w:val="center"/>
          </w:tcPr>
          <w:p>
            <w:pPr>
              <w:pStyle w:val="55"/>
              <w:rPr>
                <w:color w:val="000000" w:themeColor="text1"/>
              </w:rPr>
            </w:pPr>
            <w:r>
              <w:rPr>
                <w:color w:val="000000" w:themeColor="text1"/>
              </w:rPr>
              <w:t>350m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30"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施工机械噪声</w:t>
            </w:r>
          </w:p>
        </w:tc>
        <w:tc>
          <w:tcPr>
            <w:tcW w:w="1604"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color w:val="000000" w:themeColor="text1"/>
              </w:rPr>
              <w:t>95</w:t>
            </w:r>
          </w:p>
        </w:tc>
        <w:tc>
          <w:tcPr>
            <w:tcW w:w="798"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color w:val="000000" w:themeColor="text1"/>
              </w:rPr>
              <w:t>85</w:t>
            </w:r>
          </w:p>
        </w:tc>
        <w:tc>
          <w:tcPr>
            <w:tcW w:w="793"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color w:val="000000" w:themeColor="text1"/>
              </w:rPr>
              <w:t>70</w:t>
            </w:r>
          </w:p>
        </w:tc>
        <w:tc>
          <w:tcPr>
            <w:tcW w:w="837"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color w:val="000000" w:themeColor="text1"/>
              </w:rPr>
              <w:t>61</w:t>
            </w:r>
          </w:p>
        </w:tc>
        <w:tc>
          <w:tcPr>
            <w:tcW w:w="660" w:type="dxa"/>
            <w:tcBorders>
              <w:top w:val="single" w:color="000000" w:sz="4" w:space="0"/>
              <w:left w:val="single" w:color="000000" w:sz="4" w:space="0"/>
              <w:bottom w:val="single" w:color="000000" w:sz="4" w:space="0"/>
              <w:right w:val="single" w:color="auto" w:sz="4" w:space="0"/>
            </w:tcBorders>
            <w:vAlign w:val="center"/>
          </w:tcPr>
          <w:p>
            <w:pPr>
              <w:pStyle w:val="55"/>
              <w:rPr>
                <w:color w:val="000000" w:themeColor="text1"/>
              </w:rPr>
            </w:pPr>
            <w:r>
              <w:rPr>
                <w:color w:val="000000" w:themeColor="text1"/>
              </w:rPr>
              <w:t>57</w:t>
            </w:r>
          </w:p>
        </w:tc>
        <w:tc>
          <w:tcPr>
            <w:tcW w:w="730" w:type="dxa"/>
            <w:tcBorders>
              <w:top w:val="single" w:color="000000" w:sz="4" w:space="0"/>
              <w:left w:val="single" w:color="auto" w:sz="4" w:space="0"/>
              <w:bottom w:val="single" w:color="000000" w:sz="4" w:space="0"/>
              <w:right w:val="single" w:color="000000" w:sz="4" w:space="0"/>
            </w:tcBorders>
            <w:vAlign w:val="center"/>
          </w:tcPr>
          <w:p>
            <w:pPr>
              <w:pStyle w:val="55"/>
              <w:rPr>
                <w:color w:val="000000" w:themeColor="text1"/>
              </w:rPr>
            </w:pPr>
            <w:r>
              <w:rPr>
                <w:color w:val="000000" w:themeColor="text1"/>
              </w:rPr>
              <w:t>55</w:t>
            </w:r>
          </w:p>
        </w:tc>
        <w:tc>
          <w:tcPr>
            <w:tcW w:w="801"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color w:val="000000" w:themeColor="text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30"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施工车辆噪声</w:t>
            </w:r>
          </w:p>
        </w:tc>
        <w:tc>
          <w:tcPr>
            <w:tcW w:w="1604"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color w:val="000000" w:themeColor="text1"/>
              </w:rPr>
              <w:t>80</w:t>
            </w:r>
          </w:p>
        </w:tc>
        <w:tc>
          <w:tcPr>
            <w:tcW w:w="798"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color w:val="000000" w:themeColor="text1"/>
              </w:rPr>
              <w:t>70</w:t>
            </w:r>
          </w:p>
        </w:tc>
        <w:tc>
          <w:tcPr>
            <w:tcW w:w="793"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color w:val="000000" w:themeColor="text1"/>
              </w:rPr>
              <w:t>55</w:t>
            </w:r>
          </w:p>
        </w:tc>
        <w:tc>
          <w:tcPr>
            <w:tcW w:w="837"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color w:val="000000" w:themeColor="text1"/>
              </w:rPr>
              <w:t>46</w:t>
            </w:r>
          </w:p>
        </w:tc>
        <w:tc>
          <w:tcPr>
            <w:tcW w:w="660" w:type="dxa"/>
            <w:tcBorders>
              <w:top w:val="single" w:color="000000" w:sz="4" w:space="0"/>
              <w:left w:val="single" w:color="000000" w:sz="4" w:space="0"/>
              <w:bottom w:val="single" w:color="000000" w:sz="4" w:space="0"/>
              <w:right w:val="single" w:color="auto" w:sz="4" w:space="0"/>
            </w:tcBorders>
            <w:vAlign w:val="center"/>
          </w:tcPr>
          <w:p>
            <w:pPr>
              <w:pStyle w:val="55"/>
              <w:rPr>
                <w:color w:val="000000" w:themeColor="text1"/>
              </w:rPr>
            </w:pPr>
            <w:r>
              <w:rPr>
                <w:color w:val="000000" w:themeColor="text1"/>
              </w:rPr>
              <w:t>42</w:t>
            </w:r>
          </w:p>
        </w:tc>
        <w:tc>
          <w:tcPr>
            <w:tcW w:w="730" w:type="dxa"/>
            <w:tcBorders>
              <w:top w:val="single" w:color="000000" w:sz="4" w:space="0"/>
              <w:left w:val="single" w:color="auto" w:sz="4" w:space="0"/>
              <w:bottom w:val="single" w:color="000000" w:sz="4" w:space="0"/>
              <w:right w:val="single" w:color="000000" w:sz="4" w:space="0"/>
            </w:tcBorders>
            <w:vAlign w:val="center"/>
          </w:tcPr>
          <w:p>
            <w:pPr>
              <w:pStyle w:val="55"/>
              <w:rPr>
                <w:color w:val="000000" w:themeColor="text1"/>
              </w:rPr>
            </w:pPr>
            <w:r>
              <w:rPr>
                <w:color w:val="000000" w:themeColor="text1"/>
              </w:rPr>
              <w:t>40</w:t>
            </w:r>
          </w:p>
        </w:tc>
        <w:tc>
          <w:tcPr>
            <w:tcW w:w="801"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color w:val="000000" w:themeColor="text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30"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施工人员活动噪声</w:t>
            </w:r>
          </w:p>
        </w:tc>
        <w:tc>
          <w:tcPr>
            <w:tcW w:w="1604"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color w:val="000000" w:themeColor="text1"/>
              </w:rPr>
              <w:t>65</w:t>
            </w:r>
          </w:p>
        </w:tc>
        <w:tc>
          <w:tcPr>
            <w:tcW w:w="798"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color w:val="000000" w:themeColor="text1"/>
              </w:rPr>
              <w:t>55</w:t>
            </w:r>
          </w:p>
        </w:tc>
        <w:tc>
          <w:tcPr>
            <w:tcW w:w="793"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color w:val="000000" w:themeColor="text1"/>
              </w:rPr>
              <w:t>40</w:t>
            </w:r>
          </w:p>
        </w:tc>
        <w:tc>
          <w:tcPr>
            <w:tcW w:w="837"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color w:val="000000" w:themeColor="text1"/>
              </w:rPr>
              <w:t>-</w:t>
            </w:r>
          </w:p>
        </w:tc>
        <w:tc>
          <w:tcPr>
            <w:tcW w:w="660" w:type="dxa"/>
            <w:tcBorders>
              <w:top w:val="single" w:color="000000" w:sz="4" w:space="0"/>
              <w:left w:val="single" w:color="000000" w:sz="4" w:space="0"/>
              <w:bottom w:val="single" w:color="000000" w:sz="4" w:space="0"/>
              <w:right w:val="single" w:color="auto" w:sz="4" w:space="0"/>
            </w:tcBorders>
            <w:vAlign w:val="center"/>
          </w:tcPr>
          <w:p>
            <w:pPr>
              <w:pStyle w:val="55"/>
              <w:rPr>
                <w:color w:val="000000" w:themeColor="text1"/>
              </w:rPr>
            </w:pPr>
            <w:r>
              <w:rPr>
                <w:color w:val="000000" w:themeColor="text1"/>
              </w:rPr>
              <w:t>-</w:t>
            </w:r>
          </w:p>
        </w:tc>
        <w:tc>
          <w:tcPr>
            <w:tcW w:w="730" w:type="dxa"/>
            <w:tcBorders>
              <w:top w:val="single" w:color="000000" w:sz="4" w:space="0"/>
              <w:left w:val="single" w:color="auto" w:sz="4" w:space="0"/>
              <w:bottom w:val="single" w:color="000000" w:sz="4" w:space="0"/>
              <w:right w:val="single" w:color="000000" w:sz="4" w:space="0"/>
            </w:tcBorders>
            <w:vAlign w:val="center"/>
          </w:tcPr>
          <w:p>
            <w:pPr>
              <w:pStyle w:val="55"/>
              <w:rPr>
                <w:color w:val="000000" w:themeColor="text1"/>
              </w:rPr>
            </w:pPr>
            <w:r>
              <w:rPr>
                <w:color w:val="000000" w:themeColor="text1"/>
              </w:rPr>
              <w:t>-</w:t>
            </w:r>
          </w:p>
        </w:tc>
        <w:tc>
          <w:tcPr>
            <w:tcW w:w="801"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color w:val="000000" w:themeColor="text1"/>
              </w:rPr>
              <w:t>-</w:t>
            </w:r>
          </w:p>
        </w:tc>
      </w:tr>
    </w:tbl>
    <w:p>
      <w:pPr>
        <w:widowControl/>
        <w:ind w:firstLine="480"/>
        <w:rPr>
          <w:rFonts w:cs="Times New Roman"/>
          <w:bCs/>
          <w:color w:val="000000" w:themeColor="text1"/>
        </w:rPr>
      </w:pPr>
      <w:r>
        <w:rPr>
          <w:rFonts w:hint="eastAsia"/>
          <w:bCs/>
          <w:color w:val="000000" w:themeColor="text1"/>
        </w:rPr>
        <w:t>由表5</w:t>
      </w:r>
      <w:r>
        <w:rPr>
          <w:bCs/>
          <w:color w:val="000000" w:themeColor="text1"/>
        </w:rPr>
        <w:t>.3-1</w:t>
      </w:r>
      <w:r>
        <w:rPr>
          <w:rFonts w:hint="eastAsia"/>
          <w:bCs/>
          <w:color w:val="000000" w:themeColor="text1"/>
        </w:rPr>
        <w:t>预测结果可知，项目施工期人员活动噪声值较小，对周边环境造成的影响不大；施工车辆噪声在</w:t>
      </w:r>
      <w:r>
        <w:rPr>
          <w:bCs/>
          <w:color w:val="000000" w:themeColor="text1"/>
        </w:rPr>
        <w:t>3m</w:t>
      </w:r>
      <w:r>
        <w:rPr>
          <w:rFonts w:hint="eastAsia"/>
          <w:bCs/>
          <w:color w:val="000000" w:themeColor="text1"/>
        </w:rPr>
        <w:t>和</w:t>
      </w:r>
      <w:r>
        <w:rPr>
          <w:bCs/>
          <w:color w:val="000000" w:themeColor="text1"/>
        </w:rPr>
        <w:t>18m</w:t>
      </w:r>
      <w:r>
        <w:rPr>
          <w:rFonts w:hint="eastAsia"/>
          <w:bCs/>
          <w:color w:val="000000" w:themeColor="text1"/>
        </w:rPr>
        <w:t>范围外达到《建筑施工场界环境噪声排放标准》</w:t>
      </w:r>
      <w:r>
        <w:rPr>
          <w:bCs/>
          <w:color w:val="000000" w:themeColor="text1"/>
        </w:rPr>
        <w:t>(GB12523-2011)</w:t>
      </w:r>
      <w:r>
        <w:rPr>
          <w:rFonts w:hint="eastAsia"/>
          <w:bCs/>
          <w:color w:val="000000" w:themeColor="text1"/>
        </w:rPr>
        <w:t>中昼夜间标准值的要求，而施工机械噪声在</w:t>
      </w:r>
      <w:r>
        <w:rPr>
          <w:bCs/>
          <w:color w:val="000000" w:themeColor="text1"/>
        </w:rPr>
        <w:t>18m</w:t>
      </w:r>
      <w:r>
        <w:rPr>
          <w:rFonts w:hint="eastAsia"/>
          <w:bCs/>
          <w:color w:val="000000" w:themeColor="text1"/>
        </w:rPr>
        <w:t>和</w:t>
      </w:r>
      <w:r>
        <w:rPr>
          <w:bCs/>
          <w:color w:val="000000" w:themeColor="text1"/>
        </w:rPr>
        <w:t>100m</w:t>
      </w:r>
      <w:r>
        <w:rPr>
          <w:rFonts w:hint="eastAsia"/>
          <w:bCs/>
          <w:color w:val="000000" w:themeColor="text1"/>
        </w:rPr>
        <w:t>范围外达到《建筑施工场界环境噪声排放标准》</w:t>
      </w:r>
      <w:r>
        <w:rPr>
          <w:bCs/>
          <w:color w:val="000000" w:themeColor="text1"/>
        </w:rPr>
        <w:t>(GB12523-2011)</w:t>
      </w:r>
      <w:r>
        <w:rPr>
          <w:rFonts w:hint="eastAsia"/>
          <w:bCs/>
          <w:color w:val="000000" w:themeColor="text1"/>
        </w:rPr>
        <w:t>中昼夜间标准值的要求。距离项目区最近的敏感点目标为</w:t>
      </w:r>
      <w:r>
        <w:rPr>
          <w:rFonts w:hint="eastAsia"/>
          <w:color w:val="000000" w:themeColor="text1"/>
        </w:rPr>
        <w:t>东南侧50</w:t>
      </w:r>
      <w:r>
        <w:rPr>
          <w:color w:val="000000" w:themeColor="text1"/>
        </w:rPr>
        <w:t>0m</w:t>
      </w:r>
      <w:r>
        <w:rPr>
          <w:rFonts w:hint="eastAsia"/>
          <w:color w:val="000000" w:themeColor="text1"/>
        </w:rPr>
        <w:t>处的小龙白村</w:t>
      </w:r>
      <w:r>
        <w:rPr>
          <w:rFonts w:hint="eastAsia"/>
          <w:bCs/>
          <w:color w:val="000000" w:themeColor="text1"/>
        </w:rPr>
        <w:t>，项目施工机械噪声昼间施工可达标排放，夜间施工则对其有一定影响。</w:t>
      </w:r>
    </w:p>
    <w:p>
      <w:pPr>
        <w:widowControl/>
        <w:ind w:firstLine="480"/>
        <w:rPr>
          <w:bCs/>
          <w:color w:val="000000" w:themeColor="text1"/>
        </w:rPr>
      </w:pPr>
      <w:r>
        <w:rPr>
          <w:rFonts w:hint="eastAsia"/>
          <w:bCs/>
          <w:color w:val="000000" w:themeColor="text1"/>
        </w:rPr>
        <w:t>（</w:t>
      </w:r>
      <w:r>
        <w:rPr>
          <w:bCs/>
          <w:color w:val="000000" w:themeColor="text1"/>
        </w:rPr>
        <w:t>2</w:t>
      </w:r>
      <w:r>
        <w:rPr>
          <w:rFonts w:hint="eastAsia"/>
          <w:bCs/>
          <w:color w:val="000000" w:themeColor="text1"/>
        </w:rPr>
        <w:t>）环评提出措施</w:t>
      </w:r>
    </w:p>
    <w:p>
      <w:pPr>
        <w:widowControl/>
        <w:ind w:firstLine="480"/>
        <w:rPr>
          <w:bCs/>
          <w:color w:val="000000" w:themeColor="text1"/>
        </w:rPr>
      </w:pPr>
      <w:r>
        <w:rPr>
          <w:rFonts w:hint="eastAsia"/>
          <w:bCs/>
          <w:color w:val="000000" w:themeColor="text1"/>
        </w:rPr>
        <w:t>为了避免项目施工时周边影响范围内的其他敏感点，环评建议施工期间应采取以下措施：</w:t>
      </w:r>
    </w:p>
    <w:p>
      <w:pPr>
        <w:widowControl/>
        <w:ind w:firstLine="480"/>
        <w:rPr>
          <w:bCs/>
          <w:color w:val="000000" w:themeColor="text1"/>
        </w:rPr>
      </w:pPr>
      <w:r>
        <w:rPr>
          <w:rFonts w:hint="eastAsia" w:ascii="宋体" w:hAnsi="宋体" w:cs="宋体"/>
          <w:bCs/>
          <w:color w:val="000000" w:themeColor="text1"/>
        </w:rPr>
        <w:t>①</w:t>
      </w:r>
      <w:r>
        <w:rPr>
          <w:rFonts w:hint="eastAsia"/>
          <w:bCs/>
          <w:color w:val="000000" w:themeColor="text1"/>
        </w:rPr>
        <w:t>在施工阶段，须合理安排施工时间，制定施工计划，施工作业应避开人群休息时间，即：昼间</w:t>
      </w:r>
      <w:r>
        <w:rPr>
          <w:bCs/>
          <w:color w:val="000000" w:themeColor="text1"/>
        </w:rPr>
        <w:t>12:00-14:00</w:t>
      </w:r>
      <w:r>
        <w:rPr>
          <w:rFonts w:hint="eastAsia"/>
          <w:bCs/>
          <w:color w:val="000000" w:themeColor="text1"/>
        </w:rPr>
        <w:t>，夜间</w:t>
      </w:r>
      <w:r>
        <w:rPr>
          <w:bCs/>
          <w:color w:val="000000" w:themeColor="text1"/>
        </w:rPr>
        <w:t>22:00-</w:t>
      </w:r>
      <w:r>
        <w:rPr>
          <w:rFonts w:hint="eastAsia"/>
          <w:bCs/>
          <w:color w:val="000000" w:themeColor="text1"/>
        </w:rPr>
        <w:t>次日</w:t>
      </w:r>
      <w:r>
        <w:rPr>
          <w:bCs/>
          <w:color w:val="000000" w:themeColor="text1"/>
        </w:rPr>
        <w:t>6:00</w:t>
      </w:r>
      <w:r>
        <w:rPr>
          <w:rFonts w:hint="eastAsia"/>
          <w:bCs/>
          <w:color w:val="000000" w:themeColor="text1"/>
        </w:rPr>
        <w:t>禁止施工。</w:t>
      </w:r>
      <w:r>
        <w:rPr>
          <w:rFonts w:hint="eastAsia" w:ascii="宋体" w:hAnsi="宋体" w:cs="宋体"/>
          <w:bCs/>
          <w:color w:val="000000" w:themeColor="text1"/>
        </w:rPr>
        <w:t>②</w:t>
      </w:r>
      <w:r>
        <w:rPr>
          <w:rFonts w:hint="eastAsia"/>
          <w:bCs/>
          <w:color w:val="000000" w:themeColor="text1"/>
        </w:rPr>
        <w:t>合理布局施工场地，施工时尽量将高噪声设备布置在施工工地中部的位置。</w:t>
      </w:r>
      <w:r>
        <w:rPr>
          <w:rFonts w:hint="eastAsia" w:ascii="宋体" w:hAnsi="宋体" w:cs="宋体"/>
          <w:bCs/>
          <w:color w:val="000000" w:themeColor="text1"/>
        </w:rPr>
        <w:t>③</w:t>
      </w:r>
      <w:r>
        <w:rPr>
          <w:rFonts w:hint="eastAsia"/>
          <w:bCs/>
          <w:color w:val="000000" w:themeColor="text1"/>
        </w:rPr>
        <w:t>降低机械设备噪声声源级，尽量选用低噪声设备，另外，运输车辆进入现场应减速、禁鸣。</w:t>
      </w:r>
    </w:p>
    <w:p>
      <w:pPr>
        <w:widowControl/>
        <w:ind w:firstLine="480"/>
        <w:rPr>
          <w:bCs/>
          <w:color w:val="000000" w:themeColor="text1"/>
        </w:rPr>
      </w:pPr>
      <w:r>
        <w:rPr>
          <w:rFonts w:hint="eastAsia"/>
          <w:bCs/>
          <w:color w:val="000000" w:themeColor="text1"/>
        </w:rPr>
        <w:t>综上，在采取以上措施处理后，项目施工期噪声对周围环境的</w:t>
      </w:r>
      <w:r>
        <w:rPr>
          <w:rFonts w:hint="eastAsia"/>
          <w:color w:val="000000" w:themeColor="text1"/>
        </w:rPr>
        <w:t>影响可以接受</w:t>
      </w:r>
      <w:r>
        <w:rPr>
          <w:rFonts w:hint="eastAsia"/>
          <w:bCs/>
          <w:color w:val="000000" w:themeColor="text1"/>
        </w:rPr>
        <w:t>。</w:t>
      </w:r>
    </w:p>
    <w:p>
      <w:pPr>
        <w:pStyle w:val="3"/>
        <w:rPr>
          <w:color w:val="000000" w:themeColor="text1"/>
          <w:sz w:val="32"/>
        </w:rPr>
      </w:pPr>
      <w:bookmarkStart w:id="150" w:name="_Toc530059687"/>
      <w:bookmarkStart w:id="151" w:name="_Toc47375858"/>
      <w:r>
        <w:rPr>
          <w:rFonts w:hint="eastAsia"/>
          <w:color w:val="000000" w:themeColor="text1"/>
        </w:rPr>
        <w:t>5</w:t>
      </w:r>
      <w:r>
        <w:rPr>
          <w:color w:val="000000" w:themeColor="text1"/>
        </w:rPr>
        <w:t>.4</w:t>
      </w:r>
      <w:r>
        <w:rPr>
          <w:rFonts w:hint="eastAsia"/>
          <w:color w:val="000000" w:themeColor="text1"/>
        </w:rPr>
        <w:t>施工期固体废弃物影响分析</w:t>
      </w:r>
      <w:bookmarkEnd w:id="147"/>
      <w:bookmarkEnd w:id="148"/>
      <w:bookmarkEnd w:id="149"/>
      <w:bookmarkEnd w:id="150"/>
      <w:bookmarkEnd w:id="151"/>
    </w:p>
    <w:p>
      <w:pPr>
        <w:autoSpaceDE w:val="0"/>
        <w:autoSpaceDN w:val="0"/>
        <w:adjustRightInd w:val="0"/>
        <w:ind w:firstLine="480"/>
        <w:rPr>
          <w:color w:val="000000" w:themeColor="text1"/>
          <w:lang w:val="zh-CN"/>
        </w:rPr>
      </w:pPr>
      <w:r>
        <w:rPr>
          <w:rFonts w:hint="eastAsia"/>
          <w:color w:val="000000" w:themeColor="text1"/>
          <w:lang w:val="zh-CN"/>
        </w:rPr>
        <w:t>施工期项目固体废物主要是土石方、建筑垃圾（损坏或废弃的各种建筑装修材料），另外还有少量施工人员的生活垃圾。</w:t>
      </w:r>
    </w:p>
    <w:p>
      <w:pPr>
        <w:ind w:firstLine="480"/>
        <w:rPr>
          <w:color w:val="000000" w:themeColor="text1"/>
          <w:lang w:val="zh-CN"/>
        </w:rPr>
      </w:pPr>
      <w:r>
        <w:rPr>
          <w:rFonts w:hint="eastAsia"/>
          <w:color w:val="000000" w:themeColor="text1"/>
          <w:lang w:val="zh-CN"/>
        </w:rPr>
        <w:t>（</w:t>
      </w:r>
      <w:r>
        <w:rPr>
          <w:color w:val="000000" w:themeColor="text1"/>
          <w:lang w:val="zh-CN"/>
        </w:rPr>
        <w:t>1</w:t>
      </w:r>
      <w:r>
        <w:rPr>
          <w:rFonts w:hint="eastAsia"/>
          <w:color w:val="000000" w:themeColor="text1"/>
          <w:lang w:val="zh-CN"/>
        </w:rPr>
        <w:t>）土石方</w:t>
      </w:r>
    </w:p>
    <w:p>
      <w:pPr>
        <w:ind w:firstLine="480"/>
        <w:rPr>
          <w:color w:val="000000" w:themeColor="text1"/>
        </w:rPr>
      </w:pPr>
      <w:r>
        <w:rPr>
          <w:rFonts w:hint="eastAsia"/>
          <w:color w:val="000000" w:themeColor="text1"/>
        </w:rPr>
        <w:t>项目场地需要挖方、填土处理，本项目建设过程中共产生开挖土石方量</w:t>
      </w:r>
      <w:r>
        <w:rPr>
          <w:color w:val="000000" w:themeColor="text1"/>
        </w:rPr>
        <w:t>1168.8m</w:t>
      </w:r>
      <w:r>
        <w:rPr>
          <w:color w:val="000000" w:themeColor="text1"/>
          <w:vertAlign w:val="superscript"/>
        </w:rPr>
        <w:t>3</w:t>
      </w:r>
      <w:r>
        <w:rPr>
          <w:rFonts w:hint="eastAsia"/>
          <w:color w:val="000000" w:themeColor="text1"/>
        </w:rPr>
        <w:t>，其中剥离表土2</w:t>
      </w:r>
      <w:r>
        <w:rPr>
          <w:color w:val="000000" w:themeColor="text1"/>
        </w:rPr>
        <w:t>97.4m</w:t>
      </w:r>
      <w:r>
        <w:rPr>
          <w:color w:val="000000" w:themeColor="text1"/>
          <w:vertAlign w:val="superscript"/>
        </w:rPr>
        <w:t>3</w:t>
      </w:r>
      <w:r>
        <w:rPr>
          <w:rFonts w:hint="eastAsia"/>
          <w:color w:val="000000" w:themeColor="text1"/>
        </w:rPr>
        <w:t>，开挖地基产生土石方8</w:t>
      </w:r>
      <w:r>
        <w:rPr>
          <w:color w:val="000000" w:themeColor="text1"/>
        </w:rPr>
        <w:t>71.4m</w:t>
      </w:r>
      <w:r>
        <w:rPr>
          <w:color w:val="000000" w:themeColor="text1"/>
          <w:vertAlign w:val="superscript"/>
        </w:rPr>
        <w:t>3</w:t>
      </w:r>
      <w:r>
        <w:rPr>
          <w:rFonts w:hint="eastAsia"/>
          <w:color w:val="000000" w:themeColor="text1"/>
        </w:rPr>
        <w:t>。项目施工期开挖地基产生土方，在施工期进行平整场地及回填使用，剥离表土在施工场区设置表土堆场，剥离表土临时堆存于表土堆场，作为后期绿化覆土。本项目土石方达到内部平衡，无永久弃渣产生，</w:t>
      </w:r>
      <w:r>
        <w:rPr>
          <w:rFonts w:hint="eastAsia"/>
          <w:color w:val="000000" w:themeColor="text1"/>
          <w:lang w:val="zh-CN"/>
        </w:rPr>
        <w:t>对周围环境的</w:t>
      </w:r>
      <w:r>
        <w:rPr>
          <w:rFonts w:hint="eastAsia"/>
          <w:color w:val="000000" w:themeColor="text1"/>
        </w:rPr>
        <w:t>影响可以接受</w:t>
      </w:r>
      <w:r>
        <w:rPr>
          <w:rFonts w:hint="eastAsia"/>
          <w:color w:val="000000" w:themeColor="text1"/>
          <w:lang w:val="zh-CN"/>
        </w:rPr>
        <w:t>。</w:t>
      </w:r>
    </w:p>
    <w:p>
      <w:pPr>
        <w:ind w:firstLine="480"/>
        <w:rPr>
          <w:color w:val="000000" w:themeColor="text1"/>
          <w:lang w:val="zh-CN"/>
        </w:rPr>
      </w:pPr>
      <w:r>
        <w:rPr>
          <w:rFonts w:hint="eastAsia"/>
          <w:color w:val="000000" w:themeColor="text1"/>
          <w:lang w:val="zh-CN"/>
        </w:rPr>
        <w:t>（</w:t>
      </w:r>
      <w:r>
        <w:rPr>
          <w:color w:val="000000" w:themeColor="text1"/>
          <w:lang w:val="zh-CN"/>
        </w:rPr>
        <w:t>2</w:t>
      </w:r>
      <w:r>
        <w:rPr>
          <w:rFonts w:hint="eastAsia"/>
          <w:color w:val="000000" w:themeColor="text1"/>
          <w:lang w:val="zh-CN"/>
        </w:rPr>
        <w:t>）建筑垃圾</w:t>
      </w:r>
    </w:p>
    <w:p>
      <w:pPr>
        <w:ind w:firstLine="480"/>
        <w:rPr>
          <w:color w:val="000000" w:themeColor="text1"/>
        </w:rPr>
      </w:pPr>
      <w:r>
        <w:rPr>
          <w:rFonts w:hint="eastAsia"/>
          <w:color w:val="000000" w:themeColor="text1"/>
        </w:rPr>
        <w:t>施工期的建筑垃圾产生量为4.115t，施工期对废弃物的实行加强收集和管理，将建筑垃圾和能回收的废材料、废包装袋分别分类收集堆放，根据具体性质综合利用或者出售，</w:t>
      </w:r>
      <w:r>
        <w:rPr>
          <w:rFonts w:hint="eastAsia"/>
          <w:color w:val="000000" w:themeColor="text1"/>
          <w:kern w:val="0"/>
        </w:rPr>
        <w:t>不可回用部分按照要求由施工方合理清运处置</w:t>
      </w:r>
      <w:r>
        <w:rPr>
          <w:rFonts w:hint="eastAsia"/>
          <w:color w:val="000000" w:themeColor="text1"/>
        </w:rPr>
        <w:t>。做到无建筑垃圾外排，</w:t>
      </w:r>
      <w:r>
        <w:rPr>
          <w:rFonts w:hint="eastAsia"/>
          <w:color w:val="000000" w:themeColor="text1"/>
          <w:lang w:val="zh-CN"/>
        </w:rPr>
        <w:t>对周围环境的</w:t>
      </w:r>
      <w:r>
        <w:rPr>
          <w:rFonts w:hint="eastAsia"/>
          <w:color w:val="000000" w:themeColor="text1"/>
        </w:rPr>
        <w:t>影响可以接受。</w:t>
      </w:r>
    </w:p>
    <w:p>
      <w:pPr>
        <w:ind w:firstLine="480"/>
        <w:rPr>
          <w:color w:val="000000" w:themeColor="text1"/>
          <w:lang w:val="zh-CN"/>
        </w:rPr>
      </w:pPr>
      <w:r>
        <w:rPr>
          <w:rFonts w:hint="eastAsia"/>
          <w:color w:val="000000" w:themeColor="text1"/>
          <w:lang w:val="zh-CN"/>
        </w:rPr>
        <w:t>（</w:t>
      </w:r>
      <w:r>
        <w:rPr>
          <w:color w:val="000000" w:themeColor="text1"/>
          <w:lang w:val="zh-CN"/>
        </w:rPr>
        <w:t>3</w:t>
      </w:r>
      <w:r>
        <w:rPr>
          <w:rFonts w:hint="eastAsia"/>
          <w:color w:val="000000" w:themeColor="text1"/>
          <w:lang w:val="zh-CN"/>
        </w:rPr>
        <w:t>）生活垃圾</w:t>
      </w:r>
    </w:p>
    <w:p>
      <w:pPr>
        <w:autoSpaceDE w:val="0"/>
        <w:autoSpaceDN w:val="0"/>
        <w:adjustRightInd w:val="0"/>
        <w:ind w:firstLine="480"/>
        <w:rPr>
          <w:color w:val="000000" w:themeColor="text1"/>
          <w:lang w:val="zh-CN"/>
        </w:rPr>
      </w:pPr>
      <w:r>
        <w:rPr>
          <w:rFonts w:hint="eastAsia"/>
          <w:color w:val="000000" w:themeColor="text1"/>
          <w:lang w:val="zh-CN"/>
        </w:rPr>
        <w:t>施工期产生的生活垃圾量为</w:t>
      </w:r>
      <w:r>
        <w:rPr>
          <w:rFonts w:hint="eastAsia"/>
          <w:color w:val="000000" w:themeColor="text1"/>
        </w:rPr>
        <w:t>4.</w:t>
      </w:r>
      <w:r>
        <w:rPr>
          <w:color w:val="000000" w:themeColor="text1"/>
        </w:rPr>
        <w:t>5</w:t>
      </w:r>
      <w:r>
        <w:rPr>
          <w:color w:val="000000" w:themeColor="text1"/>
          <w:lang w:val="zh-CN"/>
        </w:rPr>
        <w:t>t</w:t>
      </w:r>
      <w:r>
        <w:rPr>
          <w:rFonts w:hint="eastAsia"/>
          <w:color w:val="000000" w:themeColor="text1"/>
          <w:lang w:val="zh-CN"/>
        </w:rPr>
        <w:t>，在施工场地出口设置临时收集桶，生活垃圾经统一收集后委托环卫部门统一清运处置，对周边环境的</w:t>
      </w:r>
      <w:r>
        <w:rPr>
          <w:rFonts w:hint="eastAsia"/>
          <w:color w:val="000000" w:themeColor="text1"/>
        </w:rPr>
        <w:t>影响可以接受</w:t>
      </w:r>
      <w:r>
        <w:rPr>
          <w:rFonts w:hint="eastAsia"/>
          <w:color w:val="000000" w:themeColor="text1"/>
          <w:lang w:val="zh-CN"/>
        </w:rPr>
        <w:t>。</w:t>
      </w:r>
    </w:p>
    <w:p>
      <w:pPr>
        <w:autoSpaceDE w:val="0"/>
        <w:autoSpaceDN w:val="0"/>
        <w:adjustRightInd w:val="0"/>
        <w:ind w:firstLine="480"/>
        <w:rPr>
          <w:color w:val="000000" w:themeColor="text1"/>
          <w:lang w:val="zh-CN"/>
        </w:rPr>
      </w:pPr>
      <w:r>
        <w:rPr>
          <w:rFonts w:hint="eastAsia"/>
          <w:color w:val="000000" w:themeColor="text1"/>
          <w:lang w:val="zh-CN"/>
        </w:rPr>
        <w:t>综上所述，项目施工期产生土石方全部用于场内回填，建筑垃圾一部分通过回收综合利用，</w:t>
      </w:r>
      <w:r>
        <w:rPr>
          <w:rFonts w:hint="eastAsia"/>
          <w:color w:val="000000" w:themeColor="text1"/>
          <w:kern w:val="0"/>
        </w:rPr>
        <w:t>不可回用部分按照要求由施工方合理清运处置</w:t>
      </w:r>
      <w:r>
        <w:rPr>
          <w:rFonts w:hint="eastAsia"/>
          <w:color w:val="000000" w:themeColor="text1"/>
          <w:lang w:val="zh-CN"/>
        </w:rPr>
        <w:t>，产生的生活垃圾</w:t>
      </w:r>
      <w:r>
        <w:rPr>
          <w:rFonts w:hint="eastAsia"/>
          <w:color w:val="000000" w:themeColor="text1"/>
        </w:rPr>
        <w:t>统一收集后</w:t>
      </w:r>
      <w:r>
        <w:rPr>
          <w:rFonts w:hint="eastAsia" w:hAnsi="宋体"/>
          <w:color w:val="000000" w:themeColor="text1"/>
          <w:kern w:val="0"/>
          <w:szCs w:val="24"/>
        </w:rPr>
        <w:t>按环卫部门要求清运处置</w:t>
      </w:r>
      <w:r>
        <w:rPr>
          <w:rFonts w:hint="eastAsia"/>
          <w:color w:val="000000" w:themeColor="text1"/>
          <w:lang w:val="zh-CN"/>
        </w:rPr>
        <w:t>，项目施工期产生的固体废物对环境造成的污染较小。</w:t>
      </w:r>
    </w:p>
    <w:p>
      <w:pPr>
        <w:pStyle w:val="3"/>
        <w:rPr>
          <w:color w:val="000000" w:themeColor="text1"/>
          <w:sz w:val="32"/>
        </w:rPr>
      </w:pPr>
      <w:bookmarkStart w:id="152" w:name="_Toc530059688"/>
      <w:bookmarkStart w:id="153" w:name="_Toc326738757"/>
      <w:bookmarkStart w:id="154" w:name="_Toc47375859"/>
      <w:bookmarkStart w:id="155" w:name="_Toc387938368"/>
      <w:bookmarkStart w:id="156" w:name="_Toc388604069"/>
      <w:r>
        <w:rPr>
          <w:rFonts w:hint="eastAsia"/>
          <w:color w:val="000000" w:themeColor="text1"/>
        </w:rPr>
        <w:t>5</w:t>
      </w:r>
      <w:r>
        <w:rPr>
          <w:color w:val="000000" w:themeColor="text1"/>
        </w:rPr>
        <w:t>.5</w:t>
      </w:r>
      <w:r>
        <w:rPr>
          <w:rFonts w:hint="eastAsia"/>
          <w:color w:val="000000" w:themeColor="text1"/>
        </w:rPr>
        <w:t>施工期生态环境影响分析</w:t>
      </w:r>
      <w:bookmarkEnd w:id="152"/>
      <w:bookmarkEnd w:id="153"/>
      <w:bookmarkEnd w:id="154"/>
      <w:bookmarkEnd w:id="155"/>
      <w:bookmarkEnd w:id="156"/>
    </w:p>
    <w:bookmarkEnd w:id="143"/>
    <w:bookmarkEnd w:id="144"/>
    <w:p>
      <w:pPr>
        <w:ind w:firstLine="540" w:firstLineChars="225"/>
        <w:rPr>
          <w:color w:val="000000" w:themeColor="text1"/>
        </w:rPr>
      </w:pPr>
      <w:r>
        <w:rPr>
          <w:rFonts w:hint="eastAsia"/>
          <w:color w:val="000000" w:themeColor="text1"/>
        </w:rPr>
        <w:t>1、施工期生态环境影响</w:t>
      </w:r>
    </w:p>
    <w:p>
      <w:pPr>
        <w:ind w:firstLine="540" w:firstLineChars="225"/>
        <w:rPr>
          <w:color w:val="000000" w:themeColor="text1"/>
          <w:lang w:val="zh-CN"/>
        </w:rPr>
      </w:pPr>
      <w:r>
        <w:rPr>
          <w:rFonts w:hint="eastAsia"/>
          <w:color w:val="000000" w:themeColor="text1"/>
        </w:rPr>
        <w:t>拟建项目建设占用土地9613.84</w:t>
      </w:r>
      <w:r>
        <w:rPr>
          <w:color w:val="000000" w:themeColor="text1"/>
        </w:rPr>
        <w:t>m</w:t>
      </w:r>
      <w:r>
        <w:rPr>
          <w:color w:val="000000" w:themeColor="text1"/>
          <w:vertAlign w:val="superscript"/>
        </w:rPr>
        <w:t>2</w:t>
      </w:r>
      <w:r>
        <w:rPr>
          <w:rFonts w:hint="eastAsia"/>
          <w:color w:val="000000" w:themeColor="text1"/>
        </w:rPr>
        <w:t>，拟建场地位于</w:t>
      </w:r>
      <w:r>
        <w:rPr>
          <w:rStyle w:val="52"/>
          <w:rFonts w:hint="eastAsia"/>
          <w:b w:val="0"/>
          <w:bCs w:val="0"/>
          <w:i w:val="0"/>
          <w:iCs w:val="0"/>
          <w:color w:val="000000" w:themeColor="text1"/>
          <w:szCs w:val="24"/>
        </w:rPr>
        <w:t>砚山县干河乡小龙白村西北侧500m处，县道永红公路西侧</w:t>
      </w:r>
      <w:r>
        <w:rPr>
          <w:rFonts w:hint="eastAsia"/>
          <w:color w:val="000000" w:themeColor="text1"/>
        </w:rPr>
        <w:t>，地形平坦、开阔，由于项目建设区处于城市规划开发区，没有需要特殊保护的动植物。周围无文物保护单位及风景名胜区，在</w:t>
      </w:r>
      <w:r>
        <w:rPr>
          <w:rFonts w:hint="eastAsia"/>
          <w:color w:val="000000" w:themeColor="text1"/>
          <w:lang w:val="zh-CN"/>
        </w:rPr>
        <w:t>施工结束时，项目占地的生态系统在一定程度上可得到恢复，永久占用地将成为人工基底的景观类型，将改变项目所在区域的局部景观格局，</w:t>
      </w:r>
      <w:r>
        <w:rPr>
          <w:rFonts w:hint="eastAsia"/>
          <w:color w:val="000000" w:themeColor="text1"/>
        </w:rPr>
        <w:t>项目建设过程中对用地范围内的生态环境影响可以接受。</w:t>
      </w:r>
    </w:p>
    <w:p>
      <w:pPr>
        <w:ind w:firstLine="480"/>
        <w:rPr>
          <w:color w:val="000000" w:themeColor="text1"/>
          <w:kern w:val="0"/>
        </w:rPr>
      </w:pPr>
      <w:r>
        <w:rPr>
          <w:rFonts w:hint="eastAsia"/>
          <w:color w:val="000000" w:themeColor="text1"/>
          <w:kern w:val="0"/>
        </w:rPr>
        <w:t>在对项目区域内进行平整地坪、工程土石方挖掘、回填及现场堆放等环节，区域内的原始植被将遭受破坏，使得项目区内地表土较松动，导致项目区域内土壤抗蚀能力降低，水土流失加重，项目占地面积</w:t>
      </w:r>
      <w:r>
        <w:rPr>
          <w:rFonts w:hint="eastAsia"/>
          <w:color w:val="000000" w:themeColor="text1"/>
        </w:rPr>
        <w:t>9613.84</w:t>
      </w:r>
      <w:r>
        <w:rPr>
          <w:color w:val="000000" w:themeColor="text1"/>
          <w:kern w:val="0"/>
        </w:rPr>
        <w:t>m</w:t>
      </w:r>
      <w:r>
        <w:rPr>
          <w:color w:val="000000" w:themeColor="text1"/>
          <w:kern w:val="0"/>
          <w:vertAlign w:val="superscript"/>
        </w:rPr>
        <w:t>2</w:t>
      </w:r>
      <w:r>
        <w:rPr>
          <w:rFonts w:hint="eastAsia"/>
          <w:color w:val="000000" w:themeColor="text1"/>
          <w:kern w:val="0"/>
        </w:rPr>
        <w:t>，按照国家水利部《土壤侵蚀分类分级标准》（</w:t>
      </w:r>
      <w:r>
        <w:rPr>
          <w:color w:val="000000" w:themeColor="text1"/>
          <w:kern w:val="0"/>
        </w:rPr>
        <w:t>SL190-2007</w:t>
      </w:r>
      <w:r>
        <w:rPr>
          <w:rFonts w:hint="eastAsia"/>
          <w:color w:val="000000" w:themeColor="text1"/>
          <w:kern w:val="0"/>
        </w:rPr>
        <w:t>）划分，项目区域属轻度侵蚀区，水土流失量为</w:t>
      </w:r>
      <w:r>
        <w:rPr>
          <w:color w:val="000000" w:themeColor="text1"/>
          <w:kern w:val="0"/>
        </w:rPr>
        <w:t>1000</w:t>
      </w:r>
      <w:r>
        <w:rPr>
          <w:rFonts w:hint="eastAsia"/>
          <w:color w:val="000000" w:themeColor="text1"/>
          <w:kern w:val="0"/>
        </w:rPr>
        <w:t>～</w:t>
      </w:r>
      <w:r>
        <w:rPr>
          <w:color w:val="000000" w:themeColor="text1"/>
          <w:kern w:val="0"/>
        </w:rPr>
        <w:t>2500t/km</w:t>
      </w:r>
      <w:r>
        <w:rPr>
          <w:color w:val="000000" w:themeColor="text1"/>
          <w:kern w:val="0"/>
          <w:vertAlign w:val="superscript"/>
        </w:rPr>
        <w:t>2</w:t>
      </w:r>
      <w:r>
        <w:rPr>
          <w:color w:val="000000" w:themeColor="text1"/>
          <w:kern w:val="0"/>
        </w:rPr>
        <w:t>·a</w:t>
      </w:r>
      <w:r>
        <w:rPr>
          <w:rFonts w:hint="eastAsia"/>
          <w:color w:val="000000" w:themeColor="text1"/>
          <w:kern w:val="0"/>
        </w:rPr>
        <w:t>，则原生水土流失量为9.6</w:t>
      </w:r>
      <w:r>
        <w:rPr>
          <w:color w:val="000000" w:themeColor="text1"/>
          <w:kern w:val="0"/>
        </w:rPr>
        <w:t>t/a</w:t>
      </w:r>
      <w:r>
        <w:rPr>
          <w:rFonts w:hint="eastAsia"/>
          <w:color w:val="000000" w:themeColor="text1"/>
          <w:kern w:val="0"/>
        </w:rPr>
        <w:t>（按</w:t>
      </w:r>
      <w:r>
        <w:rPr>
          <w:color w:val="000000" w:themeColor="text1"/>
          <w:kern w:val="0"/>
        </w:rPr>
        <w:t>1000t/km</w:t>
      </w:r>
      <w:r>
        <w:rPr>
          <w:color w:val="000000" w:themeColor="text1"/>
          <w:kern w:val="0"/>
          <w:vertAlign w:val="superscript"/>
        </w:rPr>
        <w:t>2</w:t>
      </w:r>
      <w:r>
        <w:rPr>
          <w:color w:val="000000" w:themeColor="text1"/>
          <w:kern w:val="0"/>
        </w:rPr>
        <w:t>·a</w:t>
      </w:r>
      <w:r>
        <w:rPr>
          <w:rFonts w:hint="eastAsia"/>
          <w:color w:val="000000" w:themeColor="text1"/>
          <w:kern w:val="0"/>
        </w:rPr>
        <w:t>计）。施工期间，由于清地、填平、土地改造、土石方移动而形成裸露地面、坡面和施工临时用地，从而加剧扰动地表和土壤侵蚀，造成土质疏松，导致新增水土流失，水土流失侵蚀级别为中度侵蚀，水土流失量为</w:t>
      </w:r>
      <w:r>
        <w:rPr>
          <w:color w:val="000000" w:themeColor="text1"/>
          <w:kern w:val="0"/>
        </w:rPr>
        <w:t>2500</w:t>
      </w:r>
      <w:r>
        <w:rPr>
          <w:rFonts w:hint="eastAsia"/>
          <w:color w:val="000000" w:themeColor="text1"/>
          <w:kern w:val="0"/>
        </w:rPr>
        <w:t>～</w:t>
      </w:r>
      <w:r>
        <w:rPr>
          <w:color w:val="000000" w:themeColor="text1"/>
          <w:kern w:val="0"/>
        </w:rPr>
        <w:t>5000t/km</w:t>
      </w:r>
      <w:r>
        <w:rPr>
          <w:color w:val="000000" w:themeColor="text1"/>
          <w:kern w:val="0"/>
          <w:vertAlign w:val="superscript"/>
        </w:rPr>
        <w:t>2</w:t>
      </w:r>
      <w:r>
        <w:rPr>
          <w:color w:val="000000" w:themeColor="text1"/>
          <w:kern w:val="0"/>
        </w:rPr>
        <w:t>·a</w:t>
      </w:r>
      <w:r>
        <w:rPr>
          <w:rFonts w:hint="eastAsia"/>
          <w:color w:val="000000" w:themeColor="text1"/>
          <w:kern w:val="0"/>
        </w:rPr>
        <w:t>（按</w:t>
      </w:r>
      <w:r>
        <w:rPr>
          <w:color w:val="000000" w:themeColor="text1"/>
          <w:kern w:val="0"/>
        </w:rPr>
        <w:t>3500t/km</w:t>
      </w:r>
      <w:r>
        <w:rPr>
          <w:color w:val="000000" w:themeColor="text1"/>
          <w:kern w:val="0"/>
          <w:vertAlign w:val="superscript"/>
        </w:rPr>
        <w:t>2</w:t>
      </w:r>
      <w:r>
        <w:rPr>
          <w:color w:val="000000" w:themeColor="text1"/>
          <w:kern w:val="0"/>
        </w:rPr>
        <w:t>·a</w:t>
      </w:r>
      <w:r>
        <w:rPr>
          <w:rFonts w:hint="eastAsia"/>
          <w:color w:val="000000" w:themeColor="text1"/>
          <w:kern w:val="0"/>
        </w:rPr>
        <w:t>计），则水土流失量为33.6</w:t>
      </w:r>
      <w:r>
        <w:rPr>
          <w:color w:val="000000" w:themeColor="text1"/>
          <w:kern w:val="0"/>
        </w:rPr>
        <w:t>t/a</w:t>
      </w:r>
      <w:r>
        <w:rPr>
          <w:rFonts w:hint="eastAsia"/>
          <w:color w:val="000000" w:themeColor="text1"/>
          <w:kern w:val="0"/>
        </w:rPr>
        <w:t>。项目施工期为6个月，与原生水土流失相比，则项目整个施工期新增水土流失量为24</w:t>
      </w:r>
      <w:r>
        <w:rPr>
          <w:color w:val="000000" w:themeColor="text1"/>
          <w:kern w:val="0"/>
        </w:rPr>
        <w:t>t</w:t>
      </w:r>
      <w:r>
        <w:rPr>
          <w:rFonts w:hint="eastAsia"/>
          <w:color w:val="000000" w:themeColor="text1"/>
          <w:kern w:val="0"/>
        </w:rPr>
        <w:t>。若施工期间产生的施工废水乱排、乱放，及雨天产生的地表径流没有进行有组织的处理，则将会对周边地表水体造成一定的影响。项目引起的水土流失会造成排水管网或河道的堵塞，严重时可能引起洪涝灾害。</w:t>
      </w:r>
    </w:p>
    <w:p>
      <w:pPr>
        <w:ind w:firstLine="480"/>
        <w:rPr>
          <w:color w:val="000000" w:themeColor="text1"/>
          <w:kern w:val="0"/>
        </w:rPr>
      </w:pPr>
      <w:r>
        <w:rPr>
          <w:rFonts w:hint="eastAsia"/>
          <w:color w:val="000000" w:themeColor="text1"/>
          <w:kern w:val="0"/>
        </w:rPr>
        <w:t>2、施工期生态环境保护措施</w:t>
      </w:r>
    </w:p>
    <w:p>
      <w:pPr>
        <w:ind w:firstLine="480"/>
        <w:rPr>
          <w:rFonts w:ascii="Calibri" w:hAnsi="Calibri"/>
          <w:color w:val="000000" w:themeColor="text1"/>
        </w:rPr>
      </w:pPr>
      <w:r>
        <w:rPr>
          <w:rFonts w:hint="eastAsia" w:ascii="Calibri" w:hAnsi="Calibri"/>
          <w:color w:val="000000" w:themeColor="text1"/>
        </w:rPr>
        <w:t>施工期应做好水土保护工作，禁止对项目区域外的植被进行砍伐，严禁施工期废水、废渣等污染物随意外排；同时尽量做到边施工边恢复，加快生态恢复速度。建议施工单位采取以下措施进一步降低对生态环境的影响：</w:t>
      </w:r>
    </w:p>
    <w:p>
      <w:pPr>
        <w:ind w:firstLine="480"/>
        <w:rPr>
          <w:rFonts w:ascii="Calibri" w:hAnsi="Calibri"/>
          <w:color w:val="000000" w:themeColor="text1"/>
          <w:kern w:val="0"/>
        </w:rPr>
      </w:pPr>
      <w:r>
        <w:rPr>
          <w:rFonts w:hint="eastAsia" w:ascii="Calibri" w:hAnsi="Calibri"/>
          <w:color w:val="000000" w:themeColor="text1"/>
          <w:kern w:val="0"/>
        </w:rPr>
        <w:t>（</w:t>
      </w:r>
      <w:r>
        <w:rPr>
          <w:rFonts w:ascii="Calibri" w:hAnsi="Calibri"/>
          <w:color w:val="000000" w:themeColor="text1"/>
          <w:kern w:val="0"/>
        </w:rPr>
        <w:t>1</w:t>
      </w:r>
      <w:r>
        <w:rPr>
          <w:rFonts w:hint="eastAsia" w:ascii="Calibri" w:hAnsi="Calibri"/>
          <w:color w:val="000000" w:themeColor="text1"/>
          <w:kern w:val="0"/>
        </w:rPr>
        <w:t>）及时作好现场场地平整，即使在雨季，也能控制现场不积水，有积水的地方及时沙土回填。</w:t>
      </w:r>
    </w:p>
    <w:p>
      <w:pPr>
        <w:ind w:firstLine="480"/>
        <w:rPr>
          <w:rFonts w:ascii="Calibri" w:hAnsi="Calibri"/>
          <w:color w:val="000000" w:themeColor="text1"/>
          <w:kern w:val="0"/>
        </w:rPr>
      </w:pPr>
      <w:r>
        <w:rPr>
          <w:rFonts w:hint="eastAsia" w:ascii="Calibri" w:hAnsi="Calibri"/>
          <w:color w:val="000000" w:themeColor="text1"/>
          <w:kern w:val="0"/>
        </w:rPr>
        <w:t>（</w:t>
      </w:r>
      <w:r>
        <w:rPr>
          <w:rFonts w:ascii="Calibri" w:hAnsi="Calibri"/>
          <w:color w:val="000000" w:themeColor="text1"/>
          <w:kern w:val="0"/>
        </w:rPr>
        <w:t>2</w:t>
      </w:r>
      <w:r>
        <w:rPr>
          <w:rFonts w:hint="eastAsia" w:ascii="Calibri" w:hAnsi="Calibri"/>
          <w:color w:val="000000" w:themeColor="text1"/>
          <w:kern w:val="0"/>
        </w:rPr>
        <w:t>）现场作好排水措施，保证现场的雨水顺利排放。雨季雨水可疏导至施工场地沉淀池内储存，可用于施工场地。</w:t>
      </w:r>
    </w:p>
    <w:p>
      <w:pPr>
        <w:ind w:firstLine="480"/>
        <w:rPr>
          <w:rFonts w:ascii="Calibri" w:hAnsi="Calibri"/>
          <w:color w:val="000000" w:themeColor="text1"/>
          <w:kern w:val="0"/>
        </w:rPr>
      </w:pPr>
      <w:r>
        <w:rPr>
          <w:rFonts w:hint="eastAsia" w:ascii="Calibri" w:hAnsi="Calibri"/>
          <w:color w:val="000000" w:themeColor="text1"/>
          <w:kern w:val="0"/>
        </w:rPr>
        <w:t>（</w:t>
      </w:r>
      <w:r>
        <w:rPr>
          <w:rFonts w:ascii="Calibri" w:hAnsi="Calibri"/>
          <w:color w:val="000000" w:themeColor="text1"/>
          <w:kern w:val="0"/>
        </w:rPr>
        <w:t>3</w:t>
      </w:r>
      <w:r>
        <w:rPr>
          <w:rFonts w:hint="eastAsia" w:ascii="Calibri" w:hAnsi="Calibri"/>
          <w:color w:val="000000" w:themeColor="text1"/>
          <w:kern w:val="0"/>
        </w:rPr>
        <w:t>）作好路面硬化措施，防止车辆碾压造成土质疏松。天气干燥时，派专人洒水，防止扬尘。</w:t>
      </w:r>
    </w:p>
    <w:p>
      <w:pPr>
        <w:ind w:firstLine="480"/>
        <w:rPr>
          <w:rFonts w:ascii="Calibri" w:hAnsi="Calibri"/>
          <w:color w:val="000000" w:themeColor="text1"/>
          <w:kern w:val="0"/>
        </w:rPr>
      </w:pPr>
      <w:r>
        <w:rPr>
          <w:rFonts w:hint="eastAsia" w:ascii="Calibri" w:hAnsi="Calibri"/>
          <w:color w:val="000000" w:themeColor="text1"/>
          <w:kern w:val="0"/>
        </w:rPr>
        <w:t>（</w:t>
      </w:r>
      <w:r>
        <w:rPr>
          <w:rFonts w:ascii="Calibri" w:hAnsi="Calibri"/>
          <w:color w:val="000000" w:themeColor="text1"/>
          <w:kern w:val="0"/>
        </w:rPr>
        <w:t>4</w:t>
      </w:r>
      <w:r>
        <w:rPr>
          <w:rFonts w:hint="eastAsia" w:ascii="Calibri" w:hAnsi="Calibri"/>
          <w:color w:val="000000" w:themeColor="text1"/>
          <w:kern w:val="0"/>
        </w:rPr>
        <w:t>）钢筋加工棚、木工棚、露天仓库或封闭仓库地面作好地面硬化措施，并做到每天清扫，经常撒水降尘。</w:t>
      </w:r>
    </w:p>
    <w:p>
      <w:pPr>
        <w:ind w:firstLine="480"/>
        <w:rPr>
          <w:rFonts w:ascii="Calibri" w:hAnsi="Calibri"/>
          <w:color w:val="000000" w:themeColor="text1"/>
          <w:kern w:val="0"/>
        </w:rPr>
      </w:pPr>
      <w:r>
        <w:rPr>
          <w:rFonts w:hint="eastAsia" w:ascii="Calibri" w:hAnsi="Calibri"/>
          <w:color w:val="000000" w:themeColor="text1"/>
          <w:kern w:val="0"/>
        </w:rPr>
        <w:t>（</w:t>
      </w:r>
      <w:r>
        <w:rPr>
          <w:rFonts w:ascii="Calibri" w:hAnsi="Calibri"/>
          <w:color w:val="000000" w:themeColor="text1"/>
          <w:kern w:val="0"/>
        </w:rPr>
        <w:t>5</w:t>
      </w:r>
      <w:r>
        <w:rPr>
          <w:rFonts w:hint="eastAsia" w:ascii="Calibri" w:hAnsi="Calibri"/>
          <w:color w:val="000000" w:themeColor="text1"/>
          <w:kern w:val="0"/>
        </w:rPr>
        <w:t>）施工现场主要施工道路每天设专人用洒水车随时进行洒水压尘。</w:t>
      </w:r>
    </w:p>
    <w:p>
      <w:pPr>
        <w:ind w:firstLine="480"/>
        <w:rPr>
          <w:rFonts w:ascii="Calibri" w:hAnsi="Calibri"/>
          <w:color w:val="000000" w:themeColor="text1"/>
          <w:kern w:val="0"/>
        </w:rPr>
      </w:pPr>
      <w:r>
        <w:rPr>
          <w:rFonts w:hint="eastAsia" w:ascii="Calibri" w:hAnsi="Calibri"/>
          <w:color w:val="000000" w:themeColor="text1"/>
          <w:kern w:val="0"/>
        </w:rPr>
        <w:t>（</w:t>
      </w:r>
      <w:r>
        <w:rPr>
          <w:rFonts w:ascii="Calibri" w:hAnsi="Calibri"/>
          <w:color w:val="000000" w:themeColor="text1"/>
          <w:kern w:val="0"/>
        </w:rPr>
        <w:t>6</w:t>
      </w:r>
      <w:r>
        <w:rPr>
          <w:rFonts w:hint="eastAsia" w:ascii="Calibri" w:hAnsi="Calibri"/>
          <w:color w:val="000000" w:themeColor="text1"/>
          <w:kern w:val="0"/>
        </w:rPr>
        <w:t>）施工现场进行分区管理，责任到人。</w:t>
      </w:r>
    </w:p>
    <w:p>
      <w:pPr>
        <w:ind w:firstLine="480"/>
        <w:rPr>
          <w:rFonts w:ascii="Calibri" w:hAnsi="Calibri"/>
          <w:color w:val="000000" w:themeColor="text1"/>
          <w:kern w:val="0"/>
        </w:rPr>
      </w:pPr>
      <w:r>
        <w:rPr>
          <w:rFonts w:hint="eastAsia" w:ascii="Calibri" w:hAnsi="Calibri"/>
          <w:color w:val="000000" w:themeColor="text1"/>
          <w:kern w:val="0"/>
        </w:rPr>
        <w:t>为加强水土保持，防止水土流失，应采取以下措施：</w:t>
      </w:r>
    </w:p>
    <w:p>
      <w:pPr>
        <w:ind w:firstLine="480"/>
        <w:rPr>
          <w:rFonts w:ascii="Calibri" w:hAnsi="Calibri"/>
          <w:color w:val="000000" w:themeColor="text1"/>
          <w:kern w:val="0"/>
        </w:rPr>
      </w:pPr>
      <w:r>
        <w:rPr>
          <w:rFonts w:hint="eastAsia" w:ascii="Calibri" w:hAnsi="Calibri"/>
          <w:color w:val="000000" w:themeColor="text1"/>
          <w:kern w:val="0"/>
        </w:rPr>
        <w:t>（</w:t>
      </w:r>
      <w:r>
        <w:rPr>
          <w:rFonts w:ascii="Calibri" w:hAnsi="Calibri"/>
          <w:color w:val="000000" w:themeColor="text1"/>
          <w:kern w:val="0"/>
        </w:rPr>
        <w:t>1</w:t>
      </w:r>
      <w:r>
        <w:rPr>
          <w:rFonts w:hint="eastAsia" w:ascii="Calibri" w:hAnsi="Calibri"/>
          <w:color w:val="000000" w:themeColor="text1"/>
          <w:kern w:val="0"/>
        </w:rPr>
        <w:t>）在签订施工承包合同时，明确有关环境保护的条款。施工期的环境管理措施由施工部门组织实施。</w:t>
      </w:r>
    </w:p>
    <w:p>
      <w:pPr>
        <w:ind w:firstLine="480"/>
        <w:rPr>
          <w:rFonts w:ascii="Calibri" w:hAnsi="Calibri"/>
          <w:color w:val="000000" w:themeColor="text1"/>
          <w:kern w:val="0"/>
        </w:rPr>
      </w:pPr>
      <w:r>
        <w:rPr>
          <w:rFonts w:hint="eastAsia" w:ascii="Calibri" w:hAnsi="Calibri"/>
          <w:color w:val="000000" w:themeColor="text1"/>
          <w:kern w:val="0"/>
        </w:rPr>
        <w:t>（</w:t>
      </w:r>
      <w:r>
        <w:rPr>
          <w:rFonts w:ascii="Calibri" w:hAnsi="Calibri"/>
          <w:color w:val="000000" w:themeColor="text1"/>
          <w:kern w:val="0"/>
        </w:rPr>
        <w:t>2</w:t>
      </w:r>
      <w:r>
        <w:rPr>
          <w:rFonts w:hint="eastAsia" w:ascii="Calibri" w:hAnsi="Calibri"/>
          <w:color w:val="000000" w:themeColor="text1"/>
          <w:kern w:val="0"/>
        </w:rPr>
        <w:t>）对施工中产生的废弃渣，包括剥离覆盖层产生的废弃渣专门堆放，并设拦挡工程，不得随意倾倒；修建拦渣坝、挡渣墙等临时工程，防止水土流失影响周边地区；在场区四周修建排水沟，防止雨季的冲刷造成严重的水土流失现象。</w:t>
      </w:r>
    </w:p>
    <w:p>
      <w:pPr>
        <w:ind w:firstLine="480"/>
        <w:rPr>
          <w:rFonts w:ascii="Calibri" w:hAnsi="Calibri"/>
          <w:color w:val="000000" w:themeColor="text1"/>
          <w:kern w:val="0"/>
        </w:rPr>
      </w:pPr>
      <w:r>
        <w:rPr>
          <w:rFonts w:hint="eastAsia" w:ascii="Calibri" w:hAnsi="Calibri"/>
          <w:color w:val="000000" w:themeColor="text1"/>
          <w:kern w:val="0"/>
        </w:rPr>
        <w:t>（</w:t>
      </w:r>
      <w:r>
        <w:rPr>
          <w:rFonts w:ascii="Calibri" w:hAnsi="Calibri"/>
          <w:color w:val="000000" w:themeColor="text1"/>
          <w:kern w:val="0"/>
        </w:rPr>
        <w:t>3</w:t>
      </w:r>
      <w:r>
        <w:rPr>
          <w:rFonts w:hint="eastAsia" w:ascii="Calibri" w:hAnsi="Calibri"/>
          <w:color w:val="000000" w:themeColor="text1"/>
          <w:kern w:val="0"/>
        </w:rPr>
        <w:t>）优化单项工程的施工时序，避免暴雨天气进行场地、道路的平整、地基开挖。</w:t>
      </w:r>
    </w:p>
    <w:p>
      <w:pPr>
        <w:ind w:firstLine="480"/>
        <w:rPr>
          <w:rFonts w:ascii="Calibri" w:hAnsi="Calibri"/>
          <w:color w:val="000000" w:themeColor="text1"/>
          <w:kern w:val="0"/>
        </w:rPr>
      </w:pPr>
      <w:r>
        <w:rPr>
          <w:rFonts w:hint="eastAsia" w:ascii="Calibri" w:hAnsi="Calibri"/>
          <w:color w:val="000000" w:themeColor="text1"/>
          <w:kern w:val="0"/>
        </w:rPr>
        <w:t>（</w:t>
      </w:r>
      <w:r>
        <w:rPr>
          <w:rFonts w:ascii="Calibri" w:hAnsi="Calibri"/>
          <w:color w:val="000000" w:themeColor="text1"/>
          <w:kern w:val="0"/>
        </w:rPr>
        <w:t>4</w:t>
      </w:r>
      <w:r>
        <w:rPr>
          <w:rFonts w:hint="eastAsia" w:ascii="Calibri" w:hAnsi="Calibri"/>
          <w:color w:val="000000" w:themeColor="text1"/>
          <w:kern w:val="0"/>
        </w:rPr>
        <w:t>）主体工程要选择合适的季节施工。应避开风季大风及夏季暴雨季进行作业，减少水土流失。</w:t>
      </w:r>
    </w:p>
    <w:p>
      <w:pPr>
        <w:ind w:firstLine="480"/>
        <w:rPr>
          <w:rFonts w:ascii="Calibri" w:hAnsi="Calibri"/>
          <w:color w:val="000000" w:themeColor="text1"/>
          <w:kern w:val="0"/>
        </w:rPr>
      </w:pPr>
      <w:r>
        <w:rPr>
          <w:rFonts w:hint="eastAsia" w:ascii="Calibri" w:hAnsi="Calibri"/>
          <w:color w:val="000000" w:themeColor="text1"/>
          <w:kern w:val="0"/>
        </w:rPr>
        <w:t>（</w:t>
      </w:r>
      <w:r>
        <w:rPr>
          <w:rFonts w:ascii="Calibri" w:hAnsi="Calibri"/>
          <w:color w:val="000000" w:themeColor="text1"/>
          <w:kern w:val="0"/>
        </w:rPr>
        <w:t>5</w:t>
      </w:r>
      <w:r>
        <w:rPr>
          <w:rFonts w:hint="eastAsia" w:ascii="Calibri" w:hAnsi="Calibri"/>
          <w:color w:val="000000" w:themeColor="text1"/>
          <w:kern w:val="0"/>
        </w:rPr>
        <w:t>）施工结束后应拆除施工区临时设施、清理场地、种植植被，以提高土地利用功能。</w:t>
      </w:r>
    </w:p>
    <w:p>
      <w:pPr>
        <w:ind w:firstLine="480"/>
        <w:rPr>
          <w:rFonts w:ascii="Calibri" w:hAnsi="Calibri"/>
          <w:color w:val="000000" w:themeColor="text1"/>
          <w:kern w:val="0"/>
        </w:rPr>
      </w:pPr>
      <w:r>
        <w:rPr>
          <w:rFonts w:hint="eastAsia" w:ascii="Calibri" w:hAnsi="Calibri"/>
          <w:color w:val="000000" w:themeColor="text1"/>
          <w:kern w:val="0"/>
        </w:rPr>
        <w:t>（</w:t>
      </w:r>
      <w:r>
        <w:rPr>
          <w:rFonts w:ascii="Calibri" w:hAnsi="Calibri"/>
          <w:color w:val="000000" w:themeColor="text1"/>
          <w:kern w:val="0"/>
        </w:rPr>
        <w:t>6</w:t>
      </w:r>
      <w:r>
        <w:rPr>
          <w:rFonts w:hint="eastAsia" w:ascii="Calibri" w:hAnsi="Calibri"/>
          <w:color w:val="000000" w:themeColor="text1"/>
          <w:kern w:val="0"/>
        </w:rPr>
        <w:t>）加强施工管理，对施工人员进行保护生态教育，最大程度降低施工活动对矿区生态的破坏。</w:t>
      </w:r>
    </w:p>
    <w:p>
      <w:pPr>
        <w:ind w:firstLine="480"/>
        <w:rPr>
          <w:color w:val="000000" w:themeColor="text1"/>
          <w:kern w:val="0"/>
        </w:rPr>
      </w:pPr>
      <w:r>
        <w:rPr>
          <w:rFonts w:hint="eastAsia" w:ascii="Calibri" w:hAnsi="Calibri"/>
          <w:color w:val="000000" w:themeColor="text1"/>
          <w:kern w:val="0"/>
        </w:rPr>
        <w:t>采取上述措施后，施工期对生态环境的影响很小，施工结束后及时恢复植被，恢复项目区域生态植被，降低生态影响。工程营运期厂区设计绿地率为25.4</w:t>
      </w:r>
      <w:r>
        <w:rPr>
          <w:rFonts w:ascii="Calibri" w:hAnsi="Calibri"/>
          <w:color w:val="000000" w:themeColor="text1"/>
          <w:kern w:val="0"/>
        </w:rPr>
        <w:t>%</w:t>
      </w:r>
      <w:r>
        <w:rPr>
          <w:rFonts w:hint="eastAsia" w:ascii="Calibri" w:hAnsi="Calibri"/>
          <w:color w:val="000000" w:themeColor="text1"/>
          <w:kern w:val="0"/>
        </w:rPr>
        <w:t>，能够有效缓解项目施工期带来的不利生态影响，</w:t>
      </w:r>
      <w:r>
        <w:rPr>
          <w:rFonts w:hint="eastAsia"/>
          <w:color w:val="000000" w:themeColor="text1"/>
          <w:kern w:val="0"/>
        </w:rPr>
        <w:t>施工应尽量在原有地形上进行，并采取</w:t>
      </w:r>
      <w:r>
        <w:rPr>
          <w:color w:val="000000" w:themeColor="text1"/>
          <w:kern w:val="0"/>
        </w:rPr>
        <w:t>“</w:t>
      </w:r>
      <w:r>
        <w:rPr>
          <w:rFonts w:hint="eastAsia"/>
          <w:color w:val="000000" w:themeColor="text1"/>
          <w:kern w:val="0"/>
        </w:rPr>
        <w:t>建成一片、绿化一片</w:t>
      </w:r>
      <w:r>
        <w:rPr>
          <w:color w:val="000000" w:themeColor="text1"/>
          <w:kern w:val="0"/>
        </w:rPr>
        <w:t>”</w:t>
      </w:r>
      <w:r>
        <w:rPr>
          <w:rFonts w:hint="eastAsia"/>
          <w:color w:val="000000" w:themeColor="text1"/>
          <w:kern w:val="0"/>
        </w:rPr>
        <w:t>的方式组织施工，使绿化的生态环境效益尽快能够体现，而且可以减小水土流失影响。</w:t>
      </w:r>
    </w:p>
    <w:p>
      <w:pPr>
        <w:pStyle w:val="3"/>
        <w:rPr>
          <w:color w:val="000000" w:themeColor="text1"/>
        </w:rPr>
      </w:pPr>
      <w:bookmarkStart w:id="157" w:name="_Toc47375860"/>
      <w:bookmarkStart w:id="158" w:name="_Toc388604071"/>
      <w:bookmarkStart w:id="159" w:name="_Toc387938370"/>
      <w:bookmarkStart w:id="160" w:name="_Toc530059689"/>
      <w:r>
        <w:rPr>
          <w:rFonts w:hint="eastAsia"/>
          <w:color w:val="000000" w:themeColor="text1"/>
        </w:rPr>
        <w:t>5</w:t>
      </w:r>
      <w:r>
        <w:rPr>
          <w:color w:val="000000" w:themeColor="text1"/>
        </w:rPr>
        <w:t>.6</w:t>
      </w:r>
      <w:r>
        <w:rPr>
          <w:rFonts w:hint="eastAsia"/>
          <w:color w:val="000000" w:themeColor="text1"/>
        </w:rPr>
        <w:t>施工期社会环境影响分析</w:t>
      </w:r>
      <w:bookmarkEnd w:id="157"/>
      <w:bookmarkEnd w:id="158"/>
      <w:bookmarkEnd w:id="159"/>
      <w:bookmarkEnd w:id="160"/>
    </w:p>
    <w:p>
      <w:pPr>
        <w:ind w:firstLine="480"/>
        <w:rPr>
          <w:color w:val="000000" w:themeColor="text1"/>
        </w:rPr>
      </w:pPr>
      <w:r>
        <w:rPr>
          <w:rFonts w:hint="eastAsia"/>
          <w:color w:val="000000" w:themeColor="text1"/>
        </w:rPr>
        <w:t>本项目施工期对当地社会环境的影响主要表现在以下几方面：</w:t>
      </w:r>
    </w:p>
    <w:p>
      <w:pPr>
        <w:ind w:firstLine="480"/>
        <w:rPr>
          <w:color w:val="000000" w:themeColor="text1"/>
        </w:rPr>
      </w:pPr>
      <w:r>
        <w:rPr>
          <w:rFonts w:hint="eastAsia"/>
          <w:color w:val="000000" w:themeColor="text1"/>
        </w:rPr>
        <w:t>（</w:t>
      </w:r>
      <w:r>
        <w:rPr>
          <w:color w:val="000000" w:themeColor="text1"/>
        </w:rPr>
        <w:t>1</w:t>
      </w:r>
      <w:r>
        <w:rPr>
          <w:rFonts w:hint="eastAsia"/>
          <w:color w:val="000000" w:themeColor="text1"/>
        </w:rPr>
        <w:t>）由于项目的建设，建设资金投入，对施工占地涉及区域的社会经济发展起到明显的促进作用；</w:t>
      </w:r>
    </w:p>
    <w:p>
      <w:pPr>
        <w:ind w:firstLine="480"/>
        <w:rPr>
          <w:color w:val="000000" w:themeColor="text1"/>
        </w:rPr>
      </w:pPr>
      <w:r>
        <w:rPr>
          <w:rFonts w:hint="eastAsia"/>
          <w:color w:val="000000" w:themeColor="text1"/>
        </w:rPr>
        <w:t>（</w:t>
      </w:r>
      <w:r>
        <w:rPr>
          <w:color w:val="000000" w:themeColor="text1"/>
        </w:rPr>
        <w:t>2</w:t>
      </w:r>
      <w:r>
        <w:rPr>
          <w:rFonts w:hint="eastAsia"/>
          <w:color w:val="000000" w:themeColor="text1"/>
        </w:rPr>
        <w:t>）建设期间由于建材的需求，可促进区域建筑材料的销售；</w:t>
      </w:r>
    </w:p>
    <w:p>
      <w:pPr>
        <w:ind w:firstLine="480"/>
        <w:rPr>
          <w:color w:val="000000" w:themeColor="text1"/>
        </w:rPr>
      </w:pPr>
      <w:r>
        <w:rPr>
          <w:rFonts w:hint="eastAsia"/>
          <w:color w:val="000000" w:themeColor="text1"/>
        </w:rPr>
        <w:t>（</w:t>
      </w:r>
      <w:r>
        <w:rPr>
          <w:color w:val="000000" w:themeColor="text1"/>
        </w:rPr>
        <w:t>3</w:t>
      </w:r>
      <w:r>
        <w:rPr>
          <w:rFonts w:hint="eastAsia"/>
          <w:color w:val="000000" w:themeColor="text1"/>
        </w:rPr>
        <w:t>）施工人员由于日常生活消费，则将促进当地肉类、蔬菜等副食品的生产和销售，从而扩大当地居民就业机会，促进当地经济的发展，提高当地人民群众的物质文化生活水平；</w:t>
      </w:r>
    </w:p>
    <w:p>
      <w:pPr>
        <w:ind w:firstLine="480"/>
        <w:rPr>
          <w:color w:val="000000" w:themeColor="text1"/>
        </w:rPr>
      </w:pPr>
      <w:r>
        <w:rPr>
          <w:rFonts w:hint="eastAsia"/>
          <w:color w:val="000000" w:themeColor="text1"/>
        </w:rPr>
        <w:t>（</w:t>
      </w:r>
      <w:r>
        <w:rPr>
          <w:color w:val="000000" w:themeColor="text1"/>
        </w:rPr>
        <w:t>4</w:t>
      </w:r>
      <w:r>
        <w:rPr>
          <w:rFonts w:hint="eastAsia"/>
          <w:color w:val="000000" w:themeColor="text1"/>
        </w:rPr>
        <w:t>）外来劳动力的到来，会给当地民众造成一定的就业压力，所以施工期应尽量招用当地劳动力，可避免外来劳动力的涌入对当地就业等带来影响。</w:t>
      </w:r>
      <w:r>
        <w:rPr>
          <w:color w:val="000000" w:themeColor="text1"/>
        </w:rPr>
        <w:t xml:space="preserve"> </w:t>
      </w:r>
    </w:p>
    <w:p>
      <w:pPr>
        <w:pStyle w:val="3"/>
        <w:rPr>
          <w:color w:val="000000" w:themeColor="text1"/>
          <w:sz w:val="32"/>
        </w:rPr>
      </w:pPr>
      <w:bookmarkStart w:id="161" w:name="_Toc143085402"/>
      <w:bookmarkStart w:id="162" w:name="_Toc229976820"/>
      <w:bookmarkStart w:id="163" w:name="_Toc47375861"/>
      <w:bookmarkStart w:id="164" w:name="_Toc530059690"/>
      <w:bookmarkStart w:id="165" w:name="_Toc388604072"/>
      <w:bookmarkStart w:id="166" w:name="_Toc387938371"/>
      <w:r>
        <w:rPr>
          <w:rFonts w:hint="eastAsia"/>
          <w:color w:val="000000" w:themeColor="text1"/>
        </w:rPr>
        <w:t>5</w:t>
      </w:r>
      <w:r>
        <w:rPr>
          <w:color w:val="000000" w:themeColor="text1"/>
        </w:rPr>
        <w:t>.7</w:t>
      </w:r>
      <w:r>
        <w:rPr>
          <w:rFonts w:hint="eastAsia"/>
          <w:color w:val="000000" w:themeColor="text1"/>
        </w:rPr>
        <w:t>施工对交通影响</w:t>
      </w:r>
      <w:bookmarkEnd w:id="161"/>
      <w:r>
        <w:rPr>
          <w:rFonts w:hint="eastAsia"/>
          <w:color w:val="000000" w:themeColor="text1"/>
        </w:rPr>
        <w:t>分析</w:t>
      </w:r>
      <w:bookmarkEnd w:id="162"/>
      <w:bookmarkEnd w:id="163"/>
      <w:bookmarkEnd w:id="164"/>
      <w:bookmarkEnd w:id="165"/>
      <w:bookmarkEnd w:id="166"/>
    </w:p>
    <w:p>
      <w:pPr>
        <w:ind w:firstLine="480"/>
        <w:rPr>
          <w:color w:val="000000" w:themeColor="text1"/>
        </w:rPr>
      </w:pPr>
      <w:r>
        <w:rPr>
          <w:rFonts w:hint="eastAsia"/>
          <w:color w:val="000000" w:themeColor="text1"/>
        </w:rPr>
        <w:t>项目建设期间运输车辆和大型机械设备出入，运输物料洒落等，均会对项目附近交通造成影响，运输车辆进入项目区主要通道为项目东侧的永红公路。来来往往的车辆和人较多，项目的建设可能会造成交通堵塞，因此造成对周边居民的生活影响较小。项目业主拟采取如下措施减少这种影响：</w:t>
      </w:r>
    </w:p>
    <w:p>
      <w:pPr>
        <w:ind w:firstLine="480"/>
        <w:rPr>
          <w:color w:val="000000" w:themeColor="text1"/>
        </w:rPr>
      </w:pPr>
      <w:r>
        <w:rPr>
          <w:rFonts w:hint="eastAsia"/>
          <w:color w:val="000000" w:themeColor="text1"/>
        </w:rPr>
        <w:t>（</w:t>
      </w:r>
      <w:r>
        <w:rPr>
          <w:color w:val="000000" w:themeColor="text1"/>
        </w:rPr>
        <w:t>1</w:t>
      </w:r>
      <w:r>
        <w:rPr>
          <w:rFonts w:hint="eastAsia"/>
          <w:color w:val="000000" w:themeColor="text1"/>
        </w:rPr>
        <w:t>）合理安排运输车辆使用时间，尽可能将运输时间安排在交通低峰时，避免由于建材的运输造成周边道路的交通阻塞。同时在交通低峰时运输车辆可以节约大量的运输时间、油耗及减少车辆慢行时排放的</w:t>
      </w:r>
      <w:r>
        <w:rPr>
          <w:color w:val="000000" w:themeColor="text1"/>
        </w:rPr>
        <w:t>CO</w:t>
      </w:r>
      <w:r>
        <w:rPr>
          <w:rFonts w:hint="eastAsia"/>
          <w:color w:val="000000" w:themeColor="text1"/>
        </w:rPr>
        <w:t>、</w:t>
      </w:r>
      <w:r>
        <w:rPr>
          <w:color w:val="000000" w:themeColor="text1"/>
        </w:rPr>
        <w:t>CH</w:t>
      </w:r>
      <w:r>
        <w:rPr>
          <w:rFonts w:hint="eastAsia"/>
          <w:color w:val="000000" w:themeColor="text1"/>
        </w:rPr>
        <w:t>对环境空气质量的影响；</w:t>
      </w:r>
    </w:p>
    <w:p>
      <w:pPr>
        <w:ind w:firstLine="480"/>
        <w:rPr>
          <w:color w:val="000000" w:themeColor="text1"/>
        </w:rPr>
      </w:pPr>
      <w:r>
        <w:rPr>
          <w:rFonts w:hint="eastAsia"/>
          <w:color w:val="000000" w:themeColor="text1"/>
        </w:rPr>
        <w:t>（</w:t>
      </w:r>
      <w:r>
        <w:rPr>
          <w:color w:val="000000" w:themeColor="text1"/>
        </w:rPr>
        <w:t>2</w:t>
      </w:r>
      <w:r>
        <w:rPr>
          <w:rFonts w:hint="eastAsia"/>
          <w:color w:val="000000" w:themeColor="text1"/>
        </w:rPr>
        <w:t>）修建围墙，避免机械、物料（砖、沙石等）等占据道路；</w:t>
      </w:r>
    </w:p>
    <w:p>
      <w:pPr>
        <w:ind w:firstLine="480"/>
        <w:rPr>
          <w:color w:val="000000" w:themeColor="text1"/>
        </w:rPr>
      </w:pPr>
      <w:r>
        <w:rPr>
          <w:rFonts w:hint="eastAsia"/>
          <w:color w:val="000000" w:themeColor="text1"/>
        </w:rPr>
        <w:t>（</w:t>
      </w:r>
      <w:r>
        <w:rPr>
          <w:color w:val="000000" w:themeColor="text1"/>
        </w:rPr>
        <w:t>3</w:t>
      </w:r>
      <w:r>
        <w:rPr>
          <w:rFonts w:hint="eastAsia"/>
          <w:color w:val="000000" w:themeColor="text1"/>
        </w:rPr>
        <w:t>）保持周围道路路面的平整和整洁，保证过往车辆和行人出行的安全和通畅；</w:t>
      </w:r>
    </w:p>
    <w:p>
      <w:pPr>
        <w:ind w:firstLine="480"/>
        <w:rPr>
          <w:color w:val="000000" w:themeColor="text1"/>
        </w:rPr>
      </w:pPr>
      <w:r>
        <w:rPr>
          <w:rFonts w:hint="eastAsia"/>
          <w:color w:val="000000" w:themeColor="text1"/>
        </w:rPr>
        <w:t>（</w:t>
      </w:r>
      <w:r>
        <w:rPr>
          <w:color w:val="000000" w:themeColor="text1"/>
        </w:rPr>
        <w:t>4</w:t>
      </w:r>
      <w:r>
        <w:rPr>
          <w:rFonts w:hint="eastAsia"/>
          <w:color w:val="000000" w:themeColor="text1"/>
        </w:rPr>
        <w:t>）在项目施工中，为了更好的保持该区域路段的畅行，及行人安全，要求在项目场地进出口路段增设标志牌、警示牌等安全标志。</w:t>
      </w:r>
    </w:p>
    <w:p>
      <w:pPr>
        <w:widowControl/>
        <w:spacing w:line="240" w:lineRule="auto"/>
        <w:ind w:firstLine="0" w:firstLineChars="0"/>
        <w:jc w:val="left"/>
        <w:rPr>
          <w:b/>
          <w:color w:val="000000" w:themeColor="text1"/>
          <w:sz w:val="32"/>
        </w:rPr>
      </w:pPr>
      <w:r>
        <w:rPr>
          <w:color w:val="000000" w:themeColor="text1"/>
        </w:rPr>
        <w:br w:type="page"/>
      </w:r>
    </w:p>
    <w:p>
      <w:pPr>
        <w:pStyle w:val="2"/>
        <w:spacing w:before="192" w:after="192"/>
        <w:rPr>
          <w:color w:val="000000" w:themeColor="text1"/>
          <w:lang w:val="zh-CN"/>
        </w:rPr>
      </w:pPr>
      <w:bookmarkStart w:id="167" w:name="_Toc47375862"/>
      <w:bookmarkStart w:id="168" w:name="_Toc530059691"/>
      <w:r>
        <w:rPr>
          <w:rFonts w:hint="eastAsia"/>
          <w:color w:val="000000" w:themeColor="text1"/>
        </w:rPr>
        <w:t>6.运营期环境影响分析及评价</w:t>
      </w:r>
      <w:bookmarkEnd w:id="167"/>
      <w:bookmarkEnd w:id="168"/>
    </w:p>
    <w:p>
      <w:pPr>
        <w:pStyle w:val="3"/>
        <w:rPr>
          <w:color w:val="000000" w:themeColor="text1"/>
          <w:sz w:val="32"/>
        </w:rPr>
      </w:pPr>
      <w:bookmarkStart w:id="169" w:name="_Toc47375863"/>
      <w:bookmarkStart w:id="170" w:name="_Toc387938373"/>
      <w:bookmarkStart w:id="171" w:name="_Toc388604074"/>
      <w:bookmarkStart w:id="172" w:name="_Toc530059692"/>
      <w:bookmarkStart w:id="173" w:name="_Toc229976823"/>
      <w:r>
        <w:rPr>
          <w:color w:val="000000" w:themeColor="text1"/>
        </w:rPr>
        <w:t>6.1</w:t>
      </w:r>
      <w:r>
        <w:rPr>
          <w:rFonts w:hint="eastAsia"/>
          <w:color w:val="000000" w:themeColor="text1"/>
        </w:rPr>
        <w:t>运营期大气环境影响分析及评价</w:t>
      </w:r>
      <w:bookmarkEnd w:id="169"/>
      <w:bookmarkEnd w:id="170"/>
      <w:bookmarkEnd w:id="171"/>
      <w:bookmarkEnd w:id="172"/>
      <w:bookmarkEnd w:id="173"/>
    </w:p>
    <w:p>
      <w:pPr>
        <w:pStyle w:val="38"/>
        <w:ind w:firstLine="281"/>
        <w:rPr>
          <w:color w:val="000000" w:themeColor="text1"/>
        </w:rPr>
      </w:pPr>
      <w:bookmarkStart w:id="174" w:name="_Toc47375864"/>
      <w:bookmarkStart w:id="175" w:name="_Toc530059693"/>
      <w:r>
        <w:rPr>
          <w:rFonts w:hint="eastAsia"/>
          <w:color w:val="000000" w:themeColor="text1"/>
        </w:rPr>
        <w:t>6.1.1气象条件分析</w:t>
      </w:r>
      <w:bookmarkEnd w:id="174"/>
    </w:p>
    <w:p>
      <w:pPr>
        <w:ind w:firstLine="480"/>
        <w:rPr>
          <w:color w:val="000000" w:themeColor="text1"/>
          <w:kern w:val="0"/>
        </w:rPr>
      </w:pPr>
      <w:r>
        <w:rPr>
          <w:rFonts w:hint="eastAsia"/>
          <w:color w:val="000000" w:themeColor="text1"/>
        </w:rPr>
        <w:t>（1）</w:t>
      </w:r>
      <w:r>
        <w:rPr>
          <w:rFonts w:hint="eastAsia"/>
          <w:color w:val="000000" w:themeColor="text1"/>
          <w:kern w:val="0"/>
        </w:rPr>
        <w:t>常规气象资料分析</w:t>
      </w:r>
    </w:p>
    <w:p>
      <w:pPr>
        <w:ind w:firstLine="480"/>
        <w:rPr>
          <w:color w:val="000000" w:themeColor="text1"/>
          <w:kern w:val="0"/>
        </w:rPr>
      </w:pPr>
      <w:r>
        <w:rPr>
          <w:rFonts w:hint="eastAsia"/>
          <w:color w:val="000000" w:themeColor="text1"/>
          <w:kern w:val="0"/>
        </w:rPr>
        <w:t>根据砚山县气象站</w:t>
      </w:r>
      <w:r>
        <w:rPr>
          <w:color w:val="000000" w:themeColor="text1"/>
          <w:kern w:val="0"/>
        </w:rPr>
        <w:t>1971-2000</w:t>
      </w:r>
      <w:r>
        <w:rPr>
          <w:rFonts w:hint="eastAsia"/>
          <w:color w:val="000000" w:themeColor="text1"/>
          <w:kern w:val="0"/>
        </w:rPr>
        <w:t>年各月各要素统计值，各月及全年的平均风速、最多风向及频率统计值见表6.1.1</w:t>
      </w:r>
      <w:r>
        <w:rPr>
          <w:color w:val="000000" w:themeColor="text1"/>
          <w:kern w:val="0"/>
        </w:rPr>
        <w:t>-1</w:t>
      </w:r>
      <w:r>
        <w:rPr>
          <w:rFonts w:hint="eastAsia"/>
          <w:color w:val="000000" w:themeColor="text1"/>
          <w:kern w:val="0"/>
        </w:rPr>
        <w:t>。</w:t>
      </w:r>
    </w:p>
    <w:p>
      <w:pPr>
        <w:pStyle w:val="54"/>
        <w:rPr>
          <w:color w:val="000000" w:themeColor="text1"/>
        </w:rPr>
      </w:pPr>
      <w:r>
        <w:rPr>
          <w:rFonts w:hint="eastAsia"/>
          <w:color w:val="000000" w:themeColor="text1"/>
        </w:rPr>
        <w:t>表6.1.1-1  砚山县</w:t>
      </w:r>
      <w:r>
        <w:rPr>
          <w:color w:val="000000" w:themeColor="text1"/>
        </w:rPr>
        <w:t>30</w:t>
      </w:r>
      <w:r>
        <w:rPr>
          <w:rFonts w:hint="eastAsia"/>
          <w:color w:val="000000" w:themeColor="text1"/>
        </w:rPr>
        <w:t>年各月平均各气象要素一览表</w:t>
      </w:r>
    </w:p>
    <w:tbl>
      <w:tblPr>
        <w:tblStyle w:val="42"/>
        <w:tblW w:w="91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8"/>
        <w:gridCol w:w="976"/>
        <w:gridCol w:w="1152"/>
        <w:gridCol w:w="990"/>
        <w:gridCol w:w="1140"/>
        <w:gridCol w:w="1076"/>
        <w:gridCol w:w="1014"/>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项目</w:t>
            </w:r>
          </w:p>
        </w:tc>
        <w:tc>
          <w:tcPr>
            <w:tcW w:w="9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w:t>
            </w:r>
          </w:p>
        </w:tc>
        <w:tc>
          <w:tcPr>
            <w:tcW w:w="11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2</w:t>
            </w:r>
          </w:p>
        </w:tc>
        <w:tc>
          <w:tcPr>
            <w:tcW w:w="99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3</w:t>
            </w:r>
          </w:p>
        </w:tc>
        <w:tc>
          <w:tcPr>
            <w:tcW w:w="114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4</w:t>
            </w:r>
          </w:p>
        </w:tc>
        <w:tc>
          <w:tcPr>
            <w:tcW w:w="10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5</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6</w:t>
            </w:r>
          </w:p>
        </w:tc>
        <w:tc>
          <w:tcPr>
            <w:tcW w:w="11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气压</w:t>
            </w:r>
          </w:p>
        </w:tc>
        <w:tc>
          <w:tcPr>
            <w:tcW w:w="9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846.5</w:t>
            </w:r>
          </w:p>
        </w:tc>
        <w:tc>
          <w:tcPr>
            <w:tcW w:w="11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845.1</w:t>
            </w:r>
          </w:p>
        </w:tc>
        <w:tc>
          <w:tcPr>
            <w:tcW w:w="99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844.1</w:t>
            </w:r>
          </w:p>
        </w:tc>
        <w:tc>
          <w:tcPr>
            <w:tcW w:w="114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843.2</w:t>
            </w:r>
          </w:p>
        </w:tc>
        <w:tc>
          <w:tcPr>
            <w:tcW w:w="10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842.4</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840.7</w:t>
            </w:r>
          </w:p>
        </w:tc>
        <w:tc>
          <w:tcPr>
            <w:tcW w:w="11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840.4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气温</w:t>
            </w:r>
          </w:p>
        </w:tc>
        <w:tc>
          <w:tcPr>
            <w:tcW w:w="9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9</w:t>
            </w:r>
          </w:p>
        </w:tc>
        <w:tc>
          <w:tcPr>
            <w:tcW w:w="11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10.9</w:t>
            </w:r>
          </w:p>
        </w:tc>
        <w:tc>
          <w:tcPr>
            <w:tcW w:w="99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15</w:t>
            </w:r>
          </w:p>
        </w:tc>
        <w:tc>
          <w:tcPr>
            <w:tcW w:w="114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18.2</w:t>
            </w:r>
          </w:p>
        </w:tc>
        <w:tc>
          <w:tcPr>
            <w:tcW w:w="10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20</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21</w:t>
            </w:r>
          </w:p>
        </w:tc>
        <w:tc>
          <w:tcPr>
            <w:tcW w:w="11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降水量</w:t>
            </w:r>
          </w:p>
        </w:tc>
        <w:tc>
          <w:tcPr>
            <w:tcW w:w="9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15.3</w:t>
            </w:r>
          </w:p>
        </w:tc>
        <w:tc>
          <w:tcPr>
            <w:tcW w:w="11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18.4</w:t>
            </w:r>
          </w:p>
        </w:tc>
        <w:tc>
          <w:tcPr>
            <w:tcW w:w="99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30.7</w:t>
            </w:r>
          </w:p>
        </w:tc>
        <w:tc>
          <w:tcPr>
            <w:tcW w:w="114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48.2</w:t>
            </w:r>
          </w:p>
        </w:tc>
        <w:tc>
          <w:tcPr>
            <w:tcW w:w="10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114.7</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156.9</w:t>
            </w:r>
          </w:p>
        </w:tc>
        <w:tc>
          <w:tcPr>
            <w:tcW w:w="11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蒸发量</w:t>
            </w:r>
          </w:p>
        </w:tc>
        <w:tc>
          <w:tcPr>
            <w:tcW w:w="9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110.2</w:t>
            </w:r>
          </w:p>
        </w:tc>
        <w:tc>
          <w:tcPr>
            <w:tcW w:w="11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141.8</w:t>
            </w:r>
          </w:p>
        </w:tc>
        <w:tc>
          <w:tcPr>
            <w:tcW w:w="99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230.8</w:t>
            </w:r>
          </w:p>
        </w:tc>
        <w:tc>
          <w:tcPr>
            <w:tcW w:w="114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245.4</w:t>
            </w:r>
          </w:p>
        </w:tc>
        <w:tc>
          <w:tcPr>
            <w:tcW w:w="10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220.9</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167.8</w:t>
            </w:r>
          </w:p>
        </w:tc>
        <w:tc>
          <w:tcPr>
            <w:tcW w:w="11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相对湿度</w:t>
            </w:r>
          </w:p>
        </w:tc>
        <w:tc>
          <w:tcPr>
            <w:tcW w:w="9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81</w:t>
            </w:r>
          </w:p>
        </w:tc>
        <w:tc>
          <w:tcPr>
            <w:tcW w:w="11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76</w:t>
            </w:r>
          </w:p>
        </w:tc>
        <w:tc>
          <w:tcPr>
            <w:tcW w:w="99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70</w:t>
            </w:r>
          </w:p>
        </w:tc>
        <w:tc>
          <w:tcPr>
            <w:tcW w:w="114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71</w:t>
            </w:r>
          </w:p>
        </w:tc>
        <w:tc>
          <w:tcPr>
            <w:tcW w:w="10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76</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82</w:t>
            </w:r>
          </w:p>
        </w:tc>
        <w:tc>
          <w:tcPr>
            <w:tcW w:w="11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平均风速</w:t>
            </w:r>
          </w:p>
        </w:tc>
        <w:tc>
          <w:tcPr>
            <w:tcW w:w="9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3.5</w:t>
            </w:r>
          </w:p>
        </w:tc>
        <w:tc>
          <w:tcPr>
            <w:tcW w:w="11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4.1</w:t>
            </w:r>
          </w:p>
        </w:tc>
        <w:tc>
          <w:tcPr>
            <w:tcW w:w="99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4.5</w:t>
            </w:r>
          </w:p>
        </w:tc>
        <w:tc>
          <w:tcPr>
            <w:tcW w:w="114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4.3</w:t>
            </w:r>
          </w:p>
        </w:tc>
        <w:tc>
          <w:tcPr>
            <w:tcW w:w="10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3.8</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3.2</w:t>
            </w:r>
          </w:p>
        </w:tc>
        <w:tc>
          <w:tcPr>
            <w:tcW w:w="11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69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最多</w:t>
            </w:r>
          </w:p>
        </w:tc>
        <w:tc>
          <w:tcPr>
            <w:tcW w:w="9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S</w:t>
            </w:r>
          </w:p>
        </w:tc>
        <w:tc>
          <w:tcPr>
            <w:tcW w:w="11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S</w:t>
            </w:r>
          </w:p>
        </w:tc>
        <w:tc>
          <w:tcPr>
            <w:tcW w:w="99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SSW</w:t>
            </w:r>
          </w:p>
        </w:tc>
        <w:tc>
          <w:tcPr>
            <w:tcW w:w="114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S</w:t>
            </w:r>
          </w:p>
        </w:tc>
        <w:tc>
          <w:tcPr>
            <w:tcW w:w="10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S</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S</w:t>
            </w:r>
          </w:p>
        </w:tc>
        <w:tc>
          <w:tcPr>
            <w:tcW w:w="11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69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风向及频率</w:t>
            </w:r>
          </w:p>
        </w:tc>
        <w:tc>
          <w:tcPr>
            <w:tcW w:w="9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21</w:t>
            </w:r>
          </w:p>
        </w:tc>
        <w:tc>
          <w:tcPr>
            <w:tcW w:w="11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19</w:t>
            </w:r>
          </w:p>
        </w:tc>
        <w:tc>
          <w:tcPr>
            <w:tcW w:w="99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20</w:t>
            </w:r>
          </w:p>
        </w:tc>
        <w:tc>
          <w:tcPr>
            <w:tcW w:w="114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21</w:t>
            </w:r>
          </w:p>
        </w:tc>
        <w:tc>
          <w:tcPr>
            <w:tcW w:w="10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22</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22</w:t>
            </w:r>
          </w:p>
        </w:tc>
        <w:tc>
          <w:tcPr>
            <w:tcW w:w="11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日照时数</w:t>
            </w:r>
          </w:p>
        </w:tc>
        <w:tc>
          <w:tcPr>
            <w:tcW w:w="9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152.9</w:t>
            </w:r>
          </w:p>
        </w:tc>
        <w:tc>
          <w:tcPr>
            <w:tcW w:w="11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156.9</w:t>
            </w:r>
          </w:p>
        </w:tc>
        <w:tc>
          <w:tcPr>
            <w:tcW w:w="99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202.4</w:t>
            </w:r>
          </w:p>
        </w:tc>
        <w:tc>
          <w:tcPr>
            <w:tcW w:w="114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202.8</w:t>
            </w:r>
          </w:p>
        </w:tc>
        <w:tc>
          <w:tcPr>
            <w:tcW w:w="10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183.5</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137.5</w:t>
            </w:r>
          </w:p>
        </w:tc>
        <w:tc>
          <w:tcPr>
            <w:tcW w:w="11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项目</w:t>
            </w:r>
          </w:p>
        </w:tc>
        <w:tc>
          <w:tcPr>
            <w:tcW w:w="9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8</w:t>
            </w:r>
          </w:p>
        </w:tc>
        <w:tc>
          <w:tcPr>
            <w:tcW w:w="11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9</w:t>
            </w:r>
          </w:p>
        </w:tc>
        <w:tc>
          <w:tcPr>
            <w:tcW w:w="99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10</w:t>
            </w:r>
          </w:p>
        </w:tc>
        <w:tc>
          <w:tcPr>
            <w:tcW w:w="114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11</w:t>
            </w:r>
          </w:p>
        </w:tc>
        <w:tc>
          <w:tcPr>
            <w:tcW w:w="10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12</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全年</w:t>
            </w:r>
          </w:p>
        </w:tc>
        <w:tc>
          <w:tcPr>
            <w:tcW w:w="11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气压</w:t>
            </w:r>
          </w:p>
        </w:tc>
        <w:tc>
          <w:tcPr>
            <w:tcW w:w="9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841.6</w:t>
            </w:r>
          </w:p>
        </w:tc>
        <w:tc>
          <w:tcPr>
            <w:tcW w:w="11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845.2</w:t>
            </w:r>
          </w:p>
        </w:tc>
        <w:tc>
          <w:tcPr>
            <w:tcW w:w="99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848</w:t>
            </w:r>
          </w:p>
        </w:tc>
        <w:tc>
          <w:tcPr>
            <w:tcW w:w="114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849</w:t>
            </w:r>
          </w:p>
        </w:tc>
        <w:tc>
          <w:tcPr>
            <w:tcW w:w="10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848.5</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844.5</w:t>
            </w:r>
          </w:p>
        </w:tc>
        <w:tc>
          <w:tcPr>
            <w:tcW w:w="11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气温</w:t>
            </w:r>
          </w:p>
        </w:tc>
        <w:tc>
          <w:tcPr>
            <w:tcW w:w="9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20.4</w:t>
            </w:r>
          </w:p>
        </w:tc>
        <w:tc>
          <w:tcPr>
            <w:tcW w:w="11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18.8</w:t>
            </w:r>
          </w:p>
        </w:tc>
        <w:tc>
          <w:tcPr>
            <w:tcW w:w="99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16.2</w:t>
            </w:r>
          </w:p>
        </w:tc>
        <w:tc>
          <w:tcPr>
            <w:tcW w:w="114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12.8</w:t>
            </w:r>
          </w:p>
        </w:tc>
        <w:tc>
          <w:tcPr>
            <w:tcW w:w="10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9.5</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16.1</w:t>
            </w:r>
          </w:p>
        </w:tc>
        <w:tc>
          <w:tcPr>
            <w:tcW w:w="11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降水量</w:t>
            </w:r>
          </w:p>
        </w:tc>
        <w:tc>
          <w:tcPr>
            <w:tcW w:w="9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194.2</w:t>
            </w:r>
          </w:p>
        </w:tc>
        <w:tc>
          <w:tcPr>
            <w:tcW w:w="11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114.4</w:t>
            </w:r>
          </w:p>
        </w:tc>
        <w:tc>
          <w:tcPr>
            <w:tcW w:w="99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62.0</w:t>
            </w:r>
          </w:p>
        </w:tc>
        <w:tc>
          <w:tcPr>
            <w:tcW w:w="114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44.6</w:t>
            </w:r>
          </w:p>
        </w:tc>
        <w:tc>
          <w:tcPr>
            <w:tcW w:w="10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12.1</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1008</w:t>
            </w:r>
          </w:p>
        </w:tc>
        <w:tc>
          <w:tcPr>
            <w:tcW w:w="11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蒸发量</w:t>
            </w:r>
          </w:p>
        </w:tc>
        <w:tc>
          <w:tcPr>
            <w:tcW w:w="9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139.5</w:t>
            </w:r>
          </w:p>
        </w:tc>
        <w:tc>
          <w:tcPr>
            <w:tcW w:w="11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126.3</w:t>
            </w:r>
          </w:p>
        </w:tc>
        <w:tc>
          <w:tcPr>
            <w:tcW w:w="99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11</w:t>
            </w:r>
            <w:r>
              <w:rPr>
                <w:rFonts w:hint="eastAsia"/>
                <w:color w:val="000000" w:themeColor="text1"/>
                <w:kern w:val="0"/>
              </w:rPr>
              <w:t>3</w:t>
            </w:r>
            <w:r>
              <w:rPr>
                <w:color w:val="000000" w:themeColor="text1"/>
                <w:kern w:val="0"/>
              </w:rPr>
              <w:t>.5</w:t>
            </w:r>
          </w:p>
        </w:tc>
        <w:tc>
          <w:tcPr>
            <w:tcW w:w="114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97.9</w:t>
            </w:r>
          </w:p>
        </w:tc>
        <w:tc>
          <w:tcPr>
            <w:tcW w:w="10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98.1</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1837.8</w:t>
            </w:r>
          </w:p>
        </w:tc>
        <w:tc>
          <w:tcPr>
            <w:tcW w:w="11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相对湿度</w:t>
            </w:r>
          </w:p>
        </w:tc>
        <w:tc>
          <w:tcPr>
            <w:tcW w:w="9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85</w:t>
            </w:r>
          </w:p>
        </w:tc>
        <w:tc>
          <w:tcPr>
            <w:tcW w:w="11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84</w:t>
            </w:r>
          </w:p>
        </w:tc>
        <w:tc>
          <w:tcPr>
            <w:tcW w:w="99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83</w:t>
            </w:r>
          </w:p>
        </w:tc>
        <w:tc>
          <w:tcPr>
            <w:tcW w:w="114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82</w:t>
            </w:r>
          </w:p>
        </w:tc>
        <w:tc>
          <w:tcPr>
            <w:tcW w:w="10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80</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80</w:t>
            </w:r>
          </w:p>
        </w:tc>
        <w:tc>
          <w:tcPr>
            <w:tcW w:w="11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平均风速</w:t>
            </w:r>
          </w:p>
        </w:tc>
        <w:tc>
          <w:tcPr>
            <w:tcW w:w="9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2.0</w:t>
            </w:r>
          </w:p>
        </w:tc>
        <w:tc>
          <w:tcPr>
            <w:tcW w:w="11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2.1</w:t>
            </w:r>
          </w:p>
        </w:tc>
        <w:tc>
          <w:tcPr>
            <w:tcW w:w="99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2.5</w:t>
            </w:r>
          </w:p>
        </w:tc>
        <w:tc>
          <w:tcPr>
            <w:tcW w:w="114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2.7</w:t>
            </w:r>
          </w:p>
        </w:tc>
        <w:tc>
          <w:tcPr>
            <w:tcW w:w="10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2.8</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3.2</w:t>
            </w:r>
          </w:p>
        </w:tc>
        <w:tc>
          <w:tcPr>
            <w:tcW w:w="11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最多</w:t>
            </w:r>
          </w:p>
        </w:tc>
        <w:tc>
          <w:tcPr>
            <w:tcW w:w="9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S</w:t>
            </w:r>
          </w:p>
        </w:tc>
        <w:tc>
          <w:tcPr>
            <w:tcW w:w="11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SSE</w:t>
            </w:r>
          </w:p>
        </w:tc>
        <w:tc>
          <w:tcPr>
            <w:tcW w:w="99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S</w:t>
            </w:r>
          </w:p>
        </w:tc>
        <w:tc>
          <w:tcPr>
            <w:tcW w:w="114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S</w:t>
            </w:r>
          </w:p>
        </w:tc>
        <w:tc>
          <w:tcPr>
            <w:tcW w:w="10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S</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S</w:t>
            </w:r>
          </w:p>
        </w:tc>
        <w:tc>
          <w:tcPr>
            <w:tcW w:w="11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风向及频率</w:t>
            </w:r>
          </w:p>
        </w:tc>
        <w:tc>
          <w:tcPr>
            <w:tcW w:w="9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13</w:t>
            </w:r>
          </w:p>
        </w:tc>
        <w:tc>
          <w:tcPr>
            <w:tcW w:w="11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15</w:t>
            </w:r>
          </w:p>
        </w:tc>
        <w:tc>
          <w:tcPr>
            <w:tcW w:w="99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16</w:t>
            </w:r>
          </w:p>
        </w:tc>
        <w:tc>
          <w:tcPr>
            <w:tcW w:w="114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19</w:t>
            </w:r>
          </w:p>
        </w:tc>
        <w:tc>
          <w:tcPr>
            <w:tcW w:w="10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19</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19</w:t>
            </w:r>
          </w:p>
        </w:tc>
        <w:tc>
          <w:tcPr>
            <w:tcW w:w="11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日照时数</w:t>
            </w:r>
          </w:p>
        </w:tc>
        <w:tc>
          <w:tcPr>
            <w:tcW w:w="9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142.7</w:t>
            </w:r>
          </w:p>
        </w:tc>
        <w:tc>
          <w:tcPr>
            <w:tcW w:w="115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127.8</w:t>
            </w:r>
          </w:p>
        </w:tc>
        <w:tc>
          <w:tcPr>
            <w:tcW w:w="99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127.5</w:t>
            </w:r>
          </w:p>
        </w:tc>
        <w:tc>
          <w:tcPr>
            <w:tcW w:w="114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132.1</w:t>
            </w:r>
          </w:p>
        </w:tc>
        <w:tc>
          <w:tcPr>
            <w:tcW w:w="10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153.9</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1864.8</w:t>
            </w:r>
          </w:p>
        </w:tc>
        <w:tc>
          <w:tcPr>
            <w:tcW w:w="11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w:t>
            </w:r>
          </w:p>
        </w:tc>
      </w:tr>
    </w:tbl>
    <w:p>
      <w:pPr>
        <w:adjustRightInd w:val="0"/>
        <w:snapToGrid w:val="0"/>
        <w:spacing w:line="420" w:lineRule="exact"/>
        <w:ind w:firstLine="480"/>
        <w:rPr>
          <w:color w:val="000000" w:themeColor="text1"/>
          <w:kern w:val="0"/>
        </w:rPr>
      </w:pPr>
      <w:r>
        <w:rPr>
          <w:rFonts w:hint="eastAsia"/>
          <w:color w:val="000000" w:themeColor="text1"/>
          <w:kern w:val="0"/>
        </w:rPr>
        <w:t>从表6.1.1</w:t>
      </w:r>
      <w:r>
        <w:rPr>
          <w:color w:val="000000" w:themeColor="text1"/>
          <w:kern w:val="0"/>
        </w:rPr>
        <w:t>-1</w:t>
      </w:r>
      <w:r>
        <w:rPr>
          <w:rFonts w:hint="eastAsia"/>
          <w:color w:val="000000" w:themeColor="text1"/>
          <w:kern w:val="0"/>
        </w:rPr>
        <w:t>的统计结果分析：区域内长年主导风向为南风。多年平均风速为</w:t>
      </w:r>
      <w:r>
        <w:rPr>
          <w:color w:val="000000" w:themeColor="text1"/>
          <w:kern w:val="0"/>
        </w:rPr>
        <w:t>3.1m/s</w:t>
      </w:r>
      <w:r>
        <w:rPr>
          <w:rFonts w:hint="eastAsia"/>
          <w:color w:val="000000" w:themeColor="text1"/>
          <w:kern w:val="0"/>
        </w:rPr>
        <w:t>，静风频率不高。</w:t>
      </w:r>
    </w:p>
    <w:p>
      <w:pPr>
        <w:adjustRightInd w:val="0"/>
        <w:snapToGrid w:val="0"/>
        <w:spacing w:line="420" w:lineRule="exact"/>
        <w:ind w:firstLine="480"/>
        <w:rPr>
          <w:color w:val="000000" w:themeColor="text1"/>
          <w:kern w:val="0"/>
        </w:rPr>
      </w:pPr>
      <w:r>
        <w:rPr>
          <w:rFonts w:hint="eastAsia"/>
          <w:color w:val="000000" w:themeColor="text1"/>
          <w:kern w:val="0"/>
        </w:rPr>
        <w:t>（2）污染气象特征</w:t>
      </w:r>
    </w:p>
    <w:p>
      <w:pPr>
        <w:adjustRightInd w:val="0"/>
        <w:snapToGrid w:val="0"/>
        <w:spacing w:line="420" w:lineRule="exact"/>
        <w:ind w:firstLine="480"/>
        <w:rPr>
          <w:color w:val="000000" w:themeColor="text1"/>
          <w:kern w:val="0"/>
        </w:rPr>
      </w:pPr>
      <w:bookmarkStart w:id="176" w:name="_Toc465754690"/>
      <w:bookmarkStart w:id="177" w:name="_Toc461216247"/>
      <w:bookmarkStart w:id="178" w:name="_Toc462005018"/>
      <w:bookmarkStart w:id="179" w:name="_Toc464059199"/>
      <w:bookmarkStart w:id="180" w:name="_Toc467248990"/>
      <w:r>
        <w:rPr>
          <w:rFonts w:hint="eastAsia" w:ascii="宋体" w:hAnsi="宋体" w:cs="宋体"/>
          <w:color w:val="000000" w:themeColor="text1"/>
          <w:kern w:val="0"/>
        </w:rPr>
        <w:t>①</w:t>
      </w:r>
      <w:r>
        <w:rPr>
          <w:rFonts w:hint="eastAsia"/>
          <w:color w:val="000000" w:themeColor="text1"/>
          <w:kern w:val="0"/>
        </w:rPr>
        <w:t>风向</w:t>
      </w:r>
      <w:bookmarkEnd w:id="176"/>
      <w:bookmarkEnd w:id="177"/>
      <w:bookmarkEnd w:id="178"/>
      <w:bookmarkEnd w:id="179"/>
      <w:bookmarkEnd w:id="180"/>
    </w:p>
    <w:p>
      <w:pPr>
        <w:adjustRightInd w:val="0"/>
        <w:snapToGrid w:val="0"/>
        <w:spacing w:line="420" w:lineRule="exact"/>
        <w:ind w:firstLine="480"/>
        <w:rPr>
          <w:color w:val="000000" w:themeColor="text1"/>
          <w:kern w:val="0"/>
        </w:rPr>
      </w:pPr>
      <w:r>
        <w:rPr>
          <w:rFonts w:hint="eastAsia"/>
          <w:color w:val="000000" w:themeColor="text1"/>
          <w:kern w:val="0"/>
        </w:rPr>
        <w:t>根据砚山县气象站</w:t>
      </w:r>
      <w:r>
        <w:rPr>
          <w:color w:val="000000" w:themeColor="text1"/>
          <w:kern w:val="0"/>
        </w:rPr>
        <w:t>2016</w:t>
      </w:r>
      <w:r>
        <w:rPr>
          <w:rFonts w:hint="eastAsia"/>
          <w:color w:val="000000" w:themeColor="text1"/>
          <w:kern w:val="0"/>
        </w:rPr>
        <w:t>年一月至十二月全年的地面气象观测资料按</w:t>
      </w:r>
      <w:r>
        <w:rPr>
          <w:color w:val="000000" w:themeColor="text1"/>
          <w:kern w:val="0"/>
        </w:rPr>
        <w:t>16</w:t>
      </w:r>
      <w:r>
        <w:rPr>
          <w:rFonts w:hint="eastAsia"/>
          <w:color w:val="000000" w:themeColor="text1"/>
          <w:kern w:val="0"/>
        </w:rPr>
        <w:t>个风向方位进行地面风向频率统计，见表6</w:t>
      </w:r>
      <w:r>
        <w:rPr>
          <w:color w:val="000000" w:themeColor="text1"/>
          <w:kern w:val="0"/>
        </w:rPr>
        <w:t>.</w:t>
      </w:r>
      <w:r>
        <w:rPr>
          <w:rFonts w:hint="eastAsia"/>
          <w:color w:val="000000" w:themeColor="text1"/>
          <w:kern w:val="0"/>
        </w:rPr>
        <w:t>1.1</w:t>
      </w:r>
      <w:r>
        <w:rPr>
          <w:color w:val="000000" w:themeColor="text1"/>
          <w:kern w:val="0"/>
        </w:rPr>
        <w:t>-2</w:t>
      </w:r>
      <w:r>
        <w:rPr>
          <w:rFonts w:hint="eastAsia"/>
          <w:color w:val="000000" w:themeColor="text1"/>
          <w:kern w:val="0"/>
        </w:rPr>
        <w:t>，结果表明：项目所处区域主盛行风向为以南偏东南风向带（</w:t>
      </w:r>
      <w:r>
        <w:rPr>
          <w:color w:val="000000" w:themeColor="text1"/>
          <w:kern w:val="0"/>
        </w:rPr>
        <w:t>SSE-S-SSW</w:t>
      </w:r>
      <w:r>
        <w:rPr>
          <w:rFonts w:hint="eastAsia"/>
          <w:color w:val="000000" w:themeColor="text1"/>
          <w:kern w:val="0"/>
        </w:rPr>
        <w:t>）。从</w:t>
      </w:r>
      <w:r>
        <w:rPr>
          <w:color w:val="000000" w:themeColor="text1"/>
          <w:kern w:val="0"/>
        </w:rPr>
        <w:t>2016</w:t>
      </w:r>
      <w:r>
        <w:rPr>
          <w:rFonts w:hint="eastAsia"/>
          <w:color w:val="000000" w:themeColor="text1"/>
          <w:kern w:val="0"/>
        </w:rPr>
        <w:t>年全年的资料统计分析，全年</w:t>
      </w:r>
      <w:r>
        <w:rPr>
          <w:color w:val="000000" w:themeColor="text1"/>
          <w:kern w:val="0"/>
        </w:rPr>
        <w:t>SSE</w:t>
      </w:r>
      <w:r>
        <w:rPr>
          <w:rFonts w:hint="eastAsia"/>
          <w:color w:val="000000" w:themeColor="text1"/>
          <w:kern w:val="0"/>
        </w:rPr>
        <w:t>－</w:t>
      </w:r>
      <w:r>
        <w:rPr>
          <w:color w:val="000000" w:themeColor="text1"/>
          <w:kern w:val="0"/>
        </w:rPr>
        <w:t>SSW</w:t>
      </w:r>
      <w:r>
        <w:rPr>
          <w:rFonts w:hint="eastAsia"/>
          <w:color w:val="000000" w:themeColor="text1"/>
          <w:kern w:val="0"/>
        </w:rPr>
        <w:t>风向带风向频率合计为</w:t>
      </w:r>
      <w:r>
        <w:rPr>
          <w:color w:val="000000" w:themeColor="text1"/>
          <w:kern w:val="0"/>
        </w:rPr>
        <w:t>45.93%</w:t>
      </w:r>
      <w:r>
        <w:rPr>
          <w:rFonts w:hint="eastAsia"/>
          <w:color w:val="000000" w:themeColor="text1"/>
          <w:kern w:val="0"/>
        </w:rPr>
        <w:t>，其中，以</w:t>
      </w:r>
      <w:r>
        <w:rPr>
          <w:color w:val="000000" w:themeColor="text1"/>
          <w:kern w:val="0"/>
        </w:rPr>
        <w:t>SSE</w:t>
      </w:r>
      <w:r>
        <w:rPr>
          <w:rFonts w:hint="eastAsia"/>
          <w:color w:val="000000" w:themeColor="text1"/>
          <w:kern w:val="0"/>
        </w:rPr>
        <w:t>风出现频率最高，为</w:t>
      </w:r>
      <w:r>
        <w:rPr>
          <w:color w:val="000000" w:themeColor="text1"/>
          <w:kern w:val="0"/>
        </w:rPr>
        <w:t>18.01%</w:t>
      </w:r>
      <w:r>
        <w:rPr>
          <w:rFonts w:hint="eastAsia"/>
          <w:color w:val="000000" w:themeColor="text1"/>
          <w:kern w:val="0"/>
        </w:rPr>
        <w:t>；其次为</w:t>
      </w:r>
      <w:r>
        <w:rPr>
          <w:color w:val="000000" w:themeColor="text1"/>
          <w:kern w:val="0"/>
        </w:rPr>
        <w:t>S</w:t>
      </w:r>
      <w:r>
        <w:rPr>
          <w:rFonts w:hint="eastAsia"/>
          <w:color w:val="000000" w:themeColor="text1"/>
          <w:kern w:val="0"/>
        </w:rPr>
        <w:t>风，出现频率为</w:t>
      </w:r>
      <w:r>
        <w:rPr>
          <w:color w:val="000000" w:themeColor="text1"/>
          <w:kern w:val="0"/>
        </w:rPr>
        <w:t>16.93%</w:t>
      </w:r>
      <w:r>
        <w:rPr>
          <w:rFonts w:hint="eastAsia"/>
          <w:color w:val="000000" w:themeColor="text1"/>
          <w:kern w:val="0"/>
        </w:rPr>
        <w:t>。所处区域内静风发生频率为</w:t>
      </w:r>
      <w:r>
        <w:rPr>
          <w:color w:val="000000" w:themeColor="text1"/>
          <w:kern w:val="0"/>
        </w:rPr>
        <w:t>2.69</w:t>
      </w:r>
      <w:r>
        <w:rPr>
          <w:rFonts w:hint="eastAsia"/>
          <w:color w:val="000000" w:themeColor="text1"/>
          <w:kern w:val="0"/>
        </w:rPr>
        <w:t>％。</w:t>
      </w:r>
    </w:p>
    <w:p>
      <w:pPr>
        <w:adjustRightInd w:val="0"/>
        <w:snapToGrid w:val="0"/>
        <w:spacing w:line="420" w:lineRule="exact"/>
        <w:ind w:firstLine="480"/>
        <w:rPr>
          <w:color w:val="000000" w:themeColor="text1"/>
          <w:kern w:val="0"/>
        </w:rPr>
        <w:sectPr>
          <w:pgSz w:w="11906" w:h="16838"/>
          <w:pgMar w:top="1440" w:right="1797" w:bottom="1440" w:left="1797" w:header="851" w:footer="992" w:gutter="0"/>
          <w:cols w:space="720" w:num="1"/>
        </w:sectPr>
      </w:pPr>
    </w:p>
    <w:p>
      <w:pPr>
        <w:pStyle w:val="54"/>
        <w:rPr>
          <w:color w:val="000000" w:themeColor="text1"/>
        </w:rPr>
      </w:pPr>
      <w:r>
        <w:rPr>
          <w:rFonts w:hint="eastAsia"/>
          <w:color w:val="000000" w:themeColor="text1"/>
        </w:rPr>
        <w:t>表6</w:t>
      </w:r>
      <w:r>
        <w:rPr>
          <w:color w:val="000000" w:themeColor="text1"/>
        </w:rPr>
        <w:t>.</w:t>
      </w:r>
      <w:r>
        <w:rPr>
          <w:rFonts w:hint="eastAsia"/>
          <w:color w:val="000000" w:themeColor="text1"/>
        </w:rPr>
        <w:t>1.1</w:t>
      </w:r>
      <w:r>
        <w:rPr>
          <w:color w:val="000000" w:themeColor="text1"/>
        </w:rPr>
        <w:t>-2  2016</w:t>
      </w:r>
      <w:r>
        <w:rPr>
          <w:rFonts w:hint="eastAsia"/>
          <w:color w:val="000000" w:themeColor="text1"/>
        </w:rPr>
        <w:t>年砚山县各月风向频率统计表</w:t>
      </w:r>
    </w:p>
    <w:tbl>
      <w:tblPr>
        <w:tblStyle w:val="42"/>
        <w:tblW w:w="147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67"/>
        <w:gridCol w:w="763"/>
        <w:gridCol w:w="876"/>
        <w:gridCol w:w="852"/>
        <w:gridCol w:w="802"/>
        <w:gridCol w:w="788"/>
        <w:gridCol w:w="726"/>
        <w:gridCol w:w="740"/>
        <w:gridCol w:w="903"/>
        <w:gridCol w:w="849"/>
        <w:gridCol w:w="853"/>
        <w:gridCol w:w="814"/>
        <w:gridCol w:w="852"/>
        <w:gridCol w:w="802"/>
        <w:gridCol w:w="838"/>
        <w:gridCol w:w="738"/>
        <w:gridCol w:w="802"/>
        <w:gridCol w:w="79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967" w:type="dxa"/>
            <w:tcBorders>
              <w:top w:val="single" w:color="auto" w:sz="4" w:space="0"/>
              <w:left w:val="single" w:color="auto" w:sz="4" w:space="0"/>
              <w:bottom w:val="single" w:color="auto" w:sz="6" w:space="0"/>
              <w:right w:val="single" w:color="auto" w:sz="6" w:space="0"/>
            </w:tcBorders>
            <w:vAlign w:val="center"/>
          </w:tcPr>
          <w:p>
            <w:pPr>
              <w:pStyle w:val="55"/>
              <w:rPr>
                <w:color w:val="000000" w:themeColor="text1"/>
                <w:kern w:val="0"/>
              </w:rPr>
            </w:pPr>
            <w:r>
              <w:rPr>
                <w:rFonts w:hint="eastAsia"/>
                <w:color w:val="000000" w:themeColor="text1"/>
                <w:kern w:val="0"/>
              </w:rPr>
              <w:t>月份</w:t>
            </w:r>
          </w:p>
        </w:tc>
        <w:tc>
          <w:tcPr>
            <w:tcW w:w="763" w:type="dxa"/>
            <w:tcBorders>
              <w:top w:val="single" w:color="auto" w:sz="4"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N</w:t>
            </w:r>
          </w:p>
        </w:tc>
        <w:tc>
          <w:tcPr>
            <w:tcW w:w="876" w:type="dxa"/>
            <w:tcBorders>
              <w:top w:val="single" w:color="auto" w:sz="4"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NNE</w:t>
            </w:r>
          </w:p>
        </w:tc>
        <w:tc>
          <w:tcPr>
            <w:tcW w:w="852" w:type="dxa"/>
            <w:tcBorders>
              <w:top w:val="single" w:color="auto" w:sz="4"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NE</w:t>
            </w:r>
          </w:p>
        </w:tc>
        <w:tc>
          <w:tcPr>
            <w:tcW w:w="802" w:type="dxa"/>
            <w:tcBorders>
              <w:top w:val="single" w:color="auto" w:sz="4"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ENE</w:t>
            </w:r>
          </w:p>
        </w:tc>
        <w:tc>
          <w:tcPr>
            <w:tcW w:w="788" w:type="dxa"/>
            <w:tcBorders>
              <w:top w:val="single" w:color="auto" w:sz="4"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E</w:t>
            </w:r>
          </w:p>
        </w:tc>
        <w:tc>
          <w:tcPr>
            <w:tcW w:w="726" w:type="dxa"/>
            <w:tcBorders>
              <w:top w:val="single" w:color="auto" w:sz="4"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ESE</w:t>
            </w:r>
          </w:p>
        </w:tc>
        <w:tc>
          <w:tcPr>
            <w:tcW w:w="740" w:type="dxa"/>
            <w:tcBorders>
              <w:top w:val="single" w:color="auto" w:sz="4"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SE</w:t>
            </w:r>
          </w:p>
        </w:tc>
        <w:tc>
          <w:tcPr>
            <w:tcW w:w="903" w:type="dxa"/>
            <w:tcBorders>
              <w:top w:val="single" w:color="auto" w:sz="4"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SSE</w:t>
            </w:r>
          </w:p>
        </w:tc>
        <w:tc>
          <w:tcPr>
            <w:tcW w:w="849" w:type="dxa"/>
            <w:tcBorders>
              <w:top w:val="single" w:color="auto" w:sz="4"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S</w:t>
            </w:r>
          </w:p>
        </w:tc>
        <w:tc>
          <w:tcPr>
            <w:tcW w:w="853" w:type="dxa"/>
            <w:tcBorders>
              <w:top w:val="single" w:color="auto" w:sz="4"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SSW</w:t>
            </w:r>
          </w:p>
        </w:tc>
        <w:tc>
          <w:tcPr>
            <w:tcW w:w="814" w:type="dxa"/>
            <w:tcBorders>
              <w:top w:val="single" w:color="auto" w:sz="4"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SW</w:t>
            </w:r>
          </w:p>
        </w:tc>
        <w:tc>
          <w:tcPr>
            <w:tcW w:w="852" w:type="dxa"/>
            <w:tcBorders>
              <w:top w:val="single" w:color="auto" w:sz="4"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WSW</w:t>
            </w:r>
          </w:p>
        </w:tc>
        <w:tc>
          <w:tcPr>
            <w:tcW w:w="802" w:type="dxa"/>
            <w:tcBorders>
              <w:top w:val="single" w:color="auto" w:sz="4"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W</w:t>
            </w:r>
          </w:p>
        </w:tc>
        <w:tc>
          <w:tcPr>
            <w:tcW w:w="838" w:type="dxa"/>
            <w:tcBorders>
              <w:top w:val="single" w:color="auto" w:sz="4"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WNW</w:t>
            </w:r>
          </w:p>
        </w:tc>
        <w:tc>
          <w:tcPr>
            <w:tcW w:w="738" w:type="dxa"/>
            <w:tcBorders>
              <w:top w:val="single" w:color="auto" w:sz="4"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NW</w:t>
            </w:r>
          </w:p>
        </w:tc>
        <w:tc>
          <w:tcPr>
            <w:tcW w:w="802" w:type="dxa"/>
            <w:tcBorders>
              <w:top w:val="single" w:color="auto" w:sz="4"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NNW</w:t>
            </w:r>
          </w:p>
        </w:tc>
        <w:tc>
          <w:tcPr>
            <w:tcW w:w="793" w:type="dxa"/>
            <w:tcBorders>
              <w:top w:val="single" w:color="auto" w:sz="4" w:space="0"/>
              <w:left w:val="single" w:color="auto" w:sz="6" w:space="0"/>
              <w:bottom w:val="single" w:color="auto" w:sz="6" w:space="0"/>
              <w:right w:val="single" w:color="auto" w:sz="4" w:space="0"/>
            </w:tcBorders>
            <w:vAlign w:val="center"/>
          </w:tcPr>
          <w:p>
            <w:pPr>
              <w:pStyle w:val="55"/>
              <w:rPr>
                <w:color w:val="000000" w:themeColor="text1"/>
                <w:kern w:val="0"/>
              </w:rPr>
            </w:pPr>
            <w:r>
              <w:rPr>
                <w:rFonts w:hint="eastAsia"/>
                <w:color w:val="000000" w:themeColor="text1"/>
                <w:kern w:val="0"/>
              </w:rPr>
              <w:t>静风</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967" w:type="dxa"/>
            <w:tcBorders>
              <w:top w:val="single" w:color="auto" w:sz="6" w:space="0"/>
              <w:left w:val="single" w:color="auto" w:sz="4" w:space="0"/>
              <w:bottom w:val="single" w:color="auto" w:sz="6" w:space="0"/>
              <w:right w:val="single" w:color="auto" w:sz="6" w:space="0"/>
            </w:tcBorders>
            <w:vAlign w:val="center"/>
          </w:tcPr>
          <w:p>
            <w:pPr>
              <w:pStyle w:val="55"/>
              <w:rPr>
                <w:color w:val="000000" w:themeColor="text1"/>
                <w:kern w:val="0"/>
              </w:rPr>
            </w:pPr>
            <w:r>
              <w:rPr>
                <w:rFonts w:hint="eastAsia"/>
                <w:color w:val="000000" w:themeColor="text1"/>
                <w:kern w:val="0"/>
              </w:rPr>
              <w:t>一月</w:t>
            </w:r>
          </w:p>
        </w:tc>
        <w:tc>
          <w:tcPr>
            <w:tcW w:w="76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9.01</w:t>
            </w:r>
          </w:p>
        </w:tc>
        <w:tc>
          <w:tcPr>
            <w:tcW w:w="87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18.68</w:t>
            </w:r>
          </w:p>
        </w:tc>
        <w:tc>
          <w:tcPr>
            <w:tcW w:w="85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10.62</w:t>
            </w:r>
          </w:p>
        </w:tc>
        <w:tc>
          <w:tcPr>
            <w:tcW w:w="80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2.96</w:t>
            </w:r>
          </w:p>
        </w:tc>
        <w:tc>
          <w:tcPr>
            <w:tcW w:w="788"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1.75</w:t>
            </w:r>
          </w:p>
        </w:tc>
        <w:tc>
          <w:tcPr>
            <w:tcW w:w="72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2.55</w:t>
            </w:r>
          </w:p>
        </w:tc>
        <w:tc>
          <w:tcPr>
            <w:tcW w:w="740"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8.47</w:t>
            </w:r>
          </w:p>
        </w:tc>
        <w:tc>
          <w:tcPr>
            <w:tcW w:w="90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21.24</w:t>
            </w:r>
          </w:p>
        </w:tc>
        <w:tc>
          <w:tcPr>
            <w:tcW w:w="849"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12.63</w:t>
            </w:r>
          </w:p>
        </w:tc>
        <w:tc>
          <w:tcPr>
            <w:tcW w:w="85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6.05</w:t>
            </w:r>
          </w:p>
        </w:tc>
        <w:tc>
          <w:tcPr>
            <w:tcW w:w="814"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2.28</w:t>
            </w:r>
          </w:p>
        </w:tc>
        <w:tc>
          <w:tcPr>
            <w:tcW w:w="85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0.67</w:t>
            </w:r>
          </w:p>
        </w:tc>
        <w:tc>
          <w:tcPr>
            <w:tcW w:w="80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0.4</w:t>
            </w:r>
          </w:p>
        </w:tc>
        <w:tc>
          <w:tcPr>
            <w:tcW w:w="838"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0.13</w:t>
            </w:r>
          </w:p>
        </w:tc>
        <w:tc>
          <w:tcPr>
            <w:tcW w:w="738"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0.54</w:t>
            </w:r>
          </w:p>
        </w:tc>
        <w:tc>
          <w:tcPr>
            <w:tcW w:w="80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0.94</w:t>
            </w:r>
          </w:p>
        </w:tc>
        <w:tc>
          <w:tcPr>
            <w:tcW w:w="793" w:type="dxa"/>
            <w:tcBorders>
              <w:top w:val="single" w:color="auto" w:sz="6" w:space="0"/>
              <w:left w:val="single" w:color="auto" w:sz="6" w:space="0"/>
              <w:bottom w:val="single" w:color="auto" w:sz="6" w:space="0"/>
              <w:right w:val="single" w:color="auto" w:sz="4" w:space="0"/>
            </w:tcBorders>
            <w:vAlign w:val="center"/>
          </w:tcPr>
          <w:p>
            <w:pPr>
              <w:pStyle w:val="55"/>
              <w:rPr>
                <w:color w:val="000000" w:themeColor="text1"/>
                <w:kern w:val="0"/>
              </w:rPr>
            </w:pPr>
            <w:r>
              <w:rPr>
                <w:color w:val="000000" w:themeColor="text1"/>
                <w:kern w:val="0"/>
              </w:rPr>
              <w:t>1.08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967" w:type="dxa"/>
            <w:tcBorders>
              <w:top w:val="single" w:color="auto" w:sz="6" w:space="0"/>
              <w:left w:val="single" w:color="auto" w:sz="4" w:space="0"/>
              <w:bottom w:val="single" w:color="auto" w:sz="6" w:space="0"/>
              <w:right w:val="single" w:color="auto" w:sz="6" w:space="0"/>
            </w:tcBorders>
            <w:vAlign w:val="center"/>
          </w:tcPr>
          <w:p>
            <w:pPr>
              <w:pStyle w:val="55"/>
              <w:rPr>
                <w:color w:val="000000" w:themeColor="text1"/>
                <w:kern w:val="0"/>
              </w:rPr>
            </w:pPr>
            <w:r>
              <w:rPr>
                <w:rFonts w:hint="eastAsia"/>
                <w:color w:val="000000" w:themeColor="text1"/>
                <w:kern w:val="0"/>
              </w:rPr>
              <w:t>二月</w:t>
            </w:r>
          </w:p>
        </w:tc>
        <w:tc>
          <w:tcPr>
            <w:tcW w:w="76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0.6</w:t>
            </w:r>
          </w:p>
        </w:tc>
        <w:tc>
          <w:tcPr>
            <w:tcW w:w="87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1.93</w:t>
            </w:r>
          </w:p>
        </w:tc>
        <w:tc>
          <w:tcPr>
            <w:tcW w:w="85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2.38</w:t>
            </w:r>
          </w:p>
        </w:tc>
        <w:tc>
          <w:tcPr>
            <w:tcW w:w="80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0.45</w:t>
            </w:r>
          </w:p>
        </w:tc>
        <w:tc>
          <w:tcPr>
            <w:tcW w:w="788"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0.45</w:t>
            </w:r>
          </w:p>
        </w:tc>
        <w:tc>
          <w:tcPr>
            <w:tcW w:w="72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0.89</w:t>
            </w:r>
          </w:p>
        </w:tc>
        <w:tc>
          <w:tcPr>
            <w:tcW w:w="740"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1.79</w:t>
            </w:r>
          </w:p>
        </w:tc>
        <w:tc>
          <w:tcPr>
            <w:tcW w:w="90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8.63</w:t>
            </w:r>
          </w:p>
        </w:tc>
        <w:tc>
          <w:tcPr>
            <w:tcW w:w="849"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22.32</w:t>
            </w:r>
          </w:p>
        </w:tc>
        <w:tc>
          <w:tcPr>
            <w:tcW w:w="85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24.4</w:t>
            </w:r>
          </w:p>
        </w:tc>
        <w:tc>
          <w:tcPr>
            <w:tcW w:w="814"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18.3</w:t>
            </w:r>
          </w:p>
        </w:tc>
        <w:tc>
          <w:tcPr>
            <w:tcW w:w="85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9.38</w:t>
            </w:r>
          </w:p>
        </w:tc>
        <w:tc>
          <w:tcPr>
            <w:tcW w:w="80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4.91</w:t>
            </w:r>
          </w:p>
        </w:tc>
        <w:tc>
          <w:tcPr>
            <w:tcW w:w="838"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0.74</w:t>
            </w:r>
          </w:p>
        </w:tc>
        <w:tc>
          <w:tcPr>
            <w:tcW w:w="738"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0.45</w:t>
            </w:r>
          </w:p>
        </w:tc>
        <w:tc>
          <w:tcPr>
            <w:tcW w:w="80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0.45</w:t>
            </w:r>
          </w:p>
        </w:tc>
        <w:tc>
          <w:tcPr>
            <w:tcW w:w="793" w:type="dxa"/>
            <w:tcBorders>
              <w:top w:val="single" w:color="auto" w:sz="6" w:space="0"/>
              <w:left w:val="single" w:color="auto" w:sz="6" w:space="0"/>
              <w:bottom w:val="single" w:color="auto" w:sz="6" w:space="0"/>
              <w:right w:val="single" w:color="auto" w:sz="4" w:space="0"/>
            </w:tcBorders>
            <w:vAlign w:val="center"/>
          </w:tcPr>
          <w:p>
            <w:pPr>
              <w:pStyle w:val="55"/>
              <w:rPr>
                <w:color w:val="000000" w:themeColor="text1"/>
                <w:kern w:val="0"/>
              </w:rPr>
            </w:pPr>
            <w:r>
              <w:rPr>
                <w:color w:val="000000" w:themeColor="text1"/>
                <w:kern w:val="0"/>
              </w:rPr>
              <w:t>1.93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967" w:type="dxa"/>
            <w:tcBorders>
              <w:top w:val="single" w:color="auto" w:sz="6" w:space="0"/>
              <w:left w:val="single" w:color="auto" w:sz="4" w:space="0"/>
              <w:bottom w:val="single" w:color="auto" w:sz="6" w:space="0"/>
              <w:right w:val="single" w:color="auto" w:sz="6" w:space="0"/>
            </w:tcBorders>
            <w:vAlign w:val="center"/>
          </w:tcPr>
          <w:p>
            <w:pPr>
              <w:pStyle w:val="55"/>
              <w:rPr>
                <w:color w:val="000000" w:themeColor="text1"/>
                <w:kern w:val="0"/>
              </w:rPr>
            </w:pPr>
            <w:r>
              <w:rPr>
                <w:rFonts w:hint="eastAsia"/>
                <w:color w:val="000000" w:themeColor="text1"/>
                <w:kern w:val="0"/>
              </w:rPr>
              <w:t>三月</w:t>
            </w:r>
          </w:p>
        </w:tc>
        <w:tc>
          <w:tcPr>
            <w:tcW w:w="76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2.82</w:t>
            </w:r>
          </w:p>
        </w:tc>
        <w:tc>
          <w:tcPr>
            <w:tcW w:w="87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6.99</w:t>
            </w:r>
          </w:p>
        </w:tc>
        <w:tc>
          <w:tcPr>
            <w:tcW w:w="85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4.3</w:t>
            </w:r>
          </w:p>
        </w:tc>
        <w:tc>
          <w:tcPr>
            <w:tcW w:w="80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0.54</w:t>
            </w:r>
          </w:p>
        </w:tc>
        <w:tc>
          <w:tcPr>
            <w:tcW w:w="788"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1.61</w:t>
            </w:r>
          </w:p>
        </w:tc>
        <w:tc>
          <w:tcPr>
            <w:tcW w:w="72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1.61</w:t>
            </w:r>
          </w:p>
        </w:tc>
        <w:tc>
          <w:tcPr>
            <w:tcW w:w="740"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7.8</w:t>
            </w:r>
          </w:p>
        </w:tc>
        <w:tc>
          <w:tcPr>
            <w:tcW w:w="90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rFonts w:hint="eastAsia"/>
                <w:color w:val="000000" w:themeColor="text1"/>
                <w:kern w:val="0"/>
              </w:rPr>
              <w:t>13</w:t>
            </w:r>
            <w:r>
              <w:rPr>
                <w:color w:val="000000" w:themeColor="text1"/>
                <w:kern w:val="0"/>
              </w:rPr>
              <w:t>.17</w:t>
            </w:r>
          </w:p>
        </w:tc>
        <w:tc>
          <w:tcPr>
            <w:tcW w:w="849"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22.72</w:t>
            </w:r>
          </w:p>
        </w:tc>
        <w:tc>
          <w:tcPr>
            <w:tcW w:w="85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17.2</w:t>
            </w:r>
          </w:p>
        </w:tc>
        <w:tc>
          <w:tcPr>
            <w:tcW w:w="814"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12.1</w:t>
            </w:r>
          </w:p>
        </w:tc>
        <w:tc>
          <w:tcPr>
            <w:tcW w:w="85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5.78</w:t>
            </w:r>
          </w:p>
        </w:tc>
        <w:tc>
          <w:tcPr>
            <w:tcW w:w="80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2.82</w:t>
            </w:r>
          </w:p>
        </w:tc>
        <w:tc>
          <w:tcPr>
            <w:tcW w:w="838"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0.27</w:t>
            </w:r>
          </w:p>
        </w:tc>
        <w:tc>
          <w:tcPr>
            <w:tcW w:w="738"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0</w:t>
            </w:r>
          </w:p>
        </w:tc>
        <w:tc>
          <w:tcPr>
            <w:tcW w:w="80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0.13</w:t>
            </w:r>
          </w:p>
        </w:tc>
        <w:tc>
          <w:tcPr>
            <w:tcW w:w="793" w:type="dxa"/>
            <w:tcBorders>
              <w:top w:val="single" w:color="auto" w:sz="6" w:space="0"/>
              <w:left w:val="single" w:color="auto" w:sz="6" w:space="0"/>
              <w:bottom w:val="single" w:color="auto" w:sz="6" w:space="0"/>
              <w:right w:val="single" w:color="auto" w:sz="4" w:space="0"/>
            </w:tcBorders>
            <w:vAlign w:val="center"/>
          </w:tcPr>
          <w:p>
            <w:pPr>
              <w:pStyle w:val="55"/>
              <w:rPr>
                <w:color w:val="000000" w:themeColor="text1"/>
                <w:kern w:val="0"/>
              </w:rPr>
            </w:pPr>
            <w:r>
              <w:rPr>
                <w:color w:val="000000" w:themeColor="text1"/>
                <w:kern w:val="0"/>
              </w:rPr>
              <w:t>0.13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967" w:type="dxa"/>
            <w:tcBorders>
              <w:top w:val="single" w:color="auto" w:sz="6" w:space="0"/>
              <w:left w:val="single" w:color="auto" w:sz="4" w:space="0"/>
              <w:bottom w:val="single" w:color="auto" w:sz="6" w:space="0"/>
              <w:right w:val="single" w:color="auto" w:sz="6" w:space="0"/>
            </w:tcBorders>
            <w:vAlign w:val="center"/>
          </w:tcPr>
          <w:p>
            <w:pPr>
              <w:pStyle w:val="55"/>
              <w:rPr>
                <w:color w:val="000000" w:themeColor="text1"/>
                <w:kern w:val="0"/>
              </w:rPr>
            </w:pPr>
            <w:r>
              <w:rPr>
                <w:rFonts w:hint="eastAsia"/>
                <w:color w:val="000000" w:themeColor="text1"/>
                <w:kern w:val="0"/>
              </w:rPr>
              <w:t>四月</w:t>
            </w:r>
          </w:p>
        </w:tc>
        <w:tc>
          <w:tcPr>
            <w:tcW w:w="76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3.89</w:t>
            </w:r>
          </w:p>
        </w:tc>
        <w:tc>
          <w:tcPr>
            <w:tcW w:w="87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6.67</w:t>
            </w:r>
          </w:p>
        </w:tc>
        <w:tc>
          <w:tcPr>
            <w:tcW w:w="85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9.86</w:t>
            </w:r>
          </w:p>
        </w:tc>
        <w:tc>
          <w:tcPr>
            <w:tcW w:w="80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3.75</w:t>
            </w:r>
          </w:p>
        </w:tc>
        <w:tc>
          <w:tcPr>
            <w:tcW w:w="788"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2.64</w:t>
            </w:r>
          </w:p>
        </w:tc>
        <w:tc>
          <w:tcPr>
            <w:tcW w:w="72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3.06</w:t>
            </w:r>
          </w:p>
        </w:tc>
        <w:tc>
          <w:tcPr>
            <w:tcW w:w="740"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7.22</w:t>
            </w:r>
          </w:p>
        </w:tc>
        <w:tc>
          <w:tcPr>
            <w:tcW w:w="90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14.44</w:t>
            </w:r>
          </w:p>
        </w:tc>
        <w:tc>
          <w:tcPr>
            <w:tcW w:w="849"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rFonts w:hint="eastAsia"/>
                <w:color w:val="000000" w:themeColor="text1"/>
                <w:kern w:val="0"/>
              </w:rPr>
              <w:t>13</w:t>
            </w:r>
            <w:r>
              <w:rPr>
                <w:color w:val="000000" w:themeColor="text1"/>
                <w:kern w:val="0"/>
              </w:rPr>
              <w:t>.89</w:t>
            </w:r>
          </w:p>
        </w:tc>
        <w:tc>
          <w:tcPr>
            <w:tcW w:w="85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10.97</w:t>
            </w:r>
          </w:p>
        </w:tc>
        <w:tc>
          <w:tcPr>
            <w:tcW w:w="814"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7.78</w:t>
            </w:r>
          </w:p>
        </w:tc>
        <w:tc>
          <w:tcPr>
            <w:tcW w:w="85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6.25</w:t>
            </w:r>
          </w:p>
        </w:tc>
        <w:tc>
          <w:tcPr>
            <w:tcW w:w="80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3.33</w:t>
            </w:r>
          </w:p>
        </w:tc>
        <w:tc>
          <w:tcPr>
            <w:tcW w:w="838"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1.94</w:t>
            </w:r>
          </w:p>
        </w:tc>
        <w:tc>
          <w:tcPr>
            <w:tcW w:w="738"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1.25</w:t>
            </w:r>
          </w:p>
        </w:tc>
        <w:tc>
          <w:tcPr>
            <w:tcW w:w="80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0.97</w:t>
            </w:r>
          </w:p>
        </w:tc>
        <w:tc>
          <w:tcPr>
            <w:tcW w:w="793" w:type="dxa"/>
            <w:tcBorders>
              <w:top w:val="single" w:color="auto" w:sz="6" w:space="0"/>
              <w:left w:val="single" w:color="auto" w:sz="6" w:space="0"/>
              <w:bottom w:val="single" w:color="auto" w:sz="6" w:space="0"/>
              <w:right w:val="single" w:color="auto" w:sz="4" w:space="0"/>
            </w:tcBorders>
            <w:vAlign w:val="center"/>
          </w:tcPr>
          <w:p>
            <w:pPr>
              <w:pStyle w:val="55"/>
              <w:rPr>
                <w:color w:val="000000" w:themeColor="text1"/>
                <w:kern w:val="0"/>
              </w:rPr>
            </w:pPr>
            <w:r>
              <w:rPr>
                <w:color w:val="000000" w:themeColor="text1"/>
                <w:kern w:val="0"/>
              </w:rPr>
              <w:t>2.08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967" w:type="dxa"/>
            <w:tcBorders>
              <w:top w:val="single" w:color="auto" w:sz="6" w:space="0"/>
              <w:left w:val="single" w:color="auto" w:sz="4" w:space="0"/>
              <w:bottom w:val="single" w:color="auto" w:sz="6" w:space="0"/>
              <w:right w:val="single" w:color="auto" w:sz="6" w:space="0"/>
            </w:tcBorders>
            <w:vAlign w:val="center"/>
          </w:tcPr>
          <w:p>
            <w:pPr>
              <w:pStyle w:val="55"/>
              <w:rPr>
                <w:color w:val="000000" w:themeColor="text1"/>
                <w:kern w:val="0"/>
              </w:rPr>
            </w:pPr>
            <w:r>
              <w:rPr>
                <w:rFonts w:hint="eastAsia"/>
                <w:color w:val="000000" w:themeColor="text1"/>
                <w:kern w:val="0"/>
              </w:rPr>
              <w:t>五月</w:t>
            </w:r>
          </w:p>
        </w:tc>
        <w:tc>
          <w:tcPr>
            <w:tcW w:w="76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5.65</w:t>
            </w:r>
          </w:p>
        </w:tc>
        <w:tc>
          <w:tcPr>
            <w:tcW w:w="87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7.53</w:t>
            </w:r>
          </w:p>
        </w:tc>
        <w:tc>
          <w:tcPr>
            <w:tcW w:w="85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3.09</w:t>
            </w:r>
          </w:p>
        </w:tc>
        <w:tc>
          <w:tcPr>
            <w:tcW w:w="80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0.94</w:t>
            </w:r>
          </w:p>
        </w:tc>
        <w:tc>
          <w:tcPr>
            <w:tcW w:w="788"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1.21</w:t>
            </w:r>
          </w:p>
        </w:tc>
        <w:tc>
          <w:tcPr>
            <w:tcW w:w="72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2.96</w:t>
            </w:r>
          </w:p>
        </w:tc>
        <w:tc>
          <w:tcPr>
            <w:tcW w:w="740"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9.54</w:t>
            </w:r>
          </w:p>
        </w:tc>
        <w:tc>
          <w:tcPr>
            <w:tcW w:w="90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23.79</w:t>
            </w:r>
          </w:p>
        </w:tc>
        <w:tc>
          <w:tcPr>
            <w:tcW w:w="849"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15.73</w:t>
            </w:r>
          </w:p>
        </w:tc>
        <w:tc>
          <w:tcPr>
            <w:tcW w:w="85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11.16</w:t>
            </w:r>
          </w:p>
        </w:tc>
        <w:tc>
          <w:tcPr>
            <w:tcW w:w="814"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8.33</w:t>
            </w:r>
          </w:p>
        </w:tc>
        <w:tc>
          <w:tcPr>
            <w:tcW w:w="85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2.55</w:t>
            </w:r>
          </w:p>
        </w:tc>
        <w:tc>
          <w:tcPr>
            <w:tcW w:w="80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2.69</w:t>
            </w:r>
          </w:p>
        </w:tc>
        <w:tc>
          <w:tcPr>
            <w:tcW w:w="838"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0.94</w:t>
            </w:r>
          </w:p>
        </w:tc>
        <w:tc>
          <w:tcPr>
            <w:tcW w:w="738"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0.81</w:t>
            </w:r>
          </w:p>
        </w:tc>
        <w:tc>
          <w:tcPr>
            <w:tcW w:w="80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1.08</w:t>
            </w:r>
          </w:p>
        </w:tc>
        <w:tc>
          <w:tcPr>
            <w:tcW w:w="793" w:type="dxa"/>
            <w:tcBorders>
              <w:top w:val="single" w:color="auto" w:sz="6" w:space="0"/>
              <w:left w:val="single" w:color="auto" w:sz="6" w:space="0"/>
              <w:bottom w:val="single" w:color="auto" w:sz="6" w:space="0"/>
              <w:right w:val="single" w:color="auto" w:sz="4" w:space="0"/>
            </w:tcBorders>
            <w:vAlign w:val="center"/>
          </w:tcPr>
          <w:p>
            <w:pPr>
              <w:pStyle w:val="55"/>
              <w:rPr>
                <w:color w:val="000000" w:themeColor="text1"/>
                <w:kern w:val="0"/>
              </w:rPr>
            </w:pPr>
            <w:r>
              <w:rPr>
                <w:color w:val="000000" w:themeColor="text1"/>
                <w:kern w:val="0"/>
              </w:rPr>
              <w:t>2.02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967" w:type="dxa"/>
            <w:tcBorders>
              <w:top w:val="single" w:color="auto" w:sz="6" w:space="0"/>
              <w:left w:val="single" w:color="auto" w:sz="4" w:space="0"/>
              <w:bottom w:val="single" w:color="auto" w:sz="6" w:space="0"/>
              <w:right w:val="single" w:color="auto" w:sz="6" w:space="0"/>
            </w:tcBorders>
            <w:vAlign w:val="center"/>
          </w:tcPr>
          <w:p>
            <w:pPr>
              <w:pStyle w:val="55"/>
              <w:rPr>
                <w:color w:val="000000" w:themeColor="text1"/>
                <w:kern w:val="0"/>
              </w:rPr>
            </w:pPr>
            <w:r>
              <w:rPr>
                <w:rFonts w:hint="eastAsia"/>
                <w:color w:val="000000" w:themeColor="text1"/>
                <w:kern w:val="0"/>
              </w:rPr>
              <w:t>六月</w:t>
            </w:r>
          </w:p>
        </w:tc>
        <w:tc>
          <w:tcPr>
            <w:tcW w:w="76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2.36</w:t>
            </w:r>
          </w:p>
        </w:tc>
        <w:tc>
          <w:tcPr>
            <w:tcW w:w="87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3.47</w:t>
            </w:r>
          </w:p>
        </w:tc>
        <w:tc>
          <w:tcPr>
            <w:tcW w:w="85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5.42</w:t>
            </w:r>
          </w:p>
        </w:tc>
        <w:tc>
          <w:tcPr>
            <w:tcW w:w="80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1.25</w:t>
            </w:r>
          </w:p>
        </w:tc>
        <w:tc>
          <w:tcPr>
            <w:tcW w:w="788"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0.83</w:t>
            </w:r>
          </w:p>
        </w:tc>
        <w:tc>
          <w:tcPr>
            <w:tcW w:w="72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1.81</w:t>
            </w:r>
          </w:p>
        </w:tc>
        <w:tc>
          <w:tcPr>
            <w:tcW w:w="740"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7.08</w:t>
            </w:r>
          </w:p>
        </w:tc>
        <w:tc>
          <w:tcPr>
            <w:tcW w:w="90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27.08</w:t>
            </w:r>
          </w:p>
        </w:tc>
        <w:tc>
          <w:tcPr>
            <w:tcW w:w="849"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21.25</w:t>
            </w:r>
          </w:p>
        </w:tc>
        <w:tc>
          <w:tcPr>
            <w:tcW w:w="85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12.08</w:t>
            </w:r>
          </w:p>
        </w:tc>
        <w:tc>
          <w:tcPr>
            <w:tcW w:w="814"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6.25</w:t>
            </w:r>
          </w:p>
        </w:tc>
        <w:tc>
          <w:tcPr>
            <w:tcW w:w="85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4.44</w:t>
            </w:r>
          </w:p>
        </w:tc>
        <w:tc>
          <w:tcPr>
            <w:tcW w:w="80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1.39</w:t>
            </w:r>
          </w:p>
        </w:tc>
        <w:tc>
          <w:tcPr>
            <w:tcW w:w="838"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1.67</w:t>
            </w:r>
          </w:p>
        </w:tc>
        <w:tc>
          <w:tcPr>
            <w:tcW w:w="738"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0.69</w:t>
            </w:r>
          </w:p>
        </w:tc>
        <w:tc>
          <w:tcPr>
            <w:tcW w:w="80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2.08</w:t>
            </w:r>
          </w:p>
        </w:tc>
        <w:tc>
          <w:tcPr>
            <w:tcW w:w="793" w:type="dxa"/>
            <w:tcBorders>
              <w:top w:val="single" w:color="auto" w:sz="6" w:space="0"/>
              <w:left w:val="single" w:color="auto" w:sz="6" w:space="0"/>
              <w:bottom w:val="single" w:color="auto" w:sz="6" w:space="0"/>
              <w:right w:val="single" w:color="auto" w:sz="4" w:space="0"/>
            </w:tcBorders>
            <w:vAlign w:val="center"/>
          </w:tcPr>
          <w:p>
            <w:pPr>
              <w:pStyle w:val="55"/>
              <w:rPr>
                <w:color w:val="000000" w:themeColor="text1"/>
                <w:kern w:val="0"/>
              </w:rPr>
            </w:pPr>
            <w:r>
              <w:rPr>
                <w:color w:val="000000" w:themeColor="text1"/>
                <w:kern w:val="0"/>
              </w:rPr>
              <w:t>0.83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967" w:type="dxa"/>
            <w:tcBorders>
              <w:top w:val="single" w:color="auto" w:sz="6" w:space="0"/>
              <w:left w:val="single" w:color="auto" w:sz="4" w:space="0"/>
              <w:bottom w:val="single" w:color="auto" w:sz="6" w:space="0"/>
              <w:right w:val="single" w:color="auto" w:sz="6" w:space="0"/>
            </w:tcBorders>
            <w:vAlign w:val="center"/>
          </w:tcPr>
          <w:p>
            <w:pPr>
              <w:pStyle w:val="55"/>
              <w:rPr>
                <w:color w:val="000000" w:themeColor="text1"/>
                <w:kern w:val="0"/>
              </w:rPr>
            </w:pPr>
            <w:r>
              <w:rPr>
                <w:rFonts w:hint="eastAsia"/>
                <w:color w:val="000000" w:themeColor="text1"/>
                <w:kern w:val="0"/>
              </w:rPr>
              <w:t>七月</w:t>
            </w:r>
          </w:p>
        </w:tc>
        <w:tc>
          <w:tcPr>
            <w:tcW w:w="76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2.02</w:t>
            </w:r>
          </w:p>
        </w:tc>
        <w:tc>
          <w:tcPr>
            <w:tcW w:w="87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1.34</w:t>
            </w:r>
          </w:p>
        </w:tc>
        <w:tc>
          <w:tcPr>
            <w:tcW w:w="85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2.02</w:t>
            </w:r>
          </w:p>
        </w:tc>
        <w:tc>
          <w:tcPr>
            <w:tcW w:w="80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1.08</w:t>
            </w:r>
          </w:p>
        </w:tc>
        <w:tc>
          <w:tcPr>
            <w:tcW w:w="788"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0.13</w:t>
            </w:r>
          </w:p>
        </w:tc>
        <w:tc>
          <w:tcPr>
            <w:tcW w:w="72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1.21</w:t>
            </w:r>
          </w:p>
        </w:tc>
        <w:tc>
          <w:tcPr>
            <w:tcW w:w="740"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7.8</w:t>
            </w:r>
          </w:p>
        </w:tc>
        <w:tc>
          <w:tcPr>
            <w:tcW w:w="90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22.98</w:t>
            </w:r>
          </w:p>
        </w:tc>
        <w:tc>
          <w:tcPr>
            <w:tcW w:w="849"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35.75</w:t>
            </w:r>
          </w:p>
        </w:tc>
        <w:tc>
          <w:tcPr>
            <w:tcW w:w="85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12.23</w:t>
            </w:r>
          </w:p>
        </w:tc>
        <w:tc>
          <w:tcPr>
            <w:tcW w:w="814"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5.91</w:t>
            </w:r>
          </w:p>
        </w:tc>
        <w:tc>
          <w:tcPr>
            <w:tcW w:w="85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3.09</w:t>
            </w:r>
          </w:p>
        </w:tc>
        <w:tc>
          <w:tcPr>
            <w:tcW w:w="80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1.61</w:t>
            </w:r>
          </w:p>
        </w:tc>
        <w:tc>
          <w:tcPr>
            <w:tcW w:w="838"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1.08</w:t>
            </w:r>
          </w:p>
        </w:tc>
        <w:tc>
          <w:tcPr>
            <w:tcW w:w="738"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0.27</w:t>
            </w:r>
          </w:p>
        </w:tc>
        <w:tc>
          <w:tcPr>
            <w:tcW w:w="80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0.13</w:t>
            </w:r>
          </w:p>
        </w:tc>
        <w:tc>
          <w:tcPr>
            <w:tcW w:w="793" w:type="dxa"/>
            <w:tcBorders>
              <w:top w:val="single" w:color="auto" w:sz="6" w:space="0"/>
              <w:left w:val="single" w:color="auto" w:sz="6" w:space="0"/>
              <w:bottom w:val="single" w:color="auto" w:sz="6" w:space="0"/>
              <w:right w:val="single" w:color="auto" w:sz="4" w:space="0"/>
            </w:tcBorders>
            <w:vAlign w:val="center"/>
          </w:tcPr>
          <w:p>
            <w:pPr>
              <w:pStyle w:val="55"/>
              <w:rPr>
                <w:color w:val="000000" w:themeColor="text1"/>
                <w:kern w:val="0"/>
              </w:rPr>
            </w:pPr>
            <w:r>
              <w:rPr>
                <w:color w:val="000000" w:themeColor="text1"/>
                <w:kern w:val="0"/>
              </w:rPr>
              <w:t>1.34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967" w:type="dxa"/>
            <w:tcBorders>
              <w:top w:val="single" w:color="auto" w:sz="6" w:space="0"/>
              <w:left w:val="single" w:color="auto" w:sz="4" w:space="0"/>
              <w:bottom w:val="single" w:color="auto" w:sz="6" w:space="0"/>
              <w:right w:val="single" w:color="auto" w:sz="6" w:space="0"/>
            </w:tcBorders>
            <w:vAlign w:val="center"/>
          </w:tcPr>
          <w:p>
            <w:pPr>
              <w:pStyle w:val="55"/>
              <w:rPr>
                <w:color w:val="000000" w:themeColor="text1"/>
                <w:kern w:val="0"/>
              </w:rPr>
            </w:pPr>
            <w:r>
              <w:rPr>
                <w:rFonts w:hint="eastAsia"/>
                <w:color w:val="000000" w:themeColor="text1"/>
                <w:kern w:val="0"/>
              </w:rPr>
              <w:t>八月</w:t>
            </w:r>
          </w:p>
        </w:tc>
        <w:tc>
          <w:tcPr>
            <w:tcW w:w="76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6.45</w:t>
            </w:r>
          </w:p>
        </w:tc>
        <w:tc>
          <w:tcPr>
            <w:tcW w:w="87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6.45</w:t>
            </w:r>
          </w:p>
        </w:tc>
        <w:tc>
          <w:tcPr>
            <w:tcW w:w="85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7.39</w:t>
            </w:r>
          </w:p>
        </w:tc>
        <w:tc>
          <w:tcPr>
            <w:tcW w:w="80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4.57</w:t>
            </w:r>
          </w:p>
        </w:tc>
        <w:tc>
          <w:tcPr>
            <w:tcW w:w="788"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2.55</w:t>
            </w:r>
          </w:p>
        </w:tc>
        <w:tc>
          <w:tcPr>
            <w:tcW w:w="72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4.7</w:t>
            </w:r>
          </w:p>
        </w:tc>
        <w:tc>
          <w:tcPr>
            <w:tcW w:w="740"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11.42</w:t>
            </w:r>
          </w:p>
        </w:tc>
        <w:tc>
          <w:tcPr>
            <w:tcW w:w="90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18.28</w:t>
            </w:r>
          </w:p>
        </w:tc>
        <w:tc>
          <w:tcPr>
            <w:tcW w:w="849"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7.39</w:t>
            </w:r>
          </w:p>
        </w:tc>
        <w:tc>
          <w:tcPr>
            <w:tcW w:w="85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5.11</w:t>
            </w:r>
          </w:p>
        </w:tc>
        <w:tc>
          <w:tcPr>
            <w:tcW w:w="814"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3.09</w:t>
            </w:r>
          </w:p>
        </w:tc>
        <w:tc>
          <w:tcPr>
            <w:tcW w:w="85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2.02</w:t>
            </w:r>
          </w:p>
        </w:tc>
        <w:tc>
          <w:tcPr>
            <w:tcW w:w="80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4.57</w:t>
            </w:r>
          </w:p>
        </w:tc>
        <w:tc>
          <w:tcPr>
            <w:tcW w:w="838"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4.7</w:t>
            </w:r>
          </w:p>
        </w:tc>
        <w:tc>
          <w:tcPr>
            <w:tcW w:w="738"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2.42</w:t>
            </w:r>
          </w:p>
        </w:tc>
        <w:tc>
          <w:tcPr>
            <w:tcW w:w="80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2.42</w:t>
            </w:r>
          </w:p>
        </w:tc>
        <w:tc>
          <w:tcPr>
            <w:tcW w:w="793" w:type="dxa"/>
            <w:tcBorders>
              <w:top w:val="single" w:color="auto" w:sz="6" w:space="0"/>
              <w:left w:val="single" w:color="auto" w:sz="6" w:space="0"/>
              <w:bottom w:val="single" w:color="auto" w:sz="6" w:space="0"/>
              <w:right w:val="single" w:color="auto" w:sz="4" w:space="0"/>
            </w:tcBorders>
            <w:vAlign w:val="center"/>
          </w:tcPr>
          <w:p>
            <w:pPr>
              <w:pStyle w:val="55"/>
              <w:rPr>
                <w:color w:val="000000" w:themeColor="text1"/>
                <w:kern w:val="0"/>
              </w:rPr>
            </w:pPr>
            <w:r>
              <w:rPr>
                <w:color w:val="000000" w:themeColor="text1"/>
                <w:kern w:val="0"/>
              </w:rPr>
              <w:t>6.45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967" w:type="dxa"/>
            <w:tcBorders>
              <w:top w:val="single" w:color="auto" w:sz="6" w:space="0"/>
              <w:left w:val="single" w:color="auto" w:sz="4" w:space="0"/>
              <w:bottom w:val="single" w:color="auto" w:sz="6" w:space="0"/>
              <w:right w:val="single" w:color="auto" w:sz="6" w:space="0"/>
            </w:tcBorders>
            <w:vAlign w:val="center"/>
          </w:tcPr>
          <w:p>
            <w:pPr>
              <w:pStyle w:val="55"/>
              <w:rPr>
                <w:color w:val="000000" w:themeColor="text1"/>
                <w:kern w:val="0"/>
              </w:rPr>
            </w:pPr>
            <w:r>
              <w:rPr>
                <w:rFonts w:hint="eastAsia"/>
                <w:color w:val="000000" w:themeColor="text1"/>
                <w:kern w:val="0"/>
              </w:rPr>
              <w:t>九月</w:t>
            </w:r>
          </w:p>
        </w:tc>
        <w:tc>
          <w:tcPr>
            <w:tcW w:w="76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16.67</w:t>
            </w:r>
          </w:p>
        </w:tc>
        <w:tc>
          <w:tcPr>
            <w:tcW w:w="87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15.28</w:t>
            </w:r>
          </w:p>
        </w:tc>
        <w:tc>
          <w:tcPr>
            <w:tcW w:w="85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8.75</w:t>
            </w:r>
          </w:p>
        </w:tc>
        <w:tc>
          <w:tcPr>
            <w:tcW w:w="80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2.22</w:t>
            </w:r>
          </w:p>
        </w:tc>
        <w:tc>
          <w:tcPr>
            <w:tcW w:w="788"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1.94</w:t>
            </w:r>
          </w:p>
        </w:tc>
        <w:tc>
          <w:tcPr>
            <w:tcW w:w="72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2.78</w:t>
            </w:r>
          </w:p>
        </w:tc>
        <w:tc>
          <w:tcPr>
            <w:tcW w:w="740"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8.47</w:t>
            </w:r>
          </w:p>
        </w:tc>
        <w:tc>
          <w:tcPr>
            <w:tcW w:w="90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14.44</w:t>
            </w:r>
          </w:p>
        </w:tc>
        <w:tc>
          <w:tcPr>
            <w:tcW w:w="849"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7.22</w:t>
            </w:r>
          </w:p>
        </w:tc>
        <w:tc>
          <w:tcPr>
            <w:tcW w:w="85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4.86</w:t>
            </w:r>
          </w:p>
        </w:tc>
        <w:tc>
          <w:tcPr>
            <w:tcW w:w="814"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1.67</w:t>
            </w:r>
          </w:p>
        </w:tc>
        <w:tc>
          <w:tcPr>
            <w:tcW w:w="85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1.53</w:t>
            </w:r>
          </w:p>
        </w:tc>
        <w:tc>
          <w:tcPr>
            <w:tcW w:w="80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1.39</w:t>
            </w:r>
          </w:p>
        </w:tc>
        <w:tc>
          <w:tcPr>
            <w:tcW w:w="838"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1.39</w:t>
            </w:r>
          </w:p>
        </w:tc>
        <w:tc>
          <w:tcPr>
            <w:tcW w:w="738"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0.56</w:t>
            </w:r>
          </w:p>
        </w:tc>
        <w:tc>
          <w:tcPr>
            <w:tcW w:w="80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2.92</w:t>
            </w:r>
          </w:p>
        </w:tc>
        <w:tc>
          <w:tcPr>
            <w:tcW w:w="793" w:type="dxa"/>
            <w:tcBorders>
              <w:top w:val="single" w:color="auto" w:sz="6" w:space="0"/>
              <w:left w:val="single" w:color="auto" w:sz="6" w:space="0"/>
              <w:bottom w:val="single" w:color="auto" w:sz="6" w:space="0"/>
              <w:right w:val="single" w:color="auto" w:sz="4" w:space="0"/>
            </w:tcBorders>
            <w:vAlign w:val="center"/>
          </w:tcPr>
          <w:p>
            <w:pPr>
              <w:pStyle w:val="55"/>
              <w:rPr>
                <w:color w:val="000000" w:themeColor="text1"/>
                <w:kern w:val="0"/>
              </w:rPr>
            </w:pPr>
            <w:r>
              <w:rPr>
                <w:color w:val="000000" w:themeColor="text1"/>
                <w:kern w:val="0"/>
              </w:rPr>
              <w:t>7.92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967" w:type="dxa"/>
            <w:tcBorders>
              <w:top w:val="single" w:color="auto" w:sz="6" w:space="0"/>
              <w:left w:val="single" w:color="auto" w:sz="4" w:space="0"/>
              <w:bottom w:val="single" w:color="auto" w:sz="6" w:space="0"/>
              <w:right w:val="single" w:color="auto" w:sz="6" w:space="0"/>
            </w:tcBorders>
            <w:vAlign w:val="center"/>
          </w:tcPr>
          <w:p>
            <w:pPr>
              <w:pStyle w:val="55"/>
              <w:rPr>
                <w:color w:val="000000" w:themeColor="text1"/>
                <w:kern w:val="0"/>
              </w:rPr>
            </w:pPr>
            <w:r>
              <w:rPr>
                <w:rFonts w:hint="eastAsia"/>
                <w:color w:val="000000" w:themeColor="text1"/>
                <w:kern w:val="0"/>
              </w:rPr>
              <w:t>十月</w:t>
            </w:r>
          </w:p>
        </w:tc>
        <w:tc>
          <w:tcPr>
            <w:tcW w:w="76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6.18</w:t>
            </w:r>
          </w:p>
        </w:tc>
        <w:tc>
          <w:tcPr>
            <w:tcW w:w="87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11.96</w:t>
            </w:r>
          </w:p>
        </w:tc>
        <w:tc>
          <w:tcPr>
            <w:tcW w:w="85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8.74</w:t>
            </w:r>
          </w:p>
        </w:tc>
        <w:tc>
          <w:tcPr>
            <w:tcW w:w="80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3.76</w:t>
            </w:r>
          </w:p>
        </w:tc>
        <w:tc>
          <w:tcPr>
            <w:tcW w:w="788"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1.61</w:t>
            </w:r>
          </w:p>
        </w:tc>
        <w:tc>
          <w:tcPr>
            <w:tcW w:w="72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2.96</w:t>
            </w:r>
          </w:p>
        </w:tc>
        <w:tc>
          <w:tcPr>
            <w:tcW w:w="740"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14.92</w:t>
            </w:r>
          </w:p>
        </w:tc>
        <w:tc>
          <w:tcPr>
            <w:tcW w:w="90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22.72</w:t>
            </w:r>
          </w:p>
        </w:tc>
        <w:tc>
          <w:tcPr>
            <w:tcW w:w="849"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10.62</w:t>
            </w:r>
          </w:p>
        </w:tc>
        <w:tc>
          <w:tcPr>
            <w:tcW w:w="85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6.72</w:t>
            </w:r>
          </w:p>
        </w:tc>
        <w:tc>
          <w:tcPr>
            <w:tcW w:w="814"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3.49</w:t>
            </w:r>
          </w:p>
        </w:tc>
        <w:tc>
          <w:tcPr>
            <w:tcW w:w="85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1.88</w:t>
            </w:r>
          </w:p>
        </w:tc>
        <w:tc>
          <w:tcPr>
            <w:tcW w:w="80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0.54</w:t>
            </w:r>
          </w:p>
        </w:tc>
        <w:tc>
          <w:tcPr>
            <w:tcW w:w="838"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0.13</w:t>
            </w:r>
          </w:p>
        </w:tc>
        <w:tc>
          <w:tcPr>
            <w:tcW w:w="738"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0.13</w:t>
            </w:r>
          </w:p>
        </w:tc>
        <w:tc>
          <w:tcPr>
            <w:tcW w:w="80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0.81</w:t>
            </w:r>
          </w:p>
        </w:tc>
        <w:tc>
          <w:tcPr>
            <w:tcW w:w="793" w:type="dxa"/>
            <w:tcBorders>
              <w:top w:val="single" w:color="auto" w:sz="6" w:space="0"/>
              <w:left w:val="single" w:color="auto" w:sz="6" w:space="0"/>
              <w:bottom w:val="single" w:color="auto" w:sz="6" w:space="0"/>
              <w:right w:val="single" w:color="auto" w:sz="4" w:space="0"/>
            </w:tcBorders>
            <w:vAlign w:val="center"/>
          </w:tcPr>
          <w:p>
            <w:pPr>
              <w:pStyle w:val="55"/>
              <w:rPr>
                <w:color w:val="000000" w:themeColor="text1"/>
                <w:kern w:val="0"/>
              </w:rPr>
            </w:pPr>
            <w:r>
              <w:rPr>
                <w:color w:val="000000" w:themeColor="text1"/>
                <w:kern w:val="0"/>
              </w:rPr>
              <w:t>2.82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967" w:type="dxa"/>
            <w:tcBorders>
              <w:top w:val="single" w:color="auto" w:sz="6" w:space="0"/>
              <w:left w:val="single" w:color="auto" w:sz="4" w:space="0"/>
              <w:bottom w:val="single" w:color="auto" w:sz="6" w:space="0"/>
              <w:right w:val="single" w:color="auto" w:sz="6" w:space="0"/>
            </w:tcBorders>
            <w:vAlign w:val="center"/>
          </w:tcPr>
          <w:p>
            <w:pPr>
              <w:pStyle w:val="55"/>
              <w:rPr>
                <w:color w:val="000000" w:themeColor="text1"/>
                <w:kern w:val="0"/>
              </w:rPr>
            </w:pPr>
            <w:r>
              <w:rPr>
                <w:rFonts w:hint="eastAsia"/>
                <w:color w:val="000000" w:themeColor="text1"/>
                <w:kern w:val="0"/>
              </w:rPr>
              <w:t>十一月</w:t>
            </w:r>
          </w:p>
        </w:tc>
        <w:tc>
          <w:tcPr>
            <w:tcW w:w="76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w:t>
            </w:r>
            <w:r>
              <w:rPr>
                <w:rFonts w:hint="eastAsia"/>
                <w:color w:val="000000" w:themeColor="text1"/>
                <w:kern w:val="0"/>
              </w:rPr>
              <w:t>3</w:t>
            </w:r>
            <w:r>
              <w:rPr>
                <w:color w:val="000000" w:themeColor="text1"/>
                <w:kern w:val="0"/>
              </w:rPr>
              <w:t>.89</w:t>
            </w:r>
          </w:p>
        </w:tc>
        <w:tc>
          <w:tcPr>
            <w:tcW w:w="87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w:t>
            </w:r>
            <w:r>
              <w:rPr>
                <w:rFonts w:hint="eastAsia"/>
                <w:color w:val="000000" w:themeColor="text1"/>
                <w:kern w:val="0"/>
              </w:rPr>
              <w:t>3</w:t>
            </w:r>
            <w:r>
              <w:rPr>
                <w:color w:val="000000" w:themeColor="text1"/>
                <w:kern w:val="0"/>
              </w:rPr>
              <w:t>.47</w:t>
            </w:r>
          </w:p>
        </w:tc>
        <w:tc>
          <w:tcPr>
            <w:tcW w:w="85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12.36</w:t>
            </w:r>
          </w:p>
        </w:tc>
        <w:tc>
          <w:tcPr>
            <w:tcW w:w="80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2.78</w:t>
            </w:r>
          </w:p>
        </w:tc>
        <w:tc>
          <w:tcPr>
            <w:tcW w:w="788"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1.39</w:t>
            </w:r>
          </w:p>
        </w:tc>
        <w:tc>
          <w:tcPr>
            <w:tcW w:w="72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1.67</w:t>
            </w:r>
          </w:p>
        </w:tc>
        <w:tc>
          <w:tcPr>
            <w:tcW w:w="740"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8.33</w:t>
            </w:r>
          </w:p>
        </w:tc>
        <w:tc>
          <w:tcPr>
            <w:tcW w:w="90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14.86</w:t>
            </w:r>
          </w:p>
        </w:tc>
        <w:tc>
          <w:tcPr>
            <w:tcW w:w="849"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8.89</w:t>
            </w:r>
          </w:p>
        </w:tc>
        <w:tc>
          <w:tcPr>
            <w:tcW w:w="85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5.83</w:t>
            </w:r>
          </w:p>
        </w:tc>
        <w:tc>
          <w:tcPr>
            <w:tcW w:w="814"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3.19</w:t>
            </w:r>
          </w:p>
        </w:tc>
        <w:tc>
          <w:tcPr>
            <w:tcW w:w="85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1.94</w:t>
            </w:r>
          </w:p>
        </w:tc>
        <w:tc>
          <w:tcPr>
            <w:tcW w:w="80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1.11</w:t>
            </w:r>
          </w:p>
        </w:tc>
        <w:tc>
          <w:tcPr>
            <w:tcW w:w="838"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2.36</w:t>
            </w:r>
          </w:p>
        </w:tc>
        <w:tc>
          <w:tcPr>
            <w:tcW w:w="738"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1.11</w:t>
            </w:r>
          </w:p>
        </w:tc>
        <w:tc>
          <w:tcPr>
            <w:tcW w:w="80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2.78</w:t>
            </w:r>
          </w:p>
        </w:tc>
        <w:tc>
          <w:tcPr>
            <w:tcW w:w="793" w:type="dxa"/>
            <w:tcBorders>
              <w:top w:val="single" w:color="auto" w:sz="6" w:space="0"/>
              <w:left w:val="single" w:color="auto" w:sz="6" w:space="0"/>
              <w:bottom w:val="single" w:color="auto" w:sz="6" w:space="0"/>
              <w:right w:val="single" w:color="auto" w:sz="4" w:space="0"/>
            </w:tcBorders>
            <w:vAlign w:val="center"/>
          </w:tcPr>
          <w:p>
            <w:pPr>
              <w:pStyle w:val="55"/>
              <w:rPr>
                <w:color w:val="000000" w:themeColor="text1"/>
                <w:kern w:val="0"/>
              </w:rPr>
            </w:pPr>
            <w:r>
              <w:rPr>
                <w:color w:val="000000" w:themeColor="text1"/>
                <w:kern w:val="0"/>
              </w:rPr>
              <w:t>4.03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967" w:type="dxa"/>
            <w:tcBorders>
              <w:top w:val="single" w:color="auto" w:sz="6" w:space="0"/>
              <w:left w:val="single" w:color="auto" w:sz="4" w:space="0"/>
              <w:bottom w:val="single" w:color="auto" w:sz="6" w:space="0"/>
              <w:right w:val="single" w:color="auto" w:sz="6" w:space="0"/>
            </w:tcBorders>
            <w:vAlign w:val="center"/>
          </w:tcPr>
          <w:p>
            <w:pPr>
              <w:pStyle w:val="55"/>
              <w:rPr>
                <w:color w:val="000000" w:themeColor="text1"/>
                <w:kern w:val="0"/>
              </w:rPr>
            </w:pPr>
            <w:r>
              <w:rPr>
                <w:rFonts w:hint="eastAsia"/>
                <w:color w:val="000000" w:themeColor="text1"/>
                <w:kern w:val="0"/>
              </w:rPr>
              <w:t>十二月</w:t>
            </w:r>
          </w:p>
        </w:tc>
        <w:tc>
          <w:tcPr>
            <w:tcW w:w="76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3.49</w:t>
            </w:r>
          </w:p>
        </w:tc>
        <w:tc>
          <w:tcPr>
            <w:tcW w:w="87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6.99</w:t>
            </w:r>
          </w:p>
        </w:tc>
        <w:tc>
          <w:tcPr>
            <w:tcW w:w="85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6.18</w:t>
            </w:r>
          </w:p>
        </w:tc>
        <w:tc>
          <w:tcPr>
            <w:tcW w:w="80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2.02</w:t>
            </w:r>
          </w:p>
        </w:tc>
        <w:tc>
          <w:tcPr>
            <w:tcW w:w="788"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1.34</w:t>
            </w:r>
          </w:p>
        </w:tc>
        <w:tc>
          <w:tcPr>
            <w:tcW w:w="72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1.21</w:t>
            </w:r>
          </w:p>
        </w:tc>
        <w:tc>
          <w:tcPr>
            <w:tcW w:w="740"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4.7</w:t>
            </w:r>
          </w:p>
        </w:tc>
        <w:tc>
          <w:tcPr>
            <w:tcW w:w="90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14.25</w:t>
            </w:r>
          </w:p>
        </w:tc>
        <w:tc>
          <w:tcPr>
            <w:tcW w:w="849"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24.73</w:t>
            </w:r>
          </w:p>
        </w:tc>
        <w:tc>
          <w:tcPr>
            <w:tcW w:w="85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21.77</w:t>
            </w:r>
          </w:p>
        </w:tc>
        <w:tc>
          <w:tcPr>
            <w:tcW w:w="814"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7.12</w:t>
            </w:r>
          </w:p>
        </w:tc>
        <w:tc>
          <w:tcPr>
            <w:tcW w:w="85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2.96</w:t>
            </w:r>
          </w:p>
        </w:tc>
        <w:tc>
          <w:tcPr>
            <w:tcW w:w="80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0.4</w:t>
            </w:r>
          </w:p>
        </w:tc>
        <w:tc>
          <w:tcPr>
            <w:tcW w:w="838"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0</w:t>
            </w:r>
          </w:p>
        </w:tc>
        <w:tc>
          <w:tcPr>
            <w:tcW w:w="738"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0.27</w:t>
            </w:r>
          </w:p>
        </w:tc>
        <w:tc>
          <w:tcPr>
            <w:tcW w:w="80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0.81</w:t>
            </w:r>
          </w:p>
        </w:tc>
        <w:tc>
          <w:tcPr>
            <w:tcW w:w="793" w:type="dxa"/>
            <w:tcBorders>
              <w:top w:val="single" w:color="auto" w:sz="6" w:space="0"/>
              <w:left w:val="single" w:color="auto" w:sz="6" w:space="0"/>
              <w:bottom w:val="single" w:color="auto" w:sz="6" w:space="0"/>
              <w:right w:val="single" w:color="auto" w:sz="4" w:space="0"/>
            </w:tcBorders>
            <w:vAlign w:val="center"/>
          </w:tcPr>
          <w:p>
            <w:pPr>
              <w:pStyle w:val="55"/>
              <w:rPr>
                <w:color w:val="000000" w:themeColor="text1"/>
                <w:kern w:val="0"/>
              </w:rPr>
            </w:pPr>
            <w:r>
              <w:rPr>
                <w:color w:val="000000" w:themeColor="text1"/>
                <w:kern w:val="0"/>
              </w:rPr>
              <w:t>1.75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967" w:type="dxa"/>
            <w:tcBorders>
              <w:top w:val="single" w:color="auto" w:sz="6" w:space="0"/>
              <w:left w:val="single" w:color="auto" w:sz="4" w:space="0"/>
              <w:bottom w:val="single" w:color="auto" w:sz="4" w:space="0"/>
              <w:right w:val="single" w:color="auto" w:sz="6" w:space="0"/>
            </w:tcBorders>
            <w:vAlign w:val="center"/>
          </w:tcPr>
          <w:p>
            <w:pPr>
              <w:pStyle w:val="55"/>
              <w:rPr>
                <w:color w:val="000000" w:themeColor="text1"/>
                <w:kern w:val="0"/>
              </w:rPr>
            </w:pPr>
            <w:r>
              <w:rPr>
                <w:rFonts w:hint="eastAsia"/>
                <w:color w:val="000000" w:themeColor="text1"/>
                <w:kern w:val="0"/>
              </w:rPr>
              <w:t>全年</w:t>
            </w:r>
          </w:p>
        </w:tc>
        <w:tc>
          <w:tcPr>
            <w:tcW w:w="763" w:type="dxa"/>
            <w:tcBorders>
              <w:top w:val="single" w:color="auto" w:sz="6" w:space="0"/>
              <w:left w:val="single" w:color="auto" w:sz="6" w:space="0"/>
              <w:bottom w:val="single" w:color="auto" w:sz="4" w:space="0"/>
              <w:right w:val="single" w:color="auto" w:sz="6" w:space="0"/>
            </w:tcBorders>
            <w:vAlign w:val="center"/>
          </w:tcPr>
          <w:p>
            <w:pPr>
              <w:pStyle w:val="55"/>
              <w:rPr>
                <w:color w:val="000000" w:themeColor="text1"/>
                <w:kern w:val="0"/>
              </w:rPr>
            </w:pPr>
            <w:r>
              <w:rPr>
                <w:color w:val="000000" w:themeColor="text1"/>
                <w:kern w:val="0"/>
              </w:rPr>
              <w:t>6.1</w:t>
            </w:r>
          </w:p>
        </w:tc>
        <w:tc>
          <w:tcPr>
            <w:tcW w:w="876" w:type="dxa"/>
            <w:tcBorders>
              <w:top w:val="single" w:color="auto" w:sz="6" w:space="0"/>
              <w:left w:val="single" w:color="auto" w:sz="6" w:space="0"/>
              <w:bottom w:val="single" w:color="auto" w:sz="4" w:space="0"/>
              <w:right w:val="single" w:color="auto" w:sz="6" w:space="0"/>
            </w:tcBorders>
            <w:vAlign w:val="center"/>
          </w:tcPr>
          <w:p>
            <w:pPr>
              <w:pStyle w:val="55"/>
              <w:rPr>
                <w:color w:val="000000" w:themeColor="text1"/>
                <w:kern w:val="0"/>
              </w:rPr>
            </w:pPr>
            <w:r>
              <w:rPr>
                <w:color w:val="000000" w:themeColor="text1"/>
                <w:kern w:val="0"/>
              </w:rPr>
              <w:t>8.44</w:t>
            </w:r>
          </w:p>
        </w:tc>
        <w:tc>
          <w:tcPr>
            <w:tcW w:w="852" w:type="dxa"/>
            <w:tcBorders>
              <w:top w:val="single" w:color="auto" w:sz="6" w:space="0"/>
              <w:left w:val="single" w:color="auto" w:sz="6" w:space="0"/>
              <w:bottom w:val="single" w:color="auto" w:sz="4" w:space="0"/>
              <w:right w:val="single" w:color="auto" w:sz="6" w:space="0"/>
            </w:tcBorders>
            <w:vAlign w:val="center"/>
          </w:tcPr>
          <w:p>
            <w:pPr>
              <w:pStyle w:val="55"/>
              <w:rPr>
                <w:color w:val="000000" w:themeColor="text1"/>
                <w:kern w:val="0"/>
              </w:rPr>
            </w:pPr>
            <w:r>
              <w:rPr>
                <w:color w:val="000000" w:themeColor="text1"/>
                <w:kern w:val="0"/>
              </w:rPr>
              <w:t>6.77</w:t>
            </w:r>
          </w:p>
        </w:tc>
        <w:tc>
          <w:tcPr>
            <w:tcW w:w="802" w:type="dxa"/>
            <w:tcBorders>
              <w:top w:val="single" w:color="auto" w:sz="6" w:space="0"/>
              <w:left w:val="single" w:color="auto" w:sz="6" w:space="0"/>
              <w:bottom w:val="single" w:color="auto" w:sz="4" w:space="0"/>
              <w:right w:val="single" w:color="auto" w:sz="6" w:space="0"/>
            </w:tcBorders>
            <w:vAlign w:val="center"/>
          </w:tcPr>
          <w:p>
            <w:pPr>
              <w:pStyle w:val="55"/>
              <w:rPr>
                <w:color w:val="000000" w:themeColor="text1"/>
                <w:kern w:val="0"/>
              </w:rPr>
            </w:pPr>
            <w:r>
              <w:rPr>
                <w:color w:val="000000" w:themeColor="text1"/>
                <w:kern w:val="0"/>
              </w:rPr>
              <w:t>2.2</w:t>
            </w:r>
          </w:p>
        </w:tc>
        <w:tc>
          <w:tcPr>
            <w:tcW w:w="788" w:type="dxa"/>
            <w:tcBorders>
              <w:top w:val="single" w:color="auto" w:sz="6" w:space="0"/>
              <w:left w:val="single" w:color="auto" w:sz="6" w:space="0"/>
              <w:bottom w:val="single" w:color="auto" w:sz="4" w:space="0"/>
              <w:right w:val="single" w:color="auto" w:sz="6" w:space="0"/>
            </w:tcBorders>
            <w:vAlign w:val="center"/>
          </w:tcPr>
          <w:p>
            <w:pPr>
              <w:pStyle w:val="55"/>
              <w:rPr>
                <w:color w:val="000000" w:themeColor="text1"/>
                <w:kern w:val="0"/>
              </w:rPr>
            </w:pPr>
            <w:r>
              <w:rPr>
                <w:color w:val="000000" w:themeColor="text1"/>
                <w:kern w:val="0"/>
              </w:rPr>
              <w:t>1.46</w:t>
            </w:r>
          </w:p>
        </w:tc>
        <w:tc>
          <w:tcPr>
            <w:tcW w:w="726" w:type="dxa"/>
            <w:tcBorders>
              <w:top w:val="single" w:color="auto" w:sz="6" w:space="0"/>
              <w:left w:val="single" w:color="auto" w:sz="6" w:space="0"/>
              <w:bottom w:val="single" w:color="auto" w:sz="4" w:space="0"/>
              <w:right w:val="single" w:color="auto" w:sz="6" w:space="0"/>
            </w:tcBorders>
            <w:vAlign w:val="center"/>
          </w:tcPr>
          <w:p>
            <w:pPr>
              <w:pStyle w:val="55"/>
              <w:rPr>
                <w:color w:val="000000" w:themeColor="text1"/>
                <w:kern w:val="0"/>
              </w:rPr>
            </w:pPr>
            <w:r>
              <w:rPr>
                <w:color w:val="000000" w:themeColor="text1"/>
                <w:kern w:val="0"/>
              </w:rPr>
              <w:t>2.29</w:t>
            </w:r>
          </w:p>
        </w:tc>
        <w:tc>
          <w:tcPr>
            <w:tcW w:w="740" w:type="dxa"/>
            <w:tcBorders>
              <w:top w:val="single" w:color="auto" w:sz="6" w:space="0"/>
              <w:left w:val="single" w:color="auto" w:sz="6" w:space="0"/>
              <w:bottom w:val="single" w:color="auto" w:sz="4" w:space="0"/>
              <w:right w:val="single" w:color="auto" w:sz="6" w:space="0"/>
            </w:tcBorders>
            <w:vAlign w:val="center"/>
          </w:tcPr>
          <w:p>
            <w:pPr>
              <w:pStyle w:val="55"/>
              <w:rPr>
                <w:color w:val="000000" w:themeColor="text1"/>
                <w:kern w:val="0"/>
              </w:rPr>
            </w:pPr>
            <w:r>
              <w:rPr>
                <w:color w:val="000000" w:themeColor="text1"/>
                <w:kern w:val="0"/>
              </w:rPr>
              <w:t>8.18</w:t>
            </w:r>
          </w:p>
        </w:tc>
        <w:tc>
          <w:tcPr>
            <w:tcW w:w="903" w:type="dxa"/>
            <w:tcBorders>
              <w:top w:val="single" w:color="auto" w:sz="6" w:space="0"/>
              <w:left w:val="single" w:color="auto" w:sz="6" w:space="0"/>
              <w:bottom w:val="single" w:color="auto" w:sz="4" w:space="0"/>
              <w:right w:val="single" w:color="auto" w:sz="6" w:space="0"/>
            </w:tcBorders>
            <w:vAlign w:val="center"/>
          </w:tcPr>
          <w:p>
            <w:pPr>
              <w:pStyle w:val="55"/>
              <w:rPr>
                <w:color w:val="000000" w:themeColor="text1"/>
                <w:kern w:val="0"/>
              </w:rPr>
            </w:pPr>
            <w:r>
              <w:rPr>
                <w:color w:val="000000" w:themeColor="text1"/>
                <w:kern w:val="0"/>
              </w:rPr>
              <w:t>18.07</w:t>
            </w:r>
          </w:p>
        </w:tc>
        <w:tc>
          <w:tcPr>
            <w:tcW w:w="849" w:type="dxa"/>
            <w:tcBorders>
              <w:top w:val="single" w:color="auto" w:sz="6" w:space="0"/>
              <w:left w:val="single" w:color="auto" w:sz="6" w:space="0"/>
              <w:bottom w:val="single" w:color="auto" w:sz="4" w:space="0"/>
              <w:right w:val="single" w:color="auto" w:sz="6" w:space="0"/>
            </w:tcBorders>
            <w:vAlign w:val="center"/>
          </w:tcPr>
          <w:p>
            <w:pPr>
              <w:pStyle w:val="55"/>
              <w:rPr>
                <w:color w:val="000000" w:themeColor="text1"/>
                <w:kern w:val="0"/>
              </w:rPr>
            </w:pPr>
            <w:r>
              <w:rPr>
                <w:color w:val="000000" w:themeColor="text1"/>
                <w:kern w:val="0"/>
              </w:rPr>
              <w:t>16.93</w:t>
            </w:r>
          </w:p>
        </w:tc>
        <w:tc>
          <w:tcPr>
            <w:tcW w:w="853" w:type="dxa"/>
            <w:tcBorders>
              <w:top w:val="single" w:color="auto" w:sz="6" w:space="0"/>
              <w:left w:val="single" w:color="auto" w:sz="6" w:space="0"/>
              <w:bottom w:val="single" w:color="auto" w:sz="4" w:space="0"/>
              <w:right w:val="single" w:color="auto" w:sz="6" w:space="0"/>
            </w:tcBorders>
            <w:vAlign w:val="center"/>
          </w:tcPr>
          <w:p>
            <w:pPr>
              <w:pStyle w:val="55"/>
              <w:rPr>
                <w:color w:val="000000" w:themeColor="text1"/>
                <w:kern w:val="0"/>
              </w:rPr>
            </w:pPr>
            <w:r>
              <w:rPr>
                <w:color w:val="000000" w:themeColor="text1"/>
                <w:kern w:val="0"/>
              </w:rPr>
              <w:t>11.46</w:t>
            </w:r>
          </w:p>
        </w:tc>
        <w:tc>
          <w:tcPr>
            <w:tcW w:w="814" w:type="dxa"/>
            <w:tcBorders>
              <w:top w:val="single" w:color="auto" w:sz="6" w:space="0"/>
              <w:left w:val="single" w:color="auto" w:sz="6" w:space="0"/>
              <w:bottom w:val="single" w:color="auto" w:sz="4" w:space="0"/>
              <w:right w:val="single" w:color="auto" w:sz="6" w:space="0"/>
            </w:tcBorders>
            <w:vAlign w:val="center"/>
          </w:tcPr>
          <w:p>
            <w:pPr>
              <w:pStyle w:val="55"/>
              <w:rPr>
                <w:color w:val="000000" w:themeColor="text1"/>
                <w:kern w:val="0"/>
              </w:rPr>
            </w:pPr>
            <w:r>
              <w:rPr>
                <w:color w:val="000000" w:themeColor="text1"/>
                <w:kern w:val="0"/>
              </w:rPr>
              <w:t>6.55</w:t>
            </w:r>
          </w:p>
        </w:tc>
        <w:tc>
          <w:tcPr>
            <w:tcW w:w="852" w:type="dxa"/>
            <w:tcBorders>
              <w:top w:val="single" w:color="auto" w:sz="6" w:space="0"/>
              <w:left w:val="single" w:color="auto" w:sz="6" w:space="0"/>
              <w:bottom w:val="single" w:color="auto" w:sz="4" w:space="0"/>
              <w:right w:val="single" w:color="auto" w:sz="6" w:space="0"/>
            </w:tcBorders>
            <w:vAlign w:val="center"/>
          </w:tcPr>
          <w:p>
            <w:pPr>
              <w:pStyle w:val="55"/>
              <w:rPr>
                <w:color w:val="000000" w:themeColor="text1"/>
                <w:kern w:val="0"/>
              </w:rPr>
            </w:pPr>
            <w:r>
              <w:rPr>
                <w:color w:val="000000" w:themeColor="text1"/>
                <w:kern w:val="0"/>
              </w:rPr>
              <w:t>3.49</w:t>
            </w:r>
          </w:p>
        </w:tc>
        <w:tc>
          <w:tcPr>
            <w:tcW w:w="802" w:type="dxa"/>
            <w:tcBorders>
              <w:top w:val="single" w:color="auto" w:sz="6" w:space="0"/>
              <w:left w:val="single" w:color="auto" w:sz="6" w:space="0"/>
              <w:bottom w:val="single" w:color="auto" w:sz="4" w:space="0"/>
              <w:right w:val="single" w:color="auto" w:sz="6" w:space="0"/>
            </w:tcBorders>
            <w:vAlign w:val="center"/>
          </w:tcPr>
          <w:p>
            <w:pPr>
              <w:pStyle w:val="55"/>
              <w:rPr>
                <w:color w:val="000000" w:themeColor="text1"/>
                <w:kern w:val="0"/>
              </w:rPr>
            </w:pPr>
            <w:r>
              <w:rPr>
                <w:color w:val="000000" w:themeColor="text1"/>
                <w:kern w:val="0"/>
              </w:rPr>
              <w:t>2.08</w:t>
            </w:r>
          </w:p>
        </w:tc>
        <w:tc>
          <w:tcPr>
            <w:tcW w:w="838" w:type="dxa"/>
            <w:tcBorders>
              <w:top w:val="single" w:color="auto" w:sz="6" w:space="0"/>
              <w:left w:val="single" w:color="auto" w:sz="6" w:space="0"/>
              <w:bottom w:val="single" w:color="auto" w:sz="4" w:space="0"/>
              <w:right w:val="single" w:color="auto" w:sz="6" w:space="0"/>
            </w:tcBorders>
            <w:vAlign w:val="center"/>
          </w:tcPr>
          <w:p>
            <w:pPr>
              <w:pStyle w:val="55"/>
              <w:rPr>
                <w:color w:val="000000" w:themeColor="text1"/>
                <w:kern w:val="0"/>
              </w:rPr>
            </w:pPr>
            <w:r>
              <w:rPr>
                <w:color w:val="000000" w:themeColor="text1"/>
                <w:kern w:val="0"/>
              </w:rPr>
              <w:t>1.28</w:t>
            </w:r>
          </w:p>
        </w:tc>
        <w:tc>
          <w:tcPr>
            <w:tcW w:w="738" w:type="dxa"/>
            <w:tcBorders>
              <w:top w:val="single" w:color="auto" w:sz="6" w:space="0"/>
              <w:left w:val="single" w:color="auto" w:sz="6" w:space="0"/>
              <w:bottom w:val="single" w:color="auto" w:sz="4" w:space="0"/>
              <w:right w:val="single" w:color="auto" w:sz="6" w:space="0"/>
            </w:tcBorders>
            <w:vAlign w:val="center"/>
          </w:tcPr>
          <w:p>
            <w:pPr>
              <w:pStyle w:val="55"/>
              <w:rPr>
                <w:color w:val="000000" w:themeColor="text1"/>
                <w:kern w:val="0"/>
              </w:rPr>
            </w:pPr>
            <w:r>
              <w:rPr>
                <w:color w:val="000000" w:themeColor="text1"/>
                <w:kern w:val="0"/>
              </w:rPr>
              <w:t>0.71</w:t>
            </w:r>
          </w:p>
        </w:tc>
        <w:tc>
          <w:tcPr>
            <w:tcW w:w="802" w:type="dxa"/>
            <w:tcBorders>
              <w:top w:val="single" w:color="auto" w:sz="6" w:space="0"/>
              <w:left w:val="single" w:color="auto" w:sz="6" w:space="0"/>
              <w:bottom w:val="single" w:color="auto" w:sz="4" w:space="0"/>
              <w:right w:val="single" w:color="auto" w:sz="6" w:space="0"/>
            </w:tcBorders>
            <w:vAlign w:val="center"/>
          </w:tcPr>
          <w:p>
            <w:pPr>
              <w:pStyle w:val="55"/>
              <w:rPr>
                <w:color w:val="000000" w:themeColor="text1"/>
                <w:kern w:val="0"/>
              </w:rPr>
            </w:pPr>
            <w:r>
              <w:rPr>
                <w:color w:val="000000" w:themeColor="text1"/>
                <w:kern w:val="0"/>
              </w:rPr>
              <w:t>1.29</w:t>
            </w:r>
          </w:p>
        </w:tc>
        <w:tc>
          <w:tcPr>
            <w:tcW w:w="793" w:type="dxa"/>
            <w:tcBorders>
              <w:top w:val="single" w:color="auto" w:sz="6" w:space="0"/>
              <w:left w:val="single" w:color="auto" w:sz="6" w:space="0"/>
              <w:bottom w:val="single" w:color="auto" w:sz="4" w:space="0"/>
              <w:right w:val="single" w:color="auto" w:sz="4" w:space="0"/>
            </w:tcBorders>
            <w:vAlign w:val="center"/>
          </w:tcPr>
          <w:p>
            <w:pPr>
              <w:pStyle w:val="55"/>
              <w:rPr>
                <w:color w:val="000000" w:themeColor="text1"/>
                <w:kern w:val="0"/>
              </w:rPr>
            </w:pPr>
            <w:r>
              <w:rPr>
                <w:color w:val="000000" w:themeColor="text1"/>
                <w:kern w:val="0"/>
              </w:rPr>
              <w:t>2.69</w:t>
            </w:r>
          </w:p>
        </w:tc>
      </w:tr>
    </w:tbl>
    <w:p>
      <w:pPr>
        <w:snapToGrid w:val="0"/>
        <w:ind w:firstLine="1678" w:firstLineChars="796"/>
        <w:rPr>
          <w:rFonts w:cs="Times New Roman"/>
          <w:b/>
          <w:color w:val="000000" w:themeColor="text1"/>
          <w:sz w:val="21"/>
        </w:rPr>
      </w:pPr>
    </w:p>
    <w:p>
      <w:pPr>
        <w:snapToGrid w:val="0"/>
        <w:ind w:firstLine="482"/>
        <w:jc w:val="center"/>
        <w:rPr>
          <w:b/>
          <w:color w:val="000000" w:themeColor="text1"/>
        </w:rPr>
      </w:pPr>
    </w:p>
    <w:p>
      <w:pPr>
        <w:snapToGrid w:val="0"/>
        <w:ind w:firstLine="482"/>
        <w:jc w:val="center"/>
        <w:rPr>
          <w:b/>
          <w:color w:val="000000" w:themeColor="text1"/>
        </w:rPr>
      </w:pPr>
    </w:p>
    <w:p>
      <w:pPr>
        <w:snapToGrid w:val="0"/>
        <w:ind w:firstLine="482"/>
        <w:jc w:val="center"/>
        <w:rPr>
          <w:b/>
          <w:color w:val="000000" w:themeColor="text1"/>
        </w:rPr>
      </w:pPr>
    </w:p>
    <w:p>
      <w:pPr>
        <w:snapToGrid w:val="0"/>
        <w:ind w:firstLine="482"/>
        <w:jc w:val="center"/>
        <w:rPr>
          <w:b/>
          <w:color w:val="000000" w:themeColor="text1"/>
        </w:rPr>
      </w:pPr>
    </w:p>
    <w:p>
      <w:pPr>
        <w:snapToGrid w:val="0"/>
        <w:ind w:firstLine="482"/>
        <w:jc w:val="center"/>
        <w:rPr>
          <w:b/>
          <w:color w:val="000000" w:themeColor="text1"/>
        </w:rPr>
      </w:pPr>
    </w:p>
    <w:p>
      <w:pPr>
        <w:snapToGrid w:val="0"/>
        <w:ind w:firstLine="482"/>
        <w:jc w:val="center"/>
        <w:rPr>
          <w:b/>
          <w:color w:val="000000" w:themeColor="text1"/>
        </w:rPr>
      </w:pPr>
    </w:p>
    <w:p>
      <w:pPr>
        <w:snapToGrid w:val="0"/>
        <w:ind w:firstLine="482"/>
        <w:rPr>
          <w:b/>
          <w:color w:val="000000" w:themeColor="text1"/>
        </w:rPr>
      </w:pPr>
    </w:p>
    <w:p>
      <w:pPr>
        <w:widowControl/>
        <w:ind w:firstLine="482"/>
        <w:jc w:val="left"/>
        <w:rPr>
          <w:b/>
          <w:color w:val="000000" w:themeColor="text1"/>
        </w:rPr>
        <w:sectPr>
          <w:pgSz w:w="16838" w:h="11906" w:orient="landscape"/>
          <w:pgMar w:top="1797" w:right="1440" w:bottom="1797" w:left="1440" w:header="851" w:footer="992" w:gutter="0"/>
          <w:cols w:space="720" w:num="1"/>
        </w:sectPr>
      </w:pPr>
    </w:p>
    <w:p>
      <w:pPr>
        <w:pStyle w:val="54"/>
        <w:rPr>
          <w:color w:val="000000" w:themeColor="text1"/>
        </w:rPr>
      </w:pPr>
      <w:r>
        <w:rPr>
          <w:color w:val="000000" w:themeColor="text1"/>
        </w:rPr>
        <w:drawing>
          <wp:inline distT="0" distB="0" distL="0" distR="0">
            <wp:extent cx="5076825" cy="5076825"/>
            <wp:effectExtent l="19050" t="0" r="9525" b="0"/>
            <wp:docPr id="354" name="图片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1182"/>
                    <pic:cNvPicPr>
                      <a:picLocks noChangeAspect="1" noChangeArrowheads="1"/>
                    </pic:cNvPicPr>
                  </pic:nvPicPr>
                  <pic:blipFill>
                    <a:blip r:embed="rId25"/>
                    <a:srcRect/>
                    <a:stretch>
                      <a:fillRect/>
                    </a:stretch>
                  </pic:blipFill>
                  <pic:spPr>
                    <a:xfrm>
                      <a:off x="0" y="0"/>
                      <a:ext cx="5079588" cy="5079588"/>
                    </a:xfrm>
                    <a:prstGeom prst="rect">
                      <a:avLst/>
                    </a:prstGeom>
                    <a:noFill/>
                  </pic:spPr>
                </pic:pic>
              </a:graphicData>
            </a:graphic>
          </wp:inline>
        </w:drawing>
      </w:r>
    </w:p>
    <w:p>
      <w:pPr>
        <w:pStyle w:val="54"/>
        <w:rPr>
          <w:color w:val="000000" w:themeColor="text1"/>
        </w:rPr>
      </w:pPr>
      <w:r>
        <w:rPr>
          <w:color w:val="000000" w:themeColor="text1"/>
        </w:rPr>
        <w:drawing>
          <wp:inline distT="0" distB="0" distL="0" distR="0">
            <wp:extent cx="1333500" cy="1333500"/>
            <wp:effectExtent l="19050" t="0" r="0" b="0"/>
            <wp:docPr id="353" name="图片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1183"/>
                    <pic:cNvPicPr>
                      <a:picLocks noChangeAspect="1" noChangeArrowheads="1"/>
                    </pic:cNvPicPr>
                  </pic:nvPicPr>
                  <pic:blipFill>
                    <a:blip r:embed="rId26"/>
                    <a:srcRect/>
                    <a:stretch>
                      <a:fillRect/>
                    </a:stretch>
                  </pic:blipFill>
                  <pic:spPr>
                    <a:xfrm>
                      <a:off x="0" y="0"/>
                      <a:ext cx="1333500" cy="1333500"/>
                    </a:xfrm>
                    <a:prstGeom prst="rect">
                      <a:avLst/>
                    </a:prstGeom>
                    <a:noFill/>
                  </pic:spPr>
                </pic:pic>
              </a:graphicData>
            </a:graphic>
          </wp:inline>
        </w:drawing>
      </w:r>
      <w:r>
        <w:rPr>
          <w:color w:val="000000" w:themeColor="text1"/>
        </w:rPr>
        <w:br w:type="textWrapping" w:clear="all"/>
      </w:r>
      <w:r>
        <w:rPr>
          <w:rFonts w:hint="eastAsia"/>
          <w:color w:val="000000" w:themeColor="text1"/>
        </w:rPr>
        <w:t>图6.1.1</w:t>
      </w:r>
      <w:r>
        <w:rPr>
          <w:color w:val="000000" w:themeColor="text1"/>
        </w:rPr>
        <w:t xml:space="preserve">-1   </w:t>
      </w:r>
      <w:r>
        <w:rPr>
          <w:rFonts w:hint="eastAsia"/>
          <w:color w:val="000000" w:themeColor="text1"/>
        </w:rPr>
        <w:t>全年各月风向频率图</w:t>
      </w:r>
    </w:p>
    <w:p>
      <w:pPr>
        <w:ind w:firstLine="480"/>
        <w:rPr>
          <w:color w:val="000000" w:themeColor="text1"/>
          <w:kern w:val="0"/>
        </w:rPr>
      </w:pPr>
      <w:bookmarkStart w:id="181" w:name="_Toc467248991"/>
      <w:bookmarkStart w:id="182" w:name="_Toc461216248"/>
      <w:bookmarkStart w:id="183" w:name="_Toc464059200"/>
      <w:bookmarkStart w:id="184" w:name="_Toc465754691"/>
      <w:bookmarkStart w:id="185" w:name="_Toc462005019"/>
      <w:r>
        <w:rPr>
          <w:rFonts w:hint="eastAsia" w:ascii="宋体" w:hAnsi="宋体" w:cs="宋体"/>
          <w:color w:val="000000" w:themeColor="text1"/>
          <w:kern w:val="0"/>
        </w:rPr>
        <w:t>②</w:t>
      </w:r>
      <w:r>
        <w:rPr>
          <w:rFonts w:hint="eastAsia"/>
          <w:color w:val="000000" w:themeColor="text1"/>
          <w:kern w:val="0"/>
        </w:rPr>
        <w:t>风速</w:t>
      </w:r>
      <w:bookmarkEnd w:id="181"/>
      <w:bookmarkEnd w:id="182"/>
      <w:bookmarkEnd w:id="183"/>
      <w:bookmarkEnd w:id="184"/>
      <w:bookmarkEnd w:id="185"/>
    </w:p>
    <w:p>
      <w:pPr>
        <w:ind w:firstLine="480"/>
        <w:rPr>
          <w:color w:val="000000" w:themeColor="text1"/>
          <w:kern w:val="0"/>
        </w:rPr>
      </w:pPr>
      <w:r>
        <w:rPr>
          <w:rFonts w:hint="eastAsia"/>
          <w:color w:val="000000" w:themeColor="text1"/>
          <w:kern w:val="0"/>
        </w:rPr>
        <w:t>根据砚山县气象站</w:t>
      </w:r>
      <w:r>
        <w:rPr>
          <w:color w:val="000000" w:themeColor="text1"/>
          <w:kern w:val="0"/>
        </w:rPr>
        <w:t>2016</w:t>
      </w:r>
      <w:r>
        <w:rPr>
          <w:rFonts w:hint="eastAsia"/>
          <w:color w:val="000000" w:themeColor="text1"/>
          <w:kern w:val="0"/>
        </w:rPr>
        <w:t>年一月至十二月全年的地面气象观测资料按</w:t>
      </w:r>
      <w:r>
        <w:rPr>
          <w:color w:val="000000" w:themeColor="text1"/>
          <w:kern w:val="0"/>
        </w:rPr>
        <w:t>16</w:t>
      </w:r>
      <w:r>
        <w:rPr>
          <w:rFonts w:hint="eastAsia"/>
          <w:color w:val="000000" w:themeColor="text1"/>
          <w:kern w:val="0"/>
        </w:rPr>
        <w:t>个风向方位统计其平均风速及年平均风速，见表6</w:t>
      </w:r>
      <w:r>
        <w:rPr>
          <w:color w:val="000000" w:themeColor="text1"/>
          <w:kern w:val="0"/>
        </w:rPr>
        <w:t>.</w:t>
      </w:r>
      <w:r>
        <w:rPr>
          <w:rFonts w:hint="eastAsia"/>
          <w:color w:val="000000" w:themeColor="text1"/>
          <w:kern w:val="0"/>
        </w:rPr>
        <w:t>1.1</w:t>
      </w:r>
      <w:r>
        <w:rPr>
          <w:color w:val="000000" w:themeColor="text1"/>
          <w:kern w:val="0"/>
        </w:rPr>
        <w:t>-3</w:t>
      </w:r>
      <w:r>
        <w:rPr>
          <w:rFonts w:hint="eastAsia"/>
          <w:color w:val="000000" w:themeColor="text1"/>
          <w:kern w:val="0"/>
        </w:rPr>
        <w:t>，结果表明：项目所处区域年平均风速为</w:t>
      </w:r>
      <w:r>
        <w:rPr>
          <w:color w:val="000000" w:themeColor="text1"/>
          <w:kern w:val="0"/>
        </w:rPr>
        <w:t>3.1m/s</w:t>
      </w:r>
      <w:r>
        <w:rPr>
          <w:rFonts w:hint="eastAsia"/>
          <w:color w:val="000000" w:themeColor="text1"/>
          <w:kern w:val="0"/>
        </w:rPr>
        <w:t>，月均风速最大为</w:t>
      </w:r>
      <w:r>
        <w:rPr>
          <w:color w:val="000000" w:themeColor="text1"/>
          <w:kern w:val="0"/>
        </w:rPr>
        <w:t>4.08m/s</w:t>
      </w:r>
      <w:r>
        <w:rPr>
          <w:rFonts w:hint="eastAsia"/>
          <w:color w:val="000000" w:themeColor="text1"/>
          <w:kern w:val="0"/>
        </w:rPr>
        <w:t>，最小为</w:t>
      </w:r>
      <w:r>
        <w:rPr>
          <w:color w:val="000000" w:themeColor="text1"/>
          <w:kern w:val="0"/>
        </w:rPr>
        <w:t>1.85m/s</w:t>
      </w:r>
      <w:r>
        <w:rPr>
          <w:rFonts w:hint="eastAsia"/>
          <w:color w:val="000000" w:themeColor="text1"/>
          <w:kern w:val="0"/>
        </w:rPr>
        <w:t>。以各月平均风速比较，冬季、春季较夏季、秋季月均风速大，各月平均风速基本达到</w:t>
      </w:r>
      <w:r>
        <w:rPr>
          <w:color w:val="000000" w:themeColor="text1"/>
          <w:kern w:val="0"/>
        </w:rPr>
        <w:t>1.0m/s</w:t>
      </w:r>
      <w:r>
        <w:rPr>
          <w:rFonts w:hint="eastAsia"/>
          <w:color w:val="000000" w:themeColor="text1"/>
          <w:kern w:val="0"/>
        </w:rPr>
        <w:t>以上。从各风向位平均风速的分布情况可以看出，风速分布呈现</w:t>
      </w:r>
      <w:r>
        <w:rPr>
          <w:color w:val="000000" w:themeColor="text1"/>
          <w:kern w:val="0"/>
        </w:rPr>
        <w:t>SSE—SSW</w:t>
      </w:r>
      <w:r>
        <w:rPr>
          <w:rFonts w:hint="eastAsia"/>
          <w:color w:val="000000" w:themeColor="text1"/>
          <w:kern w:val="0"/>
        </w:rPr>
        <w:t>风向带平均风速相对较大，其他风向带风速相对小的显著特征，且</w:t>
      </w:r>
      <w:r>
        <w:rPr>
          <w:color w:val="000000" w:themeColor="text1"/>
          <w:kern w:val="0"/>
        </w:rPr>
        <w:t>S</w:t>
      </w:r>
      <w:r>
        <w:rPr>
          <w:rFonts w:hint="eastAsia"/>
          <w:color w:val="000000" w:themeColor="text1"/>
          <w:kern w:val="0"/>
        </w:rPr>
        <w:t>风向带平均风速高于年平均风速及月均最大风速，这一结果表明该地区大气污染物向西南方向的输送能力相对较强。从总体上看该区域风速冬季、春季与夏季、秋季月均风速比较差别较大，冬季、春季风速较大利于污染物扩散，夏季、秋季风速较小对污染物扩散不利。</w:t>
      </w:r>
    </w:p>
    <w:p>
      <w:pPr>
        <w:widowControl/>
        <w:ind w:firstLine="480"/>
        <w:jc w:val="left"/>
        <w:rPr>
          <w:color w:val="000000" w:themeColor="text1"/>
          <w:kern w:val="0"/>
        </w:rPr>
        <w:sectPr>
          <w:pgSz w:w="11906" w:h="16838"/>
          <w:pgMar w:top="1440" w:right="1797" w:bottom="1440" w:left="1797" w:header="851" w:footer="992" w:gutter="0"/>
          <w:cols w:space="720" w:num="1"/>
        </w:sectPr>
      </w:pPr>
    </w:p>
    <w:p>
      <w:pPr>
        <w:pStyle w:val="54"/>
        <w:rPr>
          <w:color w:val="000000" w:themeColor="text1"/>
        </w:rPr>
      </w:pPr>
      <w:r>
        <w:rPr>
          <w:rFonts w:hint="eastAsia"/>
          <w:color w:val="000000" w:themeColor="text1"/>
        </w:rPr>
        <w:t>表6</w:t>
      </w:r>
      <w:r>
        <w:rPr>
          <w:color w:val="000000" w:themeColor="text1"/>
        </w:rPr>
        <w:t>.</w:t>
      </w:r>
      <w:r>
        <w:rPr>
          <w:rFonts w:hint="eastAsia"/>
          <w:color w:val="000000" w:themeColor="text1"/>
        </w:rPr>
        <w:t>1.1</w:t>
      </w:r>
      <w:r>
        <w:rPr>
          <w:color w:val="000000" w:themeColor="text1"/>
        </w:rPr>
        <w:t>-3  2016</w:t>
      </w:r>
      <w:r>
        <w:rPr>
          <w:rFonts w:hint="eastAsia"/>
          <w:color w:val="000000" w:themeColor="text1"/>
        </w:rPr>
        <w:t>年砚山县各月风速统计表</w:t>
      </w:r>
    </w:p>
    <w:tbl>
      <w:tblPr>
        <w:tblStyle w:val="42"/>
        <w:tblW w:w="1444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94"/>
        <w:gridCol w:w="810"/>
        <w:gridCol w:w="862"/>
        <w:gridCol w:w="776"/>
        <w:gridCol w:w="799"/>
        <w:gridCol w:w="846"/>
        <w:gridCol w:w="782"/>
        <w:gridCol w:w="779"/>
        <w:gridCol w:w="884"/>
        <w:gridCol w:w="812"/>
        <w:gridCol w:w="737"/>
        <w:gridCol w:w="740"/>
        <w:gridCol w:w="753"/>
        <w:gridCol w:w="845"/>
        <w:gridCol w:w="876"/>
        <w:gridCol w:w="69"/>
        <w:gridCol w:w="587"/>
        <w:gridCol w:w="816"/>
        <w:gridCol w:w="767"/>
        <w:gridCol w:w="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94" w:type="dxa"/>
            <w:tcBorders>
              <w:top w:val="single" w:color="auto" w:sz="4" w:space="0"/>
              <w:left w:val="single" w:color="auto" w:sz="4" w:space="0"/>
              <w:bottom w:val="single" w:color="auto" w:sz="6" w:space="0"/>
              <w:right w:val="single" w:color="auto" w:sz="6" w:space="0"/>
            </w:tcBorders>
            <w:vAlign w:val="center"/>
          </w:tcPr>
          <w:p>
            <w:pPr>
              <w:pStyle w:val="55"/>
              <w:rPr>
                <w:color w:val="000000" w:themeColor="text1"/>
                <w:kern w:val="0"/>
              </w:rPr>
            </w:pPr>
            <w:r>
              <w:rPr>
                <w:rFonts w:hint="eastAsia"/>
                <w:color w:val="000000" w:themeColor="text1"/>
                <w:kern w:val="0"/>
              </w:rPr>
              <w:t>月份</w:t>
            </w:r>
          </w:p>
        </w:tc>
        <w:tc>
          <w:tcPr>
            <w:tcW w:w="810" w:type="dxa"/>
            <w:tcBorders>
              <w:top w:val="single" w:color="auto" w:sz="4"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N</w:t>
            </w:r>
          </w:p>
        </w:tc>
        <w:tc>
          <w:tcPr>
            <w:tcW w:w="862" w:type="dxa"/>
            <w:tcBorders>
              <w:top w:val="single" w:color="auto" w:sz="4"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NNE</w:t>
            </w:r>
          </w:p>
        </w:tc>
        <w:tc>
          <w:tcPr>
            <w:tcW w:w="776" w:type="dxa"/>
            <w:tcBorders>
              <w:top w:val="single" w:color="auto" w:sz="4"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NE</w:t>
            </w:r>
          </w:p>
        </w:tc>
        <w:tc>
          <w:tcPr>
            <w:tcW w:w="799" w:type="dxa"/>
            <w:tcBorders>
              <w:top w:val="single" w:color="auto" w:sz="4"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ENE</w:t>
            </w:r>
          </w:p>
        </w:tc>
        <w:tc>
          <w:tcPr>
            <w:tcW w:w="846" w:type="dxa"/>
            <w:tcBorders>
              <w:top w:val="single" w:color="auto" w:sz="4"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E</w:t>
            </w:r>
          </w:p>
        </w:tc>
        <w:tc>
          <w:tcPr>
            <w:tcW w:w="782" w:type="dxa"/>
            <w:tcBorders>
              <w:top w:val="single" w:color="auto" w:sz="4"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ESE</w:t>
            </w:r>
          </w:p>
        </w:tc>
        <w:tc>
          <w:tcPr>
            <w:tcW w:w="779" w:type="dxa"/>
            <w:tcBorders>
              <w:top w:val="single" w:color="auto" w:sz="4"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SE</w:t>
            </w:r>
          </w:p>
        </w:tc>
        <w:tc>
          <w:tcPr>
            <w:tcW w:w="884" w:type="dxa"/>
            <w:tcBorders>
              <w:top w:val="single" w:color="auto" w:sz="4"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SSE</w:t>
            </w:r>
          </w:p>
        </w:tc>
        <w:tc>
          <w:tcPr>
            <w:tcW w:w="812" w:type="dxa"/>
            <w:tcBorders>
              <w:top w:val="single" w:color="auto" w:sz="4"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S</w:t>
            </w:r>
          </w:p>
        </w:tc>
        <w:tc>
          <w:tcPr>
            <w:tcW w:w="737" w:type="dxa"/>
            <w:tcBorders>
              <w:top w:val="single" w:color="auto" w:sz="4"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SSW</w:t>
            </w:r>
          </w:p>
        </w:tc>
        <w:tc>
          <w:tcPr>
            <w:tcW w:w="740" w:type="dxa"/>
            <w:tcBorders>
              <w:top w:val="single" w:color="auto" w:sz="4"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SW</w:t>
            </w:r>
          </w:p>
        </w:tc>
        <w:tc>
          <w:tcPr>
            <w:tcW w:w="753" w:type="dxa"/>
            <w:tcBorders>
              <w:top w:val="single" w:color="auto" w:sz="4"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WSW</w:t>
            </w:r>
          </w:p>
        </w:tc>
        <w:tc>
          <w:tcPr>
            <w:tcW w:w="845" w:type="dxa"/>
            <w:tcBorders>
              <w:top w:val="single" w:color="auto" w:sz="4"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W</w:t>
            </w:r>
          </w:p>
        </w:tc>
        <w:tc>
          <w:tcPr>
            <w:tcW w:w="945" w:type="dxa"/>
            <w:gridSpan w:val="2"/>
            <w:tcBorders>
              <w:top w:val="single" w:color="auto" w:sz="4"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WNW</w:t>
            </w:r>
          </w:p>
        </w:tc>
        <w:tc>
          <w:tcPr>
            <w:tcW w:w="587" w:type="dxa"/>
            <w:tcBorders>
              <w:top w:val="single" w:color="auto" w:sz="4"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NW</w:t>
            </w:r>
          </w:p>
        </w:tc>
        <w:tc>
          <w:tcPr>
            <w:tcW w:w="816" w:type="dxa"/>
            <w:tcBorders>
              <w:top w:val="single" w:color="auto" w:sz="4"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NNW</w:t>
            </w:r>
          </w:p>
        </w:tc>
        <w:tc>
          <w:tcPr>
            <w:tcW w:w="776" w:type="dxa"/>
            <w:gridSpan w:val="2"/>
            <w:tcBorders>
              <w:top w:val="single" w:color="auto" w:sz="4" w:space="0"/>
              <w:left w:val="single" w:color="auto" w:sz="6" w:space="0"/>
              <w:bottom w:val="single" w:color="auto" w:sz="6" w:space="0"/>
              <w:right w:val="single" w:color="auto" w:sz="4" w:space="0"/>
            </w:tcBorders>
            <w:vAlign w:val="center"/>
          </w:tcPr>
          <w:p>
            <w:pPr>
              <w:pStyle w:val="55"/>
              <w:rPr>
                <w:color w:val="000000" w:themeColor="text1"/>
                <w:kern w:val="0"/>
              </w:rPr>
            </w:pPr>
            <w:r>
              <w:rPr>
                <w:rFonts w:hint="eastAsia"/>
                <w:color w:val="000000" w:themeColor="text1"/>
                <w:kern w:val="0"/>
              </w:rPr>
              <w:t>平均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9" w:type="dxa"/>
          <w:trHeight w:val="285" w:hRule="atLeast"/>
          <w:jc w:val="center"/>
        </w:trPr>
        <w:tc>
          <w:tcPr>
            <w:tcW w:w="894" w:type="dxa"/>
            <w:tcBorders>
              <w:top w:val="single" w:color="auto" w:sz="6" w:space="0"/>
              <w:left w:val="single" w:color="auto" w:sz="4" w:space="0"/>
              <w:bottom w:val="single" w:color="auto" w:sz="6" w:space="0"/>
              <w:right w:val="single" w:color="auto" w:sz="6" w:space="0"/>
            </w:tcBorders>
            <w:vAlign w:val="center"/>
          </w:tcPr>
          <w:p>
            <w:pPr>
              <w:pStyle w:val="55"/>
              <w:rPr>
                <w:color w:val="000000" w:themeColor="text1"/>
                <w:kern w:val="0"/>
              </w:rPr>
            </w:pPr>
            <w:r>
              <w:rPr>
                <w:rFonts w:hint="eastAsia"/>
                <w:color w:val="000000" w:themeColor="text1"/>
                <w:kern w:val="0"/>
              </w:rPr>
              <w:t>一月</w:t>
            </w:r>
          </w:p>
        </w:tc>
        <w:tc>
          <w:tcPr>
            <w:tcW w:w="810"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2.84</w:t>
            </w:r>
          </w:p>
        </w:tc>
        <w:tc>
          <w:tcPr>
            <w:tcW w:w="86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2.88</w:t>
            </w:r>
          </w:p>
        </w:tc>
        <w:tc>
          <w:tcPr>
            <w:tcW w:w="77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2.5</w:t>
            </w:r>
          </w:p>
        </w:tc>
        <w:tc>
          <w:tcPr>
            <w:tcW w:w="799"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1.73</w:t>
            </w:r>
          </w:p>
        </w:tc>
        <w:tc>
          <w:tcPr>
            <w:tcW w:w="84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1.66</w:t>
            </w:r>
          </w:p>
        </w:tc>
        <w:tc>
          <w:tcPr>
            <w:tcW w:w="78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1.79</w:t>
            </w:r>
          </w:p>
        </w:tc>
        <w:tc>
          <w:tcPr>
            <w:tcW w:w="779"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3.52</w:t>
            </w:r>
          </w:p>
        </w:tc>
        <w:tc>
          <w:tcPr>
            <w:tcW w:w="884"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3.94</w:t>
            </w:r>
          </w:p>
        </w:tc>
        <w:tc>
          <w:tcPr>
            <w:tcW w:w="81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4.71</w:t>
            </w:r>
          </w:p>
        </w:tc>
        <w:tc>
          <w:tcPr>
            <w:tcW w:w="737"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3.66</w:t>
            </w:r>
          </w:p>
        </w:tc>
        <w:tc>
          <w:tcPr>
            <w:tcW w:w="740"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2.64</w:t>
            </w:r>
          </w:p>
        </w:tc>
        <w:tc>
          <w:tcPr>
            <w:tcW w:w="75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2.06</w:t>
            </w:r>
          </w:p>
        </w:tc>
        <w:tc>
          <w:tcPr>
            <w:tcW w:w="845"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1.08</w:t>
            </w:r>
          </w:p>
        </w:tc>
        <w:tc>
          <w:tcPr>
            <w:tcW w:w="87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0.99</w:t>
            </w:r>
          </w:p>
        </w:tc>
        <w:tc>
          <w:tcPr>
            <w:tcW w:w="656" w:type="dxa"/>
            <w:gridSpan w:val="2"/>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1.4</w:t>
            </w:r>
          </w:p>
        </w:tc>
        <w:tc>
          <w:tcPr>
            <w:tcW w:w="81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1.98</w:t>
            </w:r>
          </w:p>
        </w:tc>
        <w:tc>
          <w:tcPr>
            <w:tcW w:w="767" w:type="dxa"/>
            <w:tcBorders>
              <w:top w:val="single" w:color="auto" w:sz="6" w:space="0"/>
              <w:left w:val="single" w:color="auto" w:sz="6" w:space="0"/>
              <w:bottom w:val="single" w:color="auto" w:sz="6" w:space="0"/>
              <w:right w:val="single" w:color="auto" w:sz="4" w:space="0"/>
            </w:tcBorders>
            <w:vAlign w:val="center"/>
          </w:tcPr>
          <w:p>
            <w:pPr>
              <w:pStyle w:val="55"/>
              <w:rPr>
                <w:color w:val="000000" w:themeColor="text1"/>
                <w:kern w:val="0"/>
              </w:rPr>
            </w:pPr>
            <w:r>
              <w:rPr>
                <w:color w:val="000000" w:themeColor="text1"/>
                <w:kern w:val="0"/>
              </w:rPr>
              <w:t>3.24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9" w:type="dxa"/>
          <w:trHeight w:val="285" w:hRule="atLeast"/>
          <w:jc w:val="center"/>
        </w:trPr>
        <w:tc>
          <w:tcPr>
            <w:tcW w:w="894" w:type="dxa"/>
            <w:tcBorders>
              <w:top w:val="single" w:color="auto" w:sz="6" w:space="0"/>
              <w:left w:val="single" w:color="auto" w:sz="4" w:space="0"/>
              <w:bottom w:val="single" w:color="auto" w:sz="6" w:space="0"/>
              <w:right w:val="single" w:color="auto" w:sz="6" w:space="0"/>
            </w:tcBorders>
            <w:vAlign w:val="center"/>
          </w:tcPr>
          <w:p>
            <w:pPr>
              <w:pStyle w:val="55"/>
              <w:rPr>
                <w:color w:val="000000" w:themeColor="text1"/>
                <w:kern w:val="0"/>
              </w:rPr>
            </w:pPr>
            <w:r>
              <w:rPr>
                <w:rFonts w:hint="eastAsia"/>
                <w:color w:val="000000" w:themeColor="text1"/>
                <w:kern w:val="0"/>
              </w:rPr>
              <w:t>二月</w:t>
            </w:r>
          </w:p>
        </w:tc>
        <w:tc>
          <w:tcPr>
            <w:tcW w:w="810"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2.61</w:t>
            </w:r>
          </w:p>
        </w:tc>
        <w:tc>
          <w:tcPr>
            <w:tcW w:w="86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2.44</w:t>
            </w:r>
          </w:p>
        </w:tc>
        <w:tc>
          <w:tcPr>
            <w:tcW w:w="77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2.21</w:t>
            </w:r>
          </w:p>
        </w:tc>
        <w:tc>
          <w:tcPr>
            <w:tcW w:w="799"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2.03</w:t>
            </w:r>
          </w:p>
        </w:tc>
        <w:tc>
          <w:tcPr>
            <w:tcW w:w="84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1.35</w:t>
            </w:r>
          </w:p>
        </w:tc>
        <w:tc>
          <w:tcPr>
            <w:tcW w:w="78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1.26</w:t>
            </w:r>
          </w:p>
        </w:tc>
        <w:tc>
          <w:tcPr>
            <w:tcW w:w="779"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2.75</w:t>
            </w:r>
          </w:p>
        </w:tc>
        <w:tc>
          <w:tcPr>
            <w:tcW w:w="884"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3.69</w:t>
            </w:r>
          </w:p>
        </w:tc>
        <w:tc>
          <w:tcPr>
            <w:tcW w:w="81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4.28</w:t>
            </w:r>
          </w:p>
        </w:tc>
        <w:tc>
          <w:tcPr>
            <w:tcW w:w="737"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3.66</w:t>
            </w:r>
          </w:p>
        </w:tc>
        <w:tc>
          <w:tcPr>
            <w:tcW w:w="740"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3.52</w:t>
            </w:r>
          </w:p>
        </w:tc>
        <w:tc>
          <w:tcPr>
            <w:tcW w:w="75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3.85</w:t>
            </w:r>
          </w:p>
        </w:tc>
        <w:tc>
          <w:tcPr>
            <w:tcW w:w="845"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3.52</w:t>
            </w:r>
          </w:p>
        </w:tc>
        <w:tc>
          <w:tcPr>
            <w:tcW w:w="87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2.58</w:t>
            </w:r>
          </w:p>
        </w:tc>
        <w:tc>
          <w:tcPr>
            <w:tcW w:w="656" w:type="dxa"/>
            <w:gridSpan w:val="2"/>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1.65</w:t>
            </w:r>
          </w:p>
        </w:tc>
        <w:tc>
          <w:tcPr>
            <w:tcW w:w="81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0.98</w:t>
            </w:r>
          </w:p>
        </w:tc>
        <w:tc>
          <w:tcPr>
            <w:tcW w:w="767" w:type="dxa"/>
            <w:tcBorders>
              <w:top w:val="single" w:color="auto" w:sz="6" w:space="0"/>
              <w:left w:val="single" w:color="auto" w:sz="6" w:space="0"/>
              <w:bottom w:val="single" w:color="auto" w:sz="6" w:space="0"/>
              <w:right w:val="single" w:color="auto" w:sz="4" w:space="0"/>
            </w:tcBorders>
            <w:vAlign w:val="center"/>
          </w:tcPr>
          <w:p>
            <w:pPr>
              <w:pStyle w:val="55"/>
              <w:rPr>
                <w:color w:val="000000" w:themeColor="text1"/>
                <w:kern w:val="0"/>
              </w:rPr>
            </w:pPr>
            <w:r>
              <w:rPr>
                <w:color w:val="000000" w:themeColor="text1"/>
                <w:kern w:val="0"/>
              </w:rPr>
              <w:t>3.57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9" w:type="dxa"/>
          <w:trHeight w:val="285" w:hRule="atLeast"/>
          <w:jc w:val="center"/>
        </w:trPr>
        <w:tc>
          <w:tcPr>
            <w:tcW w:w="894" w:type="dxa"/>
            <w:tcBorders>
              <w:top w:val="single" w:color="auto" w:sz="6" w:space="0"/>
              <w:left w:val="single" w:color="auto" w:sz="4" w:space="0"/>
              <w:bottom w:val="single" w:color="auto" w:sz="6" w:space="0"/>
              <w:right w:val="single" w:color="auto" w:sz="6" w:space="0"/>
            </w:tcBorders>
            <w:vAlign w:val="center"/>
          </w:tcPr>
          <w:p>
            <w:pPr>
              <w:pStyle w:val="55"/>
              <w:rPr>
                <w:color w:val="000000" w:themeColor="text1"/>
                <w:kern w:val="0"/>
              </w:rPr>
            </w:pPr>
            <w:r>
              <w:rPr>
                <w:rFonts w:hint="eastAsia"/>
                <w:color w:val="000000" w:themeColor="text1"/>
                <w:kern w:val="0"/>
              </w:rPr>
              <w:t>三月</w:t>
            </w:r>
          </w:p>
        </w:tc>
        <w:tc>
          <w:tcPr>
            <w:tcW w:w="810"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2.95</w:t>
            </w:r>
          </w:p>
        </w:tc>
        <w:tc>
          <w:tcPr>
            <w:tcW w:w="86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3.33</w:t>
            </w:r>
          </w:p>
        </w:tc>
        <w:tc>
          <w:tcPr>
            <w:tcW w:w="77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2.87</w:t>
            </w:r>
          </w:p>
        </w:tc>
        <w:tc>
          <w:tcPr>
            <w:tcW w:w="799"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1.9</w:t>
            </w:r>
          </w:p>
        </w:tc>
        <w:tc>
          <w:tcPr>
            <w:tcW w:w="84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1.96</w:t>
            </w:r>
          </w:p>
        </w:tc>
        <w:tc>
          <w:tcPr>
            <w:tcW w:w="78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2.19</w:t>
            </w:r>
          </w:p>
        </w:tc>
        <w:tc>
          <w:tcPr>
            <w:tcW w:w="779"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3.39</w:t>
            </w:r>
          </w:p>
        </w:tc>
        <w:tc>
          <w:tcPr>
            <w:tcW w:w="884"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3.75</w:t>
            </w:r>
          </w:p>
        </w:tc>
        <w:tc>
          <w:tcPr>
            <w:tcW w:w="81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4.62</w:t>
            </w:r>
          </w:p>
        </w:tc>
        <w:tc>
          <w:tcPr>
            <w:tcW w:w="737"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3.97</w:t>
            </w:r>
          </w:p>
        </w:tc>
        <w:tc>
          <w:tcPr>
            <w:tcW w:w="740"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4.43</w:t>
            </w:r>
          </w:p>
        </w:tc>
        <w:tc>
          <w:tcPr>
            <w:tcW w:w="75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6.16</w:t>
            </w:r>
          </w:p>
        </w:tc>
        <w:tc>
          <w:tcPr>
            <w:tcW w:w="845"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5.64</w:t>
            </w:r>
          </w:p>
        </w:tc>
        <w:tc>
          <w:tcPr>
            <w:tcW w:w="87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4.5</w:t>
            </w:r>
          </w:p>
        </w:tc>
        <w:tc>
          <w:tcPr>
            <w:tcW w:w="656" w:type="dxa"/>
            <w:gridSpan w:val="2"/>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0</w:t>
            </w:r>
          </w:p>
        </w:tc>
        <w:tc>
          <w:tcPr>
            <w:tcW w:w="81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2.56</w:t>
            </w:r>
          </w:p>
        </w:tc>
        <w:tc>
          <w:tcPr>
            <w:tcW w:w="767" w:type="dxa"/>
            <w:tcBorders>
              <w:top w:val="single" w:color="auto" w:sz="6" w:space="0"/>
              <w:left w:val="single" w:color="auto" w:sz="6" w:space="0"/>
              <w:bottom w:val="single" w:color="auto" w:sz="6" w:space="0"/>
              <w:right w:val="single" w:color="auto" w:sz="4" w:space="0"/>
            </w:tcBorders>
            <w:vAlign w:val="center"/>
          </w:tcPr>
          <w:p>
            <w:pPr>
              <w:pStyle w:val="55"/>
              <w:rPr>
                <w:color w:val="000000" w:themeColor="text1"/>
                <w:kern w:val="0"/>
              </w:rPr>
            </w:pPr>
            <w:r>
              <w:rPr>
                <w:color w:val="000000" w:themeColor="text1"/>
                <w:kern w:val="0"/>
              </w:rPr>
              <w:t>4.08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9" w:type="dxa"/>
          <w:trHeight w:val="285" w:hRule="atLeast"/>
          <w:jc w:val="center"/>
        </w:trPr>
        <w:tc>
          <w:tcPr>
            <w:tcW w:w="894" w:type="dxa"/>
            <w:tcBorders>
              <w:top w:val="single" w:color="auto" w:sz="6" w:space="0"/>
              <w:left w:val="single" w:color="auto" w:sz="4" w:space="0"/>
              <w:bottom w:val="single" w:color="auto" w:sz="6" w:space="0"/>
              <w:right w:val="single" w:color="auto" w:sz="6" w:space="0"/>
            </w:tcBorders>
            <w:vAlign w:val="center"/>
          </w:tcPr>
          <w:p>
            <w:pPr>
              <w:pStyle w:val="55"/>
              <w:rPr>
                <w:color w:val="000000" w:themeColor="text1"/>
                <w:kern w:val="0"/>
              </w:rPr>
            </w:pPr>
            <w:r>
              <w:rPr>
                <w:rFonts w:hint="eastAsia"/>
                <w:color w:val="000000" w:themeColor="text1"/>
                <w:kern w:val="0"/>
              </w:rPr>
              <w:t>四月</w:t>
            </w:r>
          </w:p>
        </w:tc>
        <w:tc>
          <w:tcPr>
            <w:tcW w:w="810"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3.21</w:t>
            </w:r>
          </w:p>
        </w:tc>
        <w:tc>
          <w:tcPr>
            <w:tcW w:w="86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3.12</w:t>
            </w:r>
          </w:p>
        </w:tc>
        <w:tc>
          <w:tcPr>
            <w:tcW w:w="77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3.13</w:t>
            </w:r>
          </w:p>
        </w:tc>
        <w:tc>
          <w:tcPr>
            <w:tcW w:w="799"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2.36</w:t>
            </w:r>
          </w:p>
        </w:tc>
        <w:tc>
          <w:tcPr>
            <w:tcW w:w="84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1.9</w:t>
            </w:r>
          </w:p>
        </w:tc>
        <w:tc>
          <w:tcPr>
            <w:tcW w:w="78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2.07</w:t>
            </w:r>
          </w:p>
        </w:tc>
        <w:tc>
          <w:tcPr>
            <w:tcW w:w="779"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2.83</w:t>
            </w:r>
          </w:p>
        </w:tc>
        <w:tc>
          <w:tcPr>
            <w:tcW w:w="884"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3.41</w:t>
            </w:r>
          </w:p>
        </w:tc>
        <w:tc>
          <w:tcPr>
            <w:tcW w:w="81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4.01</w:t>
            </w:r>
          </w:p>
        </w:tc>
        <w:tc>
          <w:tcPr>
            <w:tcW w:w="737"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3.04</w:t>
            </w:r>
          </w:p>
        </w:tc>
        <w:tc>
          <w:tcPr>
            <w:tcW w:w="740"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3.55</w:t>
            </w:r>
          </w:p>
        </w:tc>
        <w:tc>
          <w:tcPr>
            <w:tcW w:w="75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3.73</w:t>
            </w:r>
          </w:p>
        </w:tc>
        <w:tc>
          <w:tcPr>
            <w:tcW w:w="845"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3.22</w:t>
            </w:r>
          </w:p>
        </w:tc>
        <w:tc>
          <w:tcPr>
            <w:tcW w:w="87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2.05</w:t>
            </w:r>
          </w:p>
        </w:tc>
        <w:tc>
          <w:tcPr>
            <w:tcW w:w="656" w:type="dxa"/>
            <w:gridSpan w:val="2"/>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2.83</w:t>
            </w:r>
          </w:p>
        </w:tc>
        <w:tc>
          <w:tcPr>
            <w:tcW w:w="81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1.73</w:t>
            </w:r>
          </w:p>
        </w:tc>
        <w:tc>
          <w:tcPr>
            <w:tcW w:w="767" w:type="dxa"/>
            <w:tcBorders>
              <w:top w:val="single" w:color="auto" w:sz="6" w:space="0"/>
              <w:left w:val="single" w:color="auto" w:sz="6" w:space="0"/>
              <w:bottom w:val="single" w:color="auto" w:sz="6" w:space="0"/>
              <w:right w:val="single" w:color="auto" w:sz="4" w:space="0"/>
            </w:tcBorders>
            <w:vAlign w:val="center"/>
          </w:tcPr>
          <w:p>
            <w:pPr>
              <w:pStyle w:val="55"/>
              <w:rPr>
                <w:color w:val="000000" w:themeColor="text1"/>
                <w:kern w:val="0"/>
              </w:rPr>
            </w:pPr>
            <w:r>
              <w:rPr>
                <w:color w:val="000000" w:themeColor="text1"/>
                <w:kern w:val="0"/>
              </w:rPr>
              <w:t>3.14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9" w:type="dxa"/>
          <w:trHeight w:val="285" w:hRule="atLeast"/>
          <w:jc w:val="center"/>
        </w:trPr>
        <w:tc>
          <w:tcPr>
            <w:tcW w:w="894" w:type="dxa"/>
            <w:tcBorders>
              <w:top w:val="single" w:color="auto" w:sz="6" w:space="0"/>
              <w:left w:val="single" w:color="auto" w:sz="4" w:space="0"/>
              <w:bottom w:val="single" w:color="auto" w:sz="6" w:space="0"/>
              <w:right w:val="single" w:color="auto" w:sz="6" w:space="0"/>
            </w:tcBorders>
            <w:vAlign w:val="center"/>
          </w:tcPr>
          <w:p>
            <w:pPr>
              <w:pStyle w:val="55"/>
              <w:rPr>
                <w:color w:val="000000" w:themeColor="text1"/>
                <w:kern w:val="0"/>
              </w:rPr>
            </w:pPr>
            <w:r>
              <w:rPr>
                <w:rFonts w:hint="eastAsia"/>
                <w:color w:val="000000" w:themeColor="text1"/>
                <w:kern w:val="0"/>
              </w:rPr>
              <w:t>五月</w:t>
            </w:r>
          </w:p>
        </w:tc>
        <w:tc>
          <w:tcPr>
            <w:tcW w:w="810"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3.61</w:t>
            </w:r>
          </w:p>
        </w:tc>
        <w:tc>
          <w:tcPr>
            <w:tcW w:w="86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3.27</w:t>
            </w:r>
          </w:p>
        </w:tc>
        <w:tc>
          <w:tcPr>
            <w:tcW w:w="77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2.54</w:t>
            </w:r>
          </w:p>
        </w:tc>
        <w:tc>
          <w:tcPr>
            <w:tcW w:w="799"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2.44</w:t>
            </w:r>
          </w:p>
        </w:tc>
        <w:tc>
          <w:tcPr>
            <w:tcW w:w="84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2.15</w:t>
            </w:r>
          </w:p>
        </w:tc>
        <w:tc>
          <w:tcPr>
            <w:tcW w:w="78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2.09</w:t>
            </w:r>
          </w:p>
        </w:tc>
        <w:tc>
          <w:tcPr>
            <w:tcW w:w="779"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3.41</w:t>
            </w:r>
          </w:p>
        </w:tc>
        <w:tc>
          <w:tcPr>
            <w:tcW w:w="884"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3.61</w:t>
            </w:r>
          </w:p>
        </w:tc>
        <w:tc>
          <w:tcPr>
            <w:tcW w:w="81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3.27</w:t>
            </w:r>
          </w:p>
        </w:tc>
        <w:tc>
          <w:tcPr>
            <w:tcW w:w="737"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2.74</w:t>
            </w:r>
          </w:p>
        </w:tc>
        <w:tc>
          <w:tcPr>
            <w:tcW w:w="740"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3.21</w:t>
            </w:r>
          </w:p>
        </w:tc>
        <w:tc>
          <w:tcPr>
            <w:tcW w:w="75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2.65</w:t>
            </w:r>
          </w:p>
        </w:tc>
        <w:tc>
          <w:tcPr>
            <w:tcW w:w="845"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1.55</w:t>
            </w:r>
          </w:p>
        </w:tc>
        <w:tc>
          <w:tcPr>
            <w:tcW w:w="87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1.89</w:t>
            </w:r>
          </w:p>
        </w:tc>
        <w:tc>
          <w:tcPr>
            <w:tcW w:w="656" w:type="dxa"/>
            <w:gridSpan w:val="2"/>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1.61</w:t>
            </w:r>
          </w:p>
        </w:tc>
        <w:tc>
          <w:tcPr>
            <w:tcW w:w="81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1.95</w:t>
            </w:r>
          </w:p>
        </w:tc>
        <w:tc>
          <w:tcPr>
            <w:tcW w:w="767" w:type="dxa"/>
            <w:tcBorders>
              <w:top w:val="single" w:color="auto" w:sz="6" w:space="0"/>
              <w:left w:val="single" w:color="auto" w:sz="6" w:space="0"/>
              <w:bottom w:val="single" w:color="auto" w:sz="6" w:space="0"/>
              <w:right w:val="single" w:color="auto" w:sz="4" w:space="0"/>
            </w:tcBorders>
            <w:vAlign w:val="center"/>
          </w:tcPr>
          <w:p>
            <w:pPr>
              <w:pStyle w:val="55"/>
              <w:rPr>
                <w:color w:val="000000" w:themeColor="text1"/>
                <w:kern w:val="0"/>
              </w:rPr>
            </w:pPr>
            <w:r>
              <w:rPr>
                <w:color w:val="000000" w:themeColor="text1"/>
                <w:kern w:val="0"/>
              </w:rPr>
              <w:t>3.07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9" w:type="dxa"/>
          <w:trHeight w:val="285" w:hRule="atLeast"/>
          <w:jc w:val="center"/>
        </w:trPr>
        <w:tc>
          <w:tcPr>
            <w:tcW w:w="894" w:type="dxa"/>
            <w:tcBorders>
              <w:top w:val="single" w:color="auto" w:sz="6" w:space="0"/>
              <w:left w:val="single" w:color="auto" w:sz="4" w:space="0"/>
              <w:bottom w:val="single" w:color="auto" w:sz="6" w:space="0"/>
              <w:right w:val="single" w:color="auto" w:sz="6" w:space="0"/>
            </w:tcBorders>
            <w:vAlign w:val="center"/>
          </w:tcPr>
          <w:p>
            <w:pPr>
              <w:pStyle w:val="55"/>
              <w:rPr>
                <w:color w:val="000000" w:themeColor="text1"/>
                <w:kern w:val="0"/>
              </w:rPr>
            </w:pPr>
            <w:r>
              <w:rPr>
                <w:rFonts w:hint="eastAsia"/>
                <w:color w:val="000000" w:themeColor="text1"/>
                <w:kern w:val="0"/>
              </w:rPr>
              <w:t>六月</w:t>
            </w:r>
          </w:p>
        </w:tc>
        <w:tc>
          <w:tcPr>
            <w:tcW w:w="810"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2.01</w:t>
            </w:r>
          </w:p>
        </w:tc>
        <w:tc>
          <w:tcPr>
            <w:tcW w:w="86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2.56</w:t>
            </w:r>
          </w:p>
        </w:tc>
        <w:tc>
          <w:tcPr>
            <w:tcW w:w="77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2.34</w:t>
            </w:r>
          </w:p>
        </w:tc>
        <w:tc>
          <w:tcPr>
            <w:tcW w:w="799"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2.19</w:t>
            </w:r>
          </w:p>
        </w:tc>
        <w:tc>
          <w:tcPr>
            <w:tcW w:w="84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1.48</w:t>
            </w:r>
          </w:p>
        </w:tc>
        <w:tc>
          <w:tcPr>
            <w:tcW w:w="78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1.71</w:t>
            </w:r>
          </w:p>
        </w:tc>
        <w:tc>
          <w:tcPr>
            <w:tcW w:w="779"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3.31</w:t>
            </w:r>
          </w:p>
        </w:tc>
        <w:tc>
          <w:tcPr>
            <w:tcW w:w="884"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3.43</w:t>
            </w:r>
          </w:p>
        </w:tc>
        <w:tc>
          <w:tcPr>
            <w:tcW w:w="81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3.64</w:t>
            </w:r>
          </w:p>
        </w:tc>
        <w:tc>
          <w:tcPr>
            <w:tcW w:w="737"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2.56</w:t>
            </w:r>
          </w:p>
        </w:tc>
        <w:tc>
          <w:tcPr>
            <w:tcW w:w="740"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1.89</w:t>
            </w:r>
          </w:p>
        </w:tc>
        <w:tc>
          <w:tcPr>
            <w:tcW w:w="75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2.52</w:t>
            </w:r>
          </w:p>
        </w:tc>
        <w:tc>
          <w:tcPr>
            <w:tcW w:w="845"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2.23</w:t>
            </w:r>
          </w:p>
        </w:tc>
        <w:tc>
          <w:tcPr>
            <w:tcW w:w="87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2.06</w:t>
            </w:r>
          </w:p>
        </w:tc>
        <w:tc>
          <w:tcPr>
            <w:tcW w:w="656" w:type="dxa"/>
            <w:gridSpan w:val="2"/>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2.19</w:t>
            </w:r>
          </w:p>
        </w:tc>
        <w:tc>
          <w:tcPr>
            <w:tcW w:w="81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2.01</w:t>
            </w:r>
          </w:p>
        </w:tc>
        <w:tc>
          <w:tcPr>
            <w:tcW w:w="767" w:type="dxa"/>
            <w:tcBorders>
              <w:top w:val="single" w:color="auto" w:sz="6" w:space="0"/>
              <w:left w:val="single" w:color="auto" w:sz="6" w:space="0"/>
              <w:bottom w:val="single" w:color="auto" w:sz="6" w:space="0"/>
              <w:right w:val="single" w:color="auto" w:sz="4" w:space="0"/>
            </w:tcBorders>
            <w:vAlign w:val="center"/>
          </w:tcPr>
          <w:p>
            <w:pPr>
              <w:pStyle w:val="55"/>
              <w:rPr>
                <w:color w:val="000000" w:themeColor="text1"/>
                <w:kern w:val="0"/>
              </w:rPr>
            </w:pPr>
            <w:r>
              <w:rPr>
                <w:color w:val="000000" w:themeColor="text1"/>
                <w:kern w:val="0"/>
              </w:rPr>
              <w:t>2.93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9" w:type="dxa"/>
          <w:trHeight w:val="285" w:hRule="atLeast"/>
          <w:jc w:val="center"/>
        </w:trPr>
        <w:tc>
          <w:tcPr>
            <w:tcW w:w="894" w:type="dxa"/>
            <w:tcBorders>
              <w:top w:val="single" w:color="auto" w:sz="6" w:space="0"/>
              <w:left w:val="single" w:color="auto" w:sz="4" w:space="0"/>
              <w:bottom w:val="single" w:color="auto" w:sz="6" w:space="0"/>
              <w:right w:val="single" w:color="auto" w:sz="6" w:space="0"/>
            </w:tcBorders>
            <w:vAlign w:val="center"/>
          </w:tcPr>
          <w:p>
            <w:pPr>
              <w:pStyle w:val="55"/>
              <w:rPr>
                <w:color w:val="000000" w:themeColor="text1"/>
                <w:kern w:val="0"/>
              </w:rPr>
            </w:pPr>
            <w:r>
              <w:rPr>
                <w:rFonts w:hint="eastAsia"/>
                <w:color w:val="000000" w:themeColor="text1"/>
                <w:kern w:val="0"/>
              </w:rPr>
              <w:t>七月</w:t>
            </w:r>
          </w:p>
        </w:tc>
        <w:tc>
          <w:tcPr>
            <w:tcW w:w="810"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1.8</w:t>
            </w:r>
          </w:p>
        </w:tc>
        <w:tc>
          <w:tcPr>
            <w:tcW w:w="86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1.76</w:t>
            </w:r>
          </w:p>
        </w:tc>
        <w:tc>
          <w:tcPr>
            <w:tcW w:w="77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2.23</w:t>
            </w:r>
          </w:p>
        </w:tc>
        <w:tc>
          <w:tcPr>
            <w:tcW w:w="799"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1.52</w:t>
            </w:r>
          </w:p>
        </w:tc>
        <w:tc>
          <w:tcPr>
            <w:tcW w:w="84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0.49</w:t>
            </w:r>
          </w:p>
        </w:tc>
        <w:tc>
          <w:tcPr>
            <w:tcW w:w="78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2.15</w:t>
            </w:r>
          </w:p>
        </w:tc>
        <w:tc>
          <w:tcPr>
            <w:tcW w:w="779"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2.79</w:t>
            </w:r>
          </w:p>
        </w:tc>
        <w:tc>
          <w:tcPr>
            <w:tcW w:w="884"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3.01</w:t>
            </w:r>
          </w:p>
        </w:tc>
        <w:tc>
          <w:tcPr>
            <w:tcW w:w="81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3.46</w:t>
            </w:r>
          </w:p>
        </w:tc>
        <w:tc>
          <w:tcPr>
            <w:tcW w:w="737"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2.76</w:t>
            </w:r>
          </w:p>
        </w:tc>
        <w:tc>
          <w:tcPr>
            <w:tcW w:w="740"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1.77</w:t>
            </w:r>
          </w:p>
        </w:tc>
        <w:tc>
          <w:tcPr>
            <w:tcW w:w="75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2.08</w:t>
            </w:r>
          </w:p>
        </w:tc>
        <w:tc>
          <w:tcPr>
            <w:tcW w:w="845"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1.65</w:t>
            </w:r>
          </w:p>
        </w:tc>
        <w:tc>
          <w:tcPr>
            <w:tcW w:w="87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2.61</w:t>
            </w:r>
          </w:p>
        </w:tc>
        <w:tc>
          <w:tcPr>
            <w:tcW w:w="656" w:type="dxa"/>
            <w:gridSpan w:val="2"/>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3.5</w:t>
            </w:r>
          </w:p>
        </w:tc>
        <w:tc>
          <w:tcPr>
            <w:tcW w:w="81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3.06</w:t>
            </w:r>
          </w:p>
        </w:tc>
        <w:tc>
          <w:tcPr>
            <w:tcW w:w="767" w:type="dxa"/>
            <w:tcBorders>
              <w:top w:val="single" w:color="auto" w:sz="6" w:space="0"/>
              <w:left w:val="single" w:color="auto" w:sz="6" w:space="0"/>
              <w:bottom w:val="single" w:color="auto" w:sz="6" w:space="0"/>
              <w:right w:val="single" w:color="auto" w:sz="4" w:space="0"/>
            </w:tcBorders>
            <w:vAlign w:val="center"/>
          </w:tcPr>
          <w:p>
            <w:pPr>
              <w:pStyle w:val="55"/>
              <w:rPr>
                <w:color w:val="000000" w:themeColor="text1"/>
                <w:kern w:val="0"/>
              </w:rPr>
            </w:pPr>
            <w:r>
              <w:rPr>
                <w:color w:val="000000" w:themeColor="text1"/>
                <w:kern w:val="0"/>
              </w:rPr>
              <w:t>2.87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9" w:type="dxa"/>
          <w:trHeight w:val="285" w:hRule="atLeast"/>
          <w:jc w:val="center"/>
        </w:trPr>
        <w:tc>
          <w:tcPr>
            <w:tcW w:w="894" w:type="dxa"/>
            <w:tcBorders>
              <w:top w:val="single" w:color="auto" w:sz="6" w:space="0"/>
              <w:left w:val="single" w:color="auto" w:sz="4" w:space="0"/>
              <w:bottom w:val="single" w:color="auto" w:sz="6" w:space="0"/>
              <w:right w:val="single" w:color="auto" w:sz="6" w:space="0"/>
            </w:tcBorders>
            <w:vAlign w:val="center"/>
          </w:tcPr>
          <w:p>
            <w:pPr>
              <w:pStyle w:val="55"/>
              <w:rPr>
                <w:color w:val="000000" w:themeColor="text1"/>
                <w:kern w:val="0"/>
              </w:rPr>
            </w:pPr>
            <w:r>
              <w:rPr>
                <w:rFonts w:hint="eastAsia"/>
                <w:color w:val="000000" w:themeColor="text1"/>
                <w:kern w:val="0"/>
              </w:rPr>
              <w:t>八月</w:t>
            </w:r>
          </w:p>
        </w:tc>
        <w:tc>
          <w:tcPr>
            <w:tcW w:w="810"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1.88</w:t>
            </w:r>
          </w:p>
        </w:tc>
        <w:tc>
          <w:tcPr>
            <w:tcW w:w="86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2.11</w:t>
            </w:r>
          </w:p>
        </w:tc>
        <w:tc>
          <w:tcPr>
            <w:tcW w:w="77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2.37</w:t>
            </w:r>
          </w:p>
        </w:tc>
        <w:tc>
          <w:tcPr>
            <w:tcW w:w="799"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1.73</w:t>
            </w:r>
          </w:p>
        </w:tc>
        <w:tc>
          <w:tcPr>
            <w:tcW w:w="84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1.5</w:t>
            </w:r>
          </w:p>
        </w:tc>
        <w:tc>
          <w:tcPr>
            <w:tcW w:w="78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1.89</w:t>
            </w:r>
          </w:p>
        </w:tc>
        <w:tc>
          <w:tcPr>
            <w:tcW w:w="779"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2.55</w:t>
            </w:r>
          </w:p>
        </w:tc>
        <w:tc>
          <w:tcPr>
            <w:tcW w:w="884"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2.32</w:t>
            </w:r>
          </w:p>
        </w:tc>
        <w:tc>
          <w:tcPr>
            <w:tcW w:w="81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1.86</w:t>
            </w:r>
          </w:p>
        </w:tc>
        <w:tc>
          <w:tcPr>
            <w:tcW w:w="737"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1.58</w:t>
            </w:r>
          </w:p>
        </w:tc>
        <w:tc>
          <w:tcPr>
            <w:tcW w:w="740"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1.22</w:t>
            </w:r>
          </w:p>
        </w:tc>
        <w:tc>
          <w:tcPr>
            <w:tcW w:w="75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1.11</w:t>
            </w:r>
          </w:p>
        </w:tc>
        <w:tc>
          <w:tcPr>
            <w:tcW w:w="845"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1.22</w:t>
            </w:r>
          </w:p>
        </w:tc>
        <w:tc>
          <w:tcPr>
            <w:tcW w:w="87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1.56</w:t>
            </w:r>
          </w:p>
        </w:tc>
        <w:tc>
          <w:tcPr>
            <w:tcW w:w="656" w:type="dxa"/>
            <w:gridSpan w:val="2"/>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1.81</w:t>
            </w:r>
          </w:p>
        </w:tc>
        <w:tc>
          <w:tcPr>
            <w:tcW w:w="81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1.85</w:t>
            </w:r>
          </w:p>
        </w:tc>
        <w:tc>
          <w:tcPr>
            <w:tcW w:w="767" w:type="dxa"/>
            <w:tcBorders>
              <w:top w:val="single" w:color="auto" w:sz="6" w:space="0"/>
              <w:left w:val="single" w:color="auto" w:sz="6" w:space="0"/>
              <w:bottom w:val="single" w:color="auto" w:sz="6" w:space="0"/>
              <w:right w:val="single" w:color="auto" w:sz="4" w:space="0"/>
            </w:tcBorders>
            <w:vAlign w:val="center"/>
          </w:tcPr>
          <w:p>
            <w:pPr>
              <w:pStyle w:val="55"/>
              <w:rPr>
                <w:color w:val="000000" w:themeColor="text1"/>
                <w:kern w:val="0"/>
              </w:rPr>
            </w:pPr>
            <w:r>
              <w:rPr>
                <w:color w:val="000000" w:themeColor="text1"/>
                <w:kern w:val="0"/>
              </w:rPr>
              <w:t>1.85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9" w:type="dxa"/>
          <w:trHeight w:val="285" w:hRule="atLeast"/>
          <w:jc w:val="center"/>
        </w:trPr>
        <w:tc>
          <w:tcPr>
            <w:tcW w:w="894" w:type="dxa"/>
            <w:tcBorders>
              <w:top w:val="single" w:color="auto" w:sz="6" w:space="0"/>
              <w:left w:val="single" w:color="auto" w:sz="4" w:space="0"/>
              <w:bottom w:val="single" w:color="auto" w:sz="6" w:space="0"/>
              <w:right w:val="single" w:color="auto" w:sz="6" w:space="0"/>
            </w:tcBorders>
            <w:vAlign w:val="center"/>
          </w:tcPr>
          <w:p>
            <w:pPr>
              <w:pStyle w:val="55"/>
              <w:rPr>
                <w:color w:val="000000" w:themeColor="text1"/>
                <w:kern w:val="0"/>
              </w:rPr>
            </w:pPr>
            <w:r>
              <w:rPr>
                <w:rFonts w:hint="eastAsia"/>
                <w:color w:val="000000" w:themeColor="text1"/>
                <w:kern w:val="0"/>
              </w:rPr>
              <w:t>九月</w:t>
            </w:r>
          </w:p>
        </w:tc>
        <w:tc>
          <w:tcPr>
            <w:tcW w:w="810"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2.77</w:t>
            </w:r>
          </w:p>
        </w:tc>
        <w:tc>
          <w:tcPr>
            <w:tcW w:w="86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3.01</w:t>
            </w:r>
          </w:p>
        </w:tc>
        <w:tc>
          <w:tcPr>
            <w:tcW w:w="77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2.72</w:t>
            </w:r>
          </w:p>
        </w:tc>
        <w:tc>
          <w:tcPr>
            <w:tcW w:w="799"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2.06</w:t>
            </w:r>
          </w:p>
        </w:tc>
        <w:tc>
          <w:tcPr>
            <w:tcW w:w="84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1.61</w:t>
            </w:r>
          </w:p>
        </w:tc>
        <w:tc>
          <w:tcPr>
            <w:tcW w:w="78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1.53</w:t>
            </w:r>
          </w:p>
        </w:tc>
        <w:tc>
          <w:tcPr>
            <w:tcW w:w="779"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2.41</w:t>
            </w:r>
          </w:p>
        </w:tc>
        <w:tc>
          <w:tcPr>
            <w:tcW w:w="884"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2.5</w:t>
            </w:r>
          </w:p>
        </w:tc>
        <w:tc>
          <w:tcPr>
            <w:tcW w:w="81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w:t>
            </w:r>
          </w:p>
        </w:tc>
        <w:tc>
          <w:tcPr>
            <w:tcW w:w="737"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1.56</w:t>
            </w:r>
          </w:p>
        </w:tc>
        <w:tc>
          <w:tcPr>
            <w:tcW w:w="740"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1.29</w:t>
            </w:r>
          </w:p>
        </w:tc>
        <w:tc>
          <w:tcPr>
            <w:tcW w:w="75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1.03</w:t>
            </w:r>
          </w:p>
        </w:tc>
        <w:tc>
          <w:tcPr>
            <w:tcW w:w="845"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1.46</w:t>
            </w:r>
          </w:p>
        </w:tc>
        <w:tc>
          <w:tcPr>
            <w:tcW w:w="87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1.21</w:t>
            </w:r>
          </w:p>
        </w:tc>
        <w:tc>
          <w:tcPr>
            <w:tcW w:w="656" w:type="dxa"/>
            <w:gridSpan w:val="2"/>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0.96</w:t>
            </w:r>
          </w:p>
        </w:tc>
        <w:tc>
          <w:tcPr>
            <w:tcW w:w="81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1.1</w:t>
            </w:r>
          </w:p>
        </w:tc>
        <w:tc>
          <w:tcPr>
            <w:tcW w:w="767" w:type="dxa"/>
            <w:tcBorders>
              <w:top w:val="single" w:color="auto" w:sz="6" w:space="0"/>
              <w:left w:val="single" w:color="auto" w:sz="6" w:space="0"/>
              <w:bottom w:val="single" w:color="auto" w:sz="6" w:space="0"/>
              <w:right w:val="single" w:color="auto" w:sz="4" w:space="0"/>
            </w:tcBorders>
            <w:vAlign w:val="center"/>
          </w:tcPr>
          <w:p>
            <w:pPr>
              <w:pStyle w:val="55"/>
              <w:rPr>
                <w:color w:val="000000" w:themeColor="text1"/>
                <w:kern w:val="0"/>
              </w:rPr>
            </w:pPr>
            <w:r>
              <w:rPr>
                <w:color w:val="000000" w:themeColor="text1"/>
                <w:kern w:val="0"/>
              </w:rPr>
              <w:t>2.18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9" w:type="dxa"/>
          <w:trHeight w:val="285" w:hRule="atLeast"/>
          <w:jc w:val="center"/>
        </w:trPr>
        <w:tc>
          <w:tcPr>
            <w:tcW w:w="894" w:type="dxa"/>
            <w:tcBorders>
              <w:top w:val="single" w:color="auto" w:sz="6" w:space="0"/>
              <w:left w:val="single" w:color="auto" w:sz="4" w:space="0"/>
              <w:bottom w:val="single" w:color="auto" w:sz="6" w:space="0"/>
              <w:right w:val="single" w:color="auto" w:sz="6" w:space="0"/>
            </w:tcBorders>
            <w:vAlign w:val="center"/>
          </w:tcPr>
          <w:p>
            <w:pPr>
              <w:pStyle w:val="55"/>
              <w:rPr>
                <w:color w:val="000000" w:themeColor="text1"/>
                <w:kern w:val="0"/>
              </w:rPr>
            </w:pPr>
            <w:r>
              <w:rPr>
                <w:rFonts w:hint="eastAsia"/>
                <w:color w:val="000000" w:themeColor="text1"/>
                <w:kern w:val="0"/>
              </w:rPr>
              <w:t>十月</w:t>
            </w:r>
          </w:p>
        </w:tc>
        <w:tc>
          <w:tcPr>
            <w:tcW w:w="810"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2.58</w:t>
            </w:r>
          </w:p>
        </w:tc>
        <w:tc>
          <w:tcPr>
            <w:tcW w:w="86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2.74</w:t>
            </w:r>
          </w:p>
        </w:tc>
        <w:tc>
          <w:tcPr>
            <w:tcW w:w="77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2.51</w:t>
            </w:r>
          </w:p>
        </w:tc>
        <w:tc>
          <w:tcPr>
            <w:tcW w:w="799"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1.9</w:t>
            </w:r>
          </w:p>
        </w:tc>
        <w:tc>
          <w:tcPr>
            <w:tcW w:w="84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2.05</w:t>
            </w:r>
          </w:p>
        </w:tc>
        <w:tc>
          <w:tcPr>
            <w:tcW w:w="78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1.86</w:t>
            </w:r>
          </w:p>
        </w:tc>
        <w:tc>
          <w:tcPr>
            <w:tcW w:w="779"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2.77</w:t>
            </w:r>
          </w:p>
        </w:tc>
        <w:tc>
          <w:tcPr>
            <w:tcW w:w="884"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3.03</w:t>
            </w:r>
          </w:p>
        </w:tc>
        <w:tc>
          <w:tcPr>
            <w:tcW w:w="81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3.02</w:t>
            </w:r>
          </w:p>
        </w:tc>
        <w:tc>
          <w:tcPr>
            <w:tcW w:w="737"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2.41</w:t>
            </w:r>
          </w:p>
        </w:tc>
        <w:tc>
          <w:tcPr>
            <w:tcW w:w="740"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1.35</w:t>
            </w:r>
          </w:p>
        </w:tc>
        <w:tc>
          <w:tcPr>
            <w:tcW w:w="75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1.07</w:t>
            </w:r>
          </w:p>
        </w:tc>
        <w:tc>
          <w:tcPr>
            <w:tcW w:w="845"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0.99</w:t>
            </w:r>
          </w:p>
        </w:tc>
        <w:tc>
          <w:tcPr>
            <w:tcW w:w="87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1.46</w:t>
            </w:r>
          </w:p>
        </w:tc>
        <w:tc>
          <w:tcPr>
            <w:tcW w:w="656" w:type="dxa"/>
            <w:gridSpan w:val="2"/>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1.17</w:t>
            </w:r>
          </w:p>
        </w:tc>
        <w:tc>
          <w:tcPr>
            <w:tcW w:w="81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1.55</w:t>
            </w:r>
          </w:p>
        </w:tc>
        <w:tc>
          <w:tcPr>
            <w:tcW w:w="767" w:type="dxa"/>
            <w:tcBorders>
              <w:top w:val="single" w:color="auto" w:sz="6" w:space="0"/>
              <w:left w:val="single" w:color="auto" w:sz="6" w:space="0"/>
              <w:bottom w:val="single" w:color="auto" w:sz="6" w:space="0"/>
              <w:right w:val="single" w:color="auto" w:sz="4" w:space="0"/>
            </w:tcBorders>
            <w:vAlign w:val="center"/>
          </w:tcPr>
          <w:p>
            <w:pPr>
              <w:pStyle w:val="55"/>
              <w:rPr>
                <w:color w:val="000000" w:themeColor="text1"/>
                <w:kern w:val="0"/>
              </w:rPr>
            </w:pPr>
            <w:r>
              <w:rPr>
                <w:color w:val="000000" w:themeColor="text1"/>
                <w:kern w:val="0"/>
              </w:rPr>
              <w:t>2.54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9" w:type="dxa"/>
          <w:trHeight w:val="285" w:hRule="atLeast"/>
          <w:jc w:val="center"/>
        </w:trPr>
        <w:tc>
          <w:tcPr>
            <w:tcW w:w="894" w:type="dxa"/>
            <w:tcBorders>
              <w:top w:val="single" w:color="auto" w:sz="6" w:space="0"/>
              <w:left w:val="single" w:color="auto" w:sz="4" w:space="0"/>
              <w:bottom w:val="single" w:color="auto" w:sz="6" w:space="0"/>
              <w:right w:val="single" w:color="auto" w:sz="6" w:space="0"/>
            </w:tcBorders>
            <w:vAlign w:val="center"/>
          </w:tcPr>
          <w:p>
            <w:pPr>
              <w:pStyle w:val="55"/>
              <w:rPr>
                <w:color w:val="000000" w:themeColor="text1"/>
                <w:kern w:val="0"/>
              </w:rPr>
            </w:pPr>
            <w:r>
              <w:rPr>
                <w:rFonts w:hint="eastAsia"/>
                <w:color w:val="000000" w:themeColor="text1"/>
                <w:kern w:val="0"/>
              </w:rPr>
              <w:t>十一月</w:t>
            </w:r>
          </w:p>
        </w:tc>
        <w:tc>
          <w:tcPr>
            <w:tcW w:w="810"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1.95</w:t>
            </w:r>
          </w:p>
        </w:tc>
        <w:tc>
          <w:tcPr>
            <w:tcW w:w="86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2.35</w:t>
            </w:r>
          </w:p>
        </w:tc>
        <w:tc>
          <w:tcPr>
            <w:tcW w:w="77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2.46</w:t>
            </w:r>
          </w:p>
        </w:tc>
        <w:tc>
          <w:tcPr>
            <w:tcW w:w="799"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1.75</w:t>
            </w:r>
          </w:p>
        </w:tc>
        <w:tc>
          <w:tcPr>
            <w:tcW w:w="84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1.51</w:t>
            </w:r>
          </w:p>
        </w:tc>
        <w:tc>
          <w:tcPr>
            <w:tcW w:w="78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2.12</w:t>
            </w:r>
          </w:p>
        </w:tc>
        <w:tc>
          <w:tcPr>
            <w:tcW w:w="779"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3.22</w:t>
            </w:r>
          </w:p>
        </w:tc>
        <w:tc>
          <w:tcPr>
            <w:tcW w:w="884"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3.17</w:t>
            </w:r>
          </w:p>
        </w:tc>
        <w:tc>
          <w:tcPr>
            <w:tcW w:w="81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2.75</w:t>
            </w:r>
          </w:p>
        </w:tc>
        <w:tc>
          <w:tcPr>
            <w:tcW w:w="737"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2.18</w:t>
            </w:r>
          </w:p>
        </w:tc>
        <w:tc>
          <w:tcPr>
            <w:tcW w:w="740"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1.24</w:t>
            </w:r>
          </w:p>
        </w:tc>
        <w:tc>
          <w:tcPr>
            <w:tcW w:w="75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1.32</w:t>
            </w:r>
          </w:p>
        </w:tc>
        <w:tc>
          <w:tcPr>
            <w:tcW w:w="845"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1.24</w:t>
            </w:r>
          </w:p>
        </w:tc>
        <w:tc>
          <w:tcPr>
            <w:tcW w:w="87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0.95</w:t>
            </w:r>
          </w:p>
        </w:tc>
        <w:tc>
          <w:tcPr>
            <w:tcW w:w="656" w:type="dxa"/>
            <w:gridSpan w:val="2"/>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0.94</w:t>
            </w:r>
          </w:p>
        </w:tc>
        <w:tc>
          <w:tcPr>
            <w:tcW w:w="81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1.29</w:t>
            </w:r>
          </w:p>
        </w:tc>
        <w:tc>
          <w:tcPr>
            <w:tcW w:w="767" w:type="dxa"/>
            <w:tcBorders>
              <w:top w:val="single" w:color="auto" w:sz="6" w:space="0"/>
              <w:left w:val="single" w:color="auto" w:sz="6" w:space="0"/>
              <w:bottom w:val="single" w:color="auto" w:sz="6" w:space="0"/>
              <w:right w:val="single" w:color="auto" w:sz="4" w:space="0"/>
            </w:tcBorders>
            <w:vAlign w:val="center"/>
          </w:tcPr>
          <w:p>
            <w:pPr>
              <w:pStyle w:val="55"/>
              <w:rPr>
                <w:color w:val="000000" w:themeColor="text1"/>
                <w:kern w:val="0"/>
              </w:rPr>
            </w:pPr>
            <w:r>
              <w:rPr>
                <w:color w:val="000000" w:themeColor="text1"/>
                <w:kern w:val="0"/>
              </w:rPr>
              <w:t>2.25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9" w:type="dxa"/>
          <w:trHeight w:val="285" w:hRule="atLeast"/>
          <w:jc w:val="center"/>
        </w:trPr>
        <w:tc>
          <w:tcPr>
            <w:tcW w:w="894" w:type="dxa"/>
            <w:tcBorders>
              <w:top w:val="single" w:color="auto" w:sz="6" w:space="0"/>
              <w:left w:val="single" w:color="auto" w:sz="4" w:space="0"/>
              <w:bottom w:val="single" w:color="auto" w:sz="6" w:space="0"/>
              <w:right w:val="single" w:color="auto" w:sz="6" w:space="0"/>
            </w:tcBorders>
            <w:vAlign w:val="center"/>
          </w:tcPr>
          <w:p>
            <w:pPr>
              <w:pStyle w:val="55"/>
              <w:rPr>
                <w:color w:val="000000" w:themeColor="text1"/>
                <w:kern w:val="0"/>
              </w:rPr>
            </w:pPr>
            <w:r>
              <w:rPr>
                <w:rFonts w:hint="eastAsia"/>
                <w:color w:val="000000" w:themeColor="text1"/>
                <w:kern w:val="0"/>
              </w:rPr>
              <w:t>十二月</w:t>
            </w:r>
          </w:p>
        </w:tc>
        <w:tc>
          <w:tcPr>
            <w:tcW w:w="810"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2.31</w:t>
            </w:r>
          </w:p>
        </w:tc>
        <w:tc>
          <w:tcPr>
            <w:tcW w:w="86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2.55</w:t>
            </w:r>
          </w:p>
        </w:tc>
        <w:tc>
          <w:tcPr>
            <w:tcW w:w="77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2.29</w:t>
            </w:r>
          </w:p>
        </w:tc>
        <w:tc>
          <w:tcPr>
            <w:tcW w:w="799"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2.22</w:t>
            </w:r>
          </w:p>
        </w:tc>
        <w:tc>
          <w:tcPr>
            <w:tcW w:w="84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1.38</w:t>
            </w:r>
          </w:p>
        </w:tc>
        <w:tc>
          <w:tcPr>
            <w:tcW w:w="78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2.71</w:t>
            </w:r>
          </w:p>
        </w:tc>
        <w:tc>
          <w:tcPr>
            <w:tcW w:w="779"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2.75</w:t>
            </w:r>
          </w:p>
        </w:tc>
        <w:tc>
          <w:tcPr>
            <w:tcW w:w="884"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3.63</w:t>
            </w:r>
          </w:p>
        </w:tc>
        <w:tc>
          <w:tcPr>
            <w:tcW w:w="81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4.37</w:t>
            </w:r>
          </w:p>
        </w:tc>
        <w:tc>
          <w:tcPr>
            <w:tcW w:w="737"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3.31</w:t>
            </w:r>
          </w:p>
        </w:tc>
        <w:tc>
          <w:tcPr>
            <w:tcW w:w="740"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2.69</w:t>
            </w:r>
          </w:p>
        </w:tc>
        <w:tc>
          <w:tcPr>
            <w:tcW w:w="753"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2.95</w:t>
            </w:r>
          </w:p>
        </w:tc>
        <w:tc>
          <w:tcPr>
            <w:tcW w:w="845"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3.15</w:t>
            </w:r>
          </w:p>
        </w:tc>
        <w:tc>
          <w:tcPr>
            <w:tcW w:w="87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0</w:t>
            </w:r>
          </w:p>
        </w:tc>
        <w:tc>
          <w:tcPr>
            <w:tcW w:w="656" w:type="dxa"/>
            <w:gridSpan w:val="2"/>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1.33</w:t>
            </w:r>
          </w:p>
        </w:tc>
        <w:tc>
          <w:tcPr>
            <w:tcW w:w="816"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kern w:val="0"/>
              </w:rPr>
            </w:pPr>
            <w:r>
              <w:rPr>
                <w:color w:val="000000" w:themeColor="text1"/>
                <w:kern w:val="0"/>
              </w:rPr>
              <w:t>1.18</w:t>
            </w:r>
          </w:p>
        </w:tc>
        <w:tc>
          <w:tcPr>
            <w:tcW w:w="767" w:type="dxa"/>
            <w:tcBorders>
              <w:top w:val="single" w:color="auto" w:sz="6" w:space="0"/>
              <w:left w:val="single" w:color="auto" w:sz="6" w:space="0"/>
              <w:bottom w:val="single" w:color="auto" w:sz="6" w:space="0"/>
              <w:right w:val="single" w:color="auto" w:sz="4" w:space="0"/>
            </w:tcBorders>
            <w:vAlign w:val="center"/>
          </w:tcPr>
          <w:p>
            <w:pPr>
              <w:pStyle w:val="55"/>
              <w:rPr>
                <w:color w:val="000000" w:themeColor="text1"/>
                <w:kern w:val="0"/>
              </w:rPr>
            </w:pPr>
            <w:r>
              <w:rPr>
                <w:color w:val="000000" w:themeColor="text1"/>
                <w:kern w:val="0"/>
              </w:rPr>
              <w:t>3.25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9" w:type="dxa"/>
          <w:trHeight w:val="285" w:hRule="atLeast"/>
          <w:jc w:val="center"/>
        </w:trPr>
        <w:tc>
          <w:tcPr>
            <w:tcW w:w="894" w:type="dxa"/>
            <w:tcBorders>
              <w:top w:val="single" w:color="auto" w:sz="6" w:space="0"/>
              <w:left w:val="single" w:color="auto" w:sz="4" w:space="0"/>
              <w:bottom w:val="single" w:color="auto" w:sz="4" w:space="0"/>
              <w:right w:val="single" w:color="auto" w:sz="6" w:space="0"/>
            </w:tcBorders>
            <w:vAlign w:val="center"/>
          </w:tcPr>
          <w:p>
            <w:pPr>
              <w:pStyle w:val="55"/>
              <w:rPr>
                <w:color w:val="000000" w:themeColor="text1"/>
                <w:kern w:val="0"/>
              </w:rPr>
            </w:pPr>
            <w:r>
              <w:rPr>
                <w:rFonts w:hint="eastAsia"/>
                <w:color w:val="000000" w:themeColor="text1"/>
                <w:kern w:val="0"/>
              </w:rPr>
              <w:t>全年</w:t>
            </w:r>
          </w:p>
        </w:tc>
        <w:tc>
          <w:tcPr>
            <w:tcW w:w="810" w:type="dxa"/>
            <w:tcBorders>
              <w:top w:val="single" w:color="auto" w:sz="6" w:space="0"/>
              <w:left w:val="single" w:color="auto" w:sz="6" w:space="0"/>
              <w:bottom w:val="single" w:color="auto" w:sz="4" w:space="0"/>
              <w:right w:val="single" w:color="auto" w:sz="6" w:space="0"/>
            </w:tcBorders>
            <w:vAlign w:val="center"/>
          </w:tcPr>
          <w:p>
            <w:pPr>
              <w:pStyle w:val="55"/>
              <w:rPr>
                <w:color w:val="000000" w:themeColor="text1"/>
                <w:kern w:val="0"/>
              </w:rPr>
            </w:pPr>
            <w:r>
              <w:rPr>
                <w:color w:val="000000" w:themeColor="text1"/>
                <w:kern w:val="0"/>
              </w:rPr>
              <w:t>2.55</w:t>
            </w:r>
          </w:p>
        </w:tc>
        <w:tc>
          <w:tcPr>
            <w:tcW w:w="862" w:type="dxa"/>
            <w:tcBorders>
              <w:top w:val="single" w:color="auto" w:sz="6" w:space="0"/>
              <w:left w:val="single" w:color="auto" w:sz="6" w:space="0"/>
              <w:bottom w:val="single" w:color="auto" w:sz="4" w:space="0"/>
              <w:right w:val="single" w:color="auto" w:sz="6" w:space="0"/>
            </w:tcBorders>
            <w:vAlign w:val="center"/>
          </w:tcPr>
          <w:p>
            <w:pPr>
              <w:pStyle w:val="55"/>
              <w:rPr>
                <w:color w:val="000000" w:themeColor="text1"/>
                <w:kern w:val="0"/>
              </w:rPr>
            </w:pPr>
            <w:r>
              <w:rPr>
                <w:color w:val="000000" w:themeColor="text1"/>
                <w:kern w:val="0"/>
              </w:rPr>
              <w:t>2.78</w:t>
            </w:r>
          </w:p>
        </w:tc>
        <w:tc>
          <w:tcPr>
            <w:tcW w:w="776" w:type="dxa"/>
            <w:tcBorders>
              <w:top w:val="single" w:color="auto" w:sz="6" w:space="0"/>
              <w:left w:val="single" w:color="auto" w:sz="6" w:space="0"/>
              <w:bottom w:val="single" w:color="auto" w:sz="4" w:space="0"/>
              <w:right w:val="single" w:color="auto" w:sz="6" w:space="0"/>
            </w:tcBorders>
            <w:vAlign w:val="center"/>
          </w:tcPr>
          <w:p>
            <w:pPr>
              <w:pStyle w:val="55"/>
              <w:rPr>
                <w:color w:val="000000" w:themeColor="text1"/>
                <w:kern w:val="0"/>
              </w:rPr>
            </w:pPr>
            <w:r>
              <w:rPr>
                <w:color w:val="000000" w:themeColor="text1"/>
                <w:kern w:val="0"/>
              </w:rPr>
              <w:t>2.56</w:t>
            </w:r>
          </w:p>
        </w:tc>
        <w:tc>
          <w:tcPr>
            <w:tcW w:w="799" w:type="dxa"/>
            <w:tcBorders>
              <w:top w:val="single" w:color="auto" w:sz="6" w:space="0"/>
              <w:left w:val="single" w:color="auto" w:sz="6" w:space="0"/>
              <w:bottom w:val="single" w:color="auto" w:sz="4" w:space="0"/>
              <w:right w:val="single" w:color="auto" w:sz="6" w:space="0"/>
            </w:tcBorders>
            <w:vAlign w:val="center"/>
          </w:tcPr>
          <w:p>
            <w:pPr>
              <w:pStyle w:val="55"/>
              <w:rPr>
                <w:color w:val="000000" w:themeColor="text1"/>
                <w:kern w:val="0"/>
              </w:rPr>
            </w:pPr>
            <w:r>
              <w:rPr>
                <w:color w:val="000000" w:themeColor="text1"/>
                <w:kern w:val="0"/>
              </w:rPr>
              <w:t>1.96</w:t>
            </w:r>
          </w:p>
        </w:tc>
        <w:tc>
          <w:tcPr>
            <w:tcW w:w="846" w:type="dxa"/>
            <w:tcBorders>
              <w:top w:val="single" w:color="auto" w:sz="6" w:space="0"/>
              <w:left w:val="single" w:color="auto" w:sz="6" w:space="0"/>
              <w:bottom w:val="single" w:color="auto" w:sz="4" w:space="0"/>
              <w:right w:val="single" w:color="auto" w:sz="6" w:space="0"/>
            </w:tcBorders>
            <w:vAlign w:val="center"/>
          </w:tcPr>
          <w:p>
            <w:pPr>
              <w:pStyle w:val="55"/>
              <w:rPr>
                <w:color w:val="000000" w:themeColor="text1"/>
                <w:kern w:val="0"/>
              </w:rPr>
            </w:pPr>
            <w:r>
              <w:rPr>
                <w:color w:val="000000" w:themeColor="text1"/>
                <w:kern w:val="0"/>
              </w:rPr>
              <w:t>1.71</w:t>
            </w:r>
          </w:p>
        </w:tc>
        <w:tc>
          <w:tcPr>
            <w:tcW w:w="782" w:type="dxa"/>
            <w:tcBorders>
              <w:top w:val="single" w:color="auto" w:sz="6" w:space="0"/>
              <w:left w:val="single" w:color="auto" w:sz="6" w:space="0"/>
              <w:bottom w:val="single" w:color="auto" w:sz="4" w:space="0"/>
              <w:right w:val="single" w:color="auto" w:sz="6" w:space="0"/>
            </w:tcBorders>
            <w:vAlign w:val="center"/>
          </w:tcPr>
          <w:p>
            <w:pPr>
              <w:pStyle w:val="55"/>
              <w:rPr>
                <w:color w:val="000000" w:themeColor="text1"/>
                <w:kern w:val="0"/>
              </w:rPr>
            </w:pPr>
            <w:r>
              <w:rPr>
                <w:color w:val="000000" w:themeColor="text1"/>
                <w:kern w:val="0"/>
              </w:rPr>
              <w:t>1.93</w:t>
            </w:r>
          </w:p>
        </w:tc>
        <w:tc>
          <w:tcPr>
            <w:tcW w:w="779" w:type="dxa"/>
            <w:tcBorders>
              <w:top w:val="single" w:color="auto" w:sz="6" w:space="0"/>
              <w:left w:val="single" w:color="auto" w:sz="6" w:space="0"/>
              <w:bottom w:val="single" w:color="auto" w:sz="4" w:space="0"/>
              <w:right w:val="single" w:color="auto" w:sz="6" w:space="0"/>
            </w:tcBorders>
            <w:vAlign w:val="center"/>
          </w:tcPr>
          <w:p>
            <w:pPr>
              <w:pStyle w:val="55"/>
              <w:rPr>
                <w:color w:val="000000" w:themeColor="text1"/>
                <w:kern w:val="0"/>
              </w:rPr>
            </w:pPr>
            <w:r>
              <w:rPr>
                <w:color w:val="000000" w:themeColor="text1"/>
                <w:kern w:val="0"/>
              </w:rPr>
              <w:t>2.97</w:t>
            </w:r>
          </w:p>
        </w:tc>
        <w:tc>
          <w:tcPr>
            <w:tcW w:w="884" w:type="dxa"/>
            <w:tcBorders>
              <w:top w:val="single" w:color="auto" w:sz="6" w:space="0"/>
              <w:left w:val="single" w:color="auto" w:sz="6" w:space="0"/>
              <w:bottom w:val="single" w:color="auto" w:sz="4" w:space="0"/>
              <w:right w:val="single" w:color="auto" w:sz="6" w:space="0"/>
            </w:tcBorders>
            <w:vAlign w:val="center"/>
          </w:tcPr>
          <w:p>
            <w:pPr>
              <w:pStyle w:val="55"/>
              <w:rPr>
                <w:color w:val="000000" w:themeColor="text1"/>
                <w:kern w:val="0"/>
              </w:rPr>
            </w:pPr>
            <w:r>
              <w:rPr>
                <w:color w:val="000000" w:themeColor="text1"/>
                <w:kern w:val="0"/>
              </w:rPr>
              <w:t>3.28</w:t>
            </w:r>
          </w:p>
        </w:tc>
        <w:tc>
          <w:tcPr>
            <w:tcW w:w="812" w:type="dxa"/>
            <w:tcBorders>
              <w:top w:val="single" w:color="auto" w:sz="6" w:space="0"/>
              <w:left w:val="single" w:color="auto" w:sz="6" w:space="0"/>
              <w:bottom w:val="single" w:color="auto" w:sz="4" w:space="0"/>
              <w:right w:val="single" w:color="auto" w:sz="6" w:space="0"/>
            </w:tcBorders>
            <w:vAlign w:val="center"/>
          </w:tcPr>
          <w:p>
            <w:pPr>
              <w:pStyle w:val="55"/>
              <w:rPr>
                <w:color w:val="000000" w:themeColor="text1"/>
                <w:kern w:val="0"/>
              </w:rPr>
            </w:pPr>
            <w:r>
              <w:rPr>
                <w:color w:val="000000" w:themeColor="text1"/>
                <w:kern w:val="0"/>
              </w:rPr>
              <w:t>3.75</w:t>
            </w:r>
          </w:p>
        </w:tc>
        <w:tc>
          <w:tcPr>
            <w:tcW w:w="737" w:type="dxa"/>
            <w:tcBorders>
              <w:top w:val="single" w:color="auto" w:sz="6" w:space="0"/>
              <w:left w:val="single" w:color="auto" w:sz="6" w:space="0"/>
              <w:bottom w:val="single" w:color="auto" w:sz="4" w:space="0"/>
              <w:right w:val="single" w:color="auto" w:sz="6" w:space="0"/>
            </w:tcBorders>
            <w:vAlign w:val="center"/>
          </w:tcPr>
          <w:p>
            <w:pPr>
              <w:pStyle w:val="55"/>
              <w:rPr>
                <w:color w:val="000000" w:themeColor="text1"/>
                <w:kern w:val="0"/>
              </w:rPr>
            </w:pPr>
            <w:r>
              <w:rPr>
                <w:color w:val="000000" w:themeColor="text1"/>
                <w:kern w:val="0"/>
              </w:rPr>
              <w:t>3.06</w:t>
            </w:r>
          </w:p>
        </w:tc>
        <w:tc>
          <w:tcPr>
            <w:tcW w:w="740" w:type="dxa"/>
            <w:tcBorders>
              <w:top w:val="single" w:color="auto" w:sz="6" w:space="0"/>
              <w:left w:val="single" w:color="auto" w:sz="6" w:space="0"/>
              <w:bottom w:val="single" w:color="auto" w:sz="4" w:space="0"/>
              <w:right w:val="single" w:color="auto" w:sz="6" w:space="0"/>
            </w:tcBorders>
            <w:vAlign w:val="center"/>
          </w:tcPr>
          <w:p>
            <w:pPr>
              <w:pStyle w:val="55"/>
              <w:rPr>
                <w:color w:val="000000" w:themeColor="text1"/>
                <w:kern w:val="0"/>
              </w:rPr>
            </w:pPr>
            <w:r>
              <w:rPr>
                <w:color w:val="000000" w:themeColor="text1"/>
                <w:kern w:val="0"/>
              </w:rPr>
              <w:t>2.94</w:t>
            </w:r>
          </w:p>
        </w:tc>
        <w:tc>
          <w:tcPr>
            <w:tcW w:w="753" w:type="dxa"/>
            <w:tcBorders>
              <w:top w:val="single" w:color="auto" w:sz="6" w:space="0"/>
              <w:left w:val="single" w:color="auto" w:sz="6" w:space="0"/>
              <w:bottom w:val="single" w:color="auto" w:sz="4" w:space="0"/>
              <w:right w:val="single" w:color="auto" w:sz="6" w:space="0"/>
            </w:tcBorders>
            <w:vAlign w:val="center"/>
          </w:tcPr>
          <w:p>
            <w:pPr>
              <w:pStyle w:val="55"/>
              <w:rPr>
                <w:color w:val="000000" w:themeColor="text1"/>
                <w:kern w:val="0"/>
              </w:rPr>
            </w:pPr>
            <w:r>
              <w:rPr>
                <w:color w:val="000000" w:themeColor="text1"/>
                <w:kern w:val="0"/>
              </w:rPr>
              <w:t>3.24</w:t>
            </w:r>
          </w:p>
        </w:tc>
        <w:tc>
          <w:tcPr>
            <w:tcW w:w="845" w:type="dxa"/>
            <w:tcBorders>
              <w:top w:val="single" w:color="auto" w:sz="6" w:space="0"/>
              <w:left w:val="single" w:color="auto" w:sz="6" w:space="0"/>
              <w:bottom w:val="single" w:color="auto" w:sz="4" w:space="0"/>
              <w:right w:val="single" w:color="auto" w:sz="6" w:space="0"/>
            </w:tcBorders>
            <w:vAlign w:val="center"/>
          </w:tcPr>
          <w:p>
            <w:pPr>
              <w:pStyle w:val="55"/>
              <w:rPr>
                <w:color w:val="000000" w:themeColor="text1"/>
                <w:kern w:val="0"/>
              </w:rPr>
            </w:pPr>
            <w:r>
              <w:rPr>
                <w:color w:val="000000" w:themeColor="text1"/>
                <w:kern w:val="0"/>
              </w:rPr>
              <w:t>2.57</w:t>
            </w:r>
          </w:p>
        </w:tc>
        <w:tc>
          <w:tcPr>
            <w:tcW w:w="876" w:type="dxa"/>
            <w:tcBorders>
              <w:top w:val="single" w:color="auto" w:sz="6" w:space="0"/>
              <w:left w:val="single" w:color="auto" w:sz="6" w:space="0"/>
              <w:bottom w:val="single" w:color="auto" w:sz="4" w:space="0"/>
              <w:right w:val="single" w:color="auto" w:sz="6" w:space="0"/>
            </w:tcBorders>
            <w:vAlign w:val="center"/>
          </w:tcPr>
          <w:p>
            <w:pPr>
              <w:pStyle w:val="55"/>
              <w:rPr>
                <w:color w:val="000000" w:themeColor="text1"/>
                <w:kern w:val="0"/>
              </w:rPr>
            </w:pPr>
            <w:r>
              <w:rPr>
                <w:color w:val="000000" w:themeColor="text1"/>
                <w:kern w:val="0"/>
              </w:rPr>
              <w:t>1.74</w:t>
            </w:r>
          </w:p>
        </w:tc>
        <w:tc>
          <w:tcPr>
            <w:tcW w:w="656" w:type="dxa"/>
            <w:gridSpan w:val="2"/>
            <w:tcBorders>
              <w:top w:val="single" w:color="auto" w:sz="6" w:space="0"/>
              <w:left w:val="single" w:color="auto" w:sz="6" w:space="0"/>
              <w:bottom w:val="single" w:color="auto" w:sz="4" w:space="0"/>
              <w:right w:val="single" w:color="auto" w:sz="6" w:space="0"/>
            </w:tcBorders>
            <w:vAlign w:val="center"/>
          </w:tcPr>
          <w:p>
            <w:pPr>
              <w:pStyle w:val="55"/>
              <w:rPr>
                <w:color w:val="000000" w:themeColor="text1"/>
                <w:kern w:val="0"/>
              </w:rPr>
            </w:pPr>
            <w:r>
              <w:rPr>
                <w:color w:val="000000" w:themeColor="text1"/>
                <w:kern w:val="0"/>
              </w:rPr>
              <w:t>1.8</w:t>
            </w:r>
          </w:p>
        </w:tc>
        <w:tc>
          <w:tcPr>
            <w:tcW w:w="816" w:type="dxa"/>
            <w:tcBorders>
              <w:top w:val="single" w:color="auto" w:sz="6" w:space="0"/>
              <w:left w:val="single" w:color="auto" w:sz="6" w:space="0"/>
              <w:bottom w:val="single" w:color="auto" w:sz="4" w:space="0"/>
              <w:right w:val="single" w:color="auto" w:sz="6" w:space="0"/>
            </w:tcBorders>
            <w:vAlign w:val="center"/>
          </w:tcPr>
          <w:p>
            <w:pPr>
              <w:pStyle w:val="55"/>
              <w:rPr>
                <w:color w:val="000000" w:themeColor="text1"/>
                <w:kern w:val="0"/>
              </w:rPr>
            </w:pPr>
            <w:r>
              <w:rPr>
                <w:color w:val="000000" w:themeColor="text1"/>
                <w:kern w:val="0"/>
              </w:rPr>
              <w:t>1.58</w:t>
            </w:r>
          </w:p>
        </w:tc>
        <w:tc>
          <w:tcPr>
            <w:tcW w:w="767" w:type="dxa"/>
            <w:tcBorders>
              <w:top w:val="single" w:color="auto" w:sz="6" w:space="0"/>
              <w:left w:val="single" w:color="auto" w:sz="6" w:space="0"/>
              <w:bottom w:val="single" w:color="auto" w:sz="4" w:space="0"/>
              <w:right w:val="single" w:color="auto" w:sz="4" w:space="0"/>
            </w:tcBorders>
            <w:vAlign w:val="center"/>
          </w:tcPr>
          <w:p>
            <w:pPr>
              <w:pStyle w:val="55"/>
              <w:rPr>
                <w:color w:val="000000" w:themeColor="text1"/>
                <w:kern w:val="0"/>
              </w:rPr>
            </w:pPr>
            <w:r>
              <w:rPr>
                <w:color w:val="000000" w:themeColor="text1"/>
                <w:kern w:val="0"/>
              </w:rPr>
              <w:t>2.91</w:t>
            </w:r>
          </w:p>
        </w:tc>
      </w:tr>
    </w:tbl>
    <w:p>
      <w:pPr>
        <w:widowControl/>
        <w:ind w:firstLine="480"/>
        <w:jc w:val="left"/>
        <w:rPr>
          <w:color w:val="000000" w:themeColor="text1"/>
        </w:rPr>
        <w:sectPr>
          <w:pgSz w:w="16838" w:h="11906" w:orient="landscape"/>
          <w:pgMar w:top="1797" w:right="1440" w:bottom="1797" w:left="1440" w:header="851" w:footer="992" w:gutter="0"/>
          <w:cols w:space="720" w:num="1"/>
        </w:sectPr>
      </w:pPr>
    </w:p>
    <w:p>
      <w:pPr>
        <w:ind w:firstLine="480"/>
        <w:rPr>
          <w:rFonts w:cs="Times New Roman"/>
          <w:color w:val="000000" w:themeColor="text1"/>
          <w:kern w:val="0"/>
        </w:rPr>
      </w:pPr>
      <w:r>
        <w:rPr>
          <w:rFonts w:hint="eastAsia"/>
          <w:color w:val="000000" w:themeColor="text1"/>
          <w:kern w:val="0"/>
        </w:rPr>
        <w:t>对地面风向、风速统计结果的分析表明：项目厂址所处区域主盛行风向为南风向带（</w:t>
      </w:r>
      <w:r>
        <w:rPr>
          <w:color w:val="000000" w:themeColor="text1"/>
          <w:kern w:val="0"/>
        </w:rPr>
        <w:t>S</w:t>
      </w:r>
      <w:r>
        <w:rPr>
          <w:rFonts w:hint="eastAsia"/>
          <w:color w:val="000000" w:themeColor="text1"/>
          <w:kern w:val="0"/>
        </w:rPr>
        <w:t>），极少出现东风气流（</w:t>
      </w:r>
      <w:r>
        <w:rPr>
          <w:color w:val="000000" w:themeColor="text1"/>
          <w:kern w:val="0"/>
        </w:rPr>
        <w:t>E</w:t>
      </w:r>
      <w:r>
        <w:rPr>
          <w:rFonts w:hint="eastAsia"/>
          <w:color w:val="000000" w:themeColor="text1"/>
          <w:kern w:val="0"/>
        </w:rPr>
        <w:t>）及</w:t>
      </w:r>
      <w:r>
        <w:rPr>
          <w:color w:val="000000" w:themeColor="text1"/>
          <w:kern w:val="0"/>
        </w:rPr>
        <w:t>NW</w:t>
      </w:r>
      <w:r>
        <w:rPr>
          <w:rFonts w:hint="eastAsia"/>
          <w:color w:val="000000" w:themeColor="text1"/>
          <w:kern w:val="0"/>
        </w:rPr>
        <w:t>；从平均风速条件的结果分析，风速分布呈现</w:t>
      </w:r>
      <w:r>
        <w:rPr>
          <w:color w:val="000000" w:themeColor="text1"/>
          <w:kern w:val="0"/>
        </w:rPr>
        <w:t>SSE</w:t>
      </w:r>
      <w:r>
        <w:rPr>
          <w:rFonts w:hint="eastAsia"/>
          <w:color w:val="000000" w:themeColor="text1"/>
          <w:kern w:val="0"/>
        </w:rPr>
        <w:t>－</w:t>
      </w:r>
      <w:r>
        <w:rPr>
          <w:color w:val="000000" w:themeColor="text1"/>
          <w:kern w:val="0"/>
        </w:rPr>
        <w:t>SSW</w:t>
      </w:r>
      <w:r>
        <w:rPr>
          <w:rFonts w:hint="eastAsia"/>
          <w:color w:val="000000" w:themeColor="text1"/>
          <w:kern w:val="0"/>
        </w:rPr>
        <w:t>风向带平均风速相对较大、且高于年平均风速及月均最大风速，年内各月平均风速较小。年均风速的月变化情况见图6.1.1</w:t>
      </w:r>
      <w:r>
        <w:rPr>
          <w:color w:val="000000" w:themeColor="text1"/>
          <w:kern w:val="0"/>
        </w:rPr>
        <w:t>-2</w:t>
      </w:r>
      <w:r>
        <w:rPr>
          <w:rFonts w:hint="eastAsia"/>
          <w:color w:val="000000" w:themeColor="text1"/>
          <w:kern w:val="0"/>
        </w:rPr>
        <w:t>。</w:t>
      </w:r>
    </w:p>
    <w:p>
      <w:pPr>
        <w:pStyle w:val="54"/>
        <w:rPr>
          <w:color w:val="000000" w:themeColor="text1"/>
        </w:rPr>
      </w:pPr>
      <w:r>
        <w:rPr>
          <w:color w:val="000000" w:themeColor="text1"/>
        </w:rPr>
        <w:drawing>
          <wp:inline distT="0" distB="0" distL="0" distR="0">
            <wp:extent cx="5276850" cy="2038350"/>
            <wp:effectExtent l="0" t="0" r="0" b="0"/>
            <wp:docPr id="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pic:cNvPicPr>
                      <a:picLocks noChangeAspect="1" noChangeArrowheads="1"/>
                    </pic:cNvPicPr>
                  </pic:nvPicPr>
                  <pic:blipFill>
                    <a:blip r:embed="rId27">
                      <a:lum bright="10000" contrast="10000"/>
                    </a:blip>
                    <a:srcRect/>
                    <a:stretch>
                      <a:fillRect/>
                    </a:stretch>
                  </pic:blipFill>
                  <pic:spPr>
                    <a:xfrm>
                      <a:off x="0" y="0"/>
                      <a:ext cx="5276850" cy="2038350"/>
                    </a:xfrm>
                    <a:prstGeom prst="rect">
                      <a:avLst/>
                    </a:prstGeom>
                    <a:noFill/>
                    <a:ln w="9525">
                      <a:noFill/>
                      <a:miter lim="800000"/>
                      <a:headEnd/>
                      <a:tailEnd/>
                    </a:ln>
                  </pic:spPr>
                </pic:pic>
              </a:graphicData>
            </a:graphic>
          </wp:inline>
        </w:drawing>
      </w:r>
    </w:p>
    <w:p>
      <w:pPr>
        <w:pStyle w:val="54"/>
        <w:rPr>
          <w:color w:val="000000" w:themeColor="text1"/>
        </w:rPr>
      </w:pPr>
      <w:r>
        <w:rPr>
          <w:rFonts w:hint="eastAsia"/>
          <w:color w:val="000000" w:themeColor="text1"/>
        </w:rPr>
        <w:t>图6.1.1</w:t>
      </w:r>
      <w:r>
        <w:rPr>
          <w:color w:val="000000" w:themeColor="text1"/>
        </w:rPr>
        <w:t xml:space="preserve">-2  </w:t>
      </w:r>
      <w:r>
        <w:rPr>
          <w:rFonts w:hint="eastAsia"/>
          <w:color w:val="000000" w:themeColor="text1"/>
        </w:rPr>
        <w:t>年均风速的月变化图</w:t>
      </w:r>
    </w:p>
    <w:p>
      <w:pPr>
        <w:ind w:firstLine="480"/>
        <w:rPr>
          <w:color w:val="000000" w:themeColor="text1"/>
          <w:kern w:val="0"/>
        </w:rPr>
      </w:pPr>
      <w:bookmarkStart w:id="186" w:name="_Toc465754692"/>
      <w:bookmarkStart w:id="187" w:name="_Toc462005020"/>
      <w:bookmarkStart w:id="188" w:name="_Toc467248992"/>
      <w:bookmarkStart w:id="189" w:name="_Toc464059201"/>
      <w:r>
        <w:rPr>
          <w:rFonts w:hint="eastAsia" w:ascii="宋体" w:hAnsi="宋体" w:cs="宋体"/>
          <w:color w:val="000000" w:themeColor="text1"/>
          <w:kern w:val="0"/>
        </w:rPr>
        <w:t>③</w:t>
      </w:r>
      <w:r>
        <w:rPr>
          <w:rFonts w:hint="eastAsia"/>
          <w:color w:val="000000" w:themeColor="text1"/>
          <w:kern w:val="0"/>
        </w:rPr>
        <w:t>气温</w:t>
      </w:r>
      <w:bookmarkEnd w:id="186"/>
      <w:bookmarkEnd w:id="187"/>
      <w:bookmarkEnd w:id="188"/>
      <w:bookmarkEnd w:id="189"/>
    </w:p>
    <w:p>
      <w:pPr>
        <w:ind w:firstLine="480"/>
        <w:rPr>
          <w:color w:val="000000" w:themeColor="text1"/>
          <w:kern w:val="0"/>
        </w:rPr>
      </w:pPr>
      <w:r>
        <w:rPr>
          <w:rFonts w:hint="eastAsia"/>
          <w:color w:val="000000" w:themeColor="text1"/>
          <w:kern w:val="0"/>
        </w:rPr>
        <w:t>砚山县</w:t>
      </w:r>
      <w:r>
        <w:rPr>
          <w:color w:val="000000" w:themeColor="text1"/>
          <w:kern w:val="0"/>
        </w:rPr>
        <w:t>2016</w:t>
      </w:r>
      <w:r>
        <w:rPr>
          <w:rFonts w:hint="eastAsia"/>
          <w:color w:val="000000" w:themeColor="text1"/>
          <w:kern w:val="0"/>
        </w:rPr>
        <w:t>年最高气温出现在</w:t>
      </w:r>
      <w:r>
        <w:rPr>
          <w:color w:val="000000" w:themeColor="text1"/>
          <w:kern w:val="0"/>
        </w:rPr>
        <w:t>6</w:t>
      </w:r>
      <w:r>
        <w:rPr>
          <w:rFonts w:hint="eastAsia"/>
          <w:color w:val="000000" w:themeColor="text1"/>
          <w:kern w:val="0"/>
        </w:rPr>
        <w:t>月为</w:t>
      </w:r>
      <w:r>
        <w:rPr>
          <w:color w:val="000000" w:themeColor="text1"/>
          <w:kern w:val="0"/>
        </w:rPr>
        <w:t>21.0℃</w:t>
      </w:r>
      <w:r>
        <w:rPr>
          <w:rFonts w:hint="eastAsia"/>
          <w:color w:val="000000" w:themeColor="text1"/>
          <w:kern w:val="0"/>
        </w:rPr>
        <w:t>，最低气温出现在</w:t>
      </w:r>
      <w:r>
        <w:rPr>
          <w:color w:val="000000" w:themeColor="text1"/>
          <w:kern w:val="0"/>
        </w:rPr>
        <w:t>1</w:t>
      </w:r>
      <w:r>
        <w:rPr>
          <w:rFonts w:hint="eastAsia"/>
          <w:color w:val="000000" w:themeColor="text1"/>
          <w:kern w:val="0"/>
        </w:rPr>
        <w:t>月</w:t>
      </w:r>
      <w:r>
        <w:rPr>
          <w:color w:val="000000" w:themeColor="text1"/>
          <w:kern w:val="0"/>
        </w:rPr>
        <w:t>9.0℃,</w:t>
      </w:r>
      <w:r>
        <w:rPr>
          <w:rFonts w:hint="eastAsia"/>
          <w:color w:val="000000" w:themeColor="text1"/>
          <w:kern w:val="0"/>
        </w:rPr>
        <w:t>全年平均温度</w:t>
      </w:r>
      <w:r>
        <w:rPr>
          <w:color w:val="000000" w:themeColor="text1"/>
          <w:kern w:val="0"/>
        </w:rPr>
        <w:t>16.1℃</w:t>
      </w:r>
      <w:r>
        <w:rPr>
          <w:rFonts w:hint="eastAsia"/>
          <w:color w:val="000000" w:themeColor="text1"/>
          <w:kern w:val="0"/>
        </w:rPr>
        <w:t>。全年各温度变化情况见表6.1.1</w:t>
      </w:r>
      <w:r>
        <w:rPr>
          <w:color w:val="000000" w:themeColor="text1"/>
          <w:kern w:val="0"/>
        </w:rPr>
        <w:t>-4</w:t>
      </w:r>
      <w:r>
        <w:rPr>
          <w:rFonts w:hint="eastAsia"/>
          <w:color w:val="000000" w:themeColor="text1"/>
          <w:kern w:val="0"/>
        </w:rPr>
        <w:t>和图6.1.1</w:t>
      </w:r>
      <w:r>
        <w:rPr>
          <w:color w:val="000000" w:themeColor="text1"/>
          <w:kern w:val="0"/>
        </w:rPr>
        <w:t>-3</w:t>
      </w:r>
      <w:r>
        <w:rPr>
          <w:rFonts w:hint="eastAsia"/>
          <w:color w:val="000000" w:themeColor="text1"/>
          <w:kern w:val="0"/>
        </w:rPr>
        <w:t>。</w:t>
      </w:r>
    </w:p>
    <w:p>
      <w:pPr>
        <w:pStyle w:val="54"/>
        <w:rPr>
          <w:color w:val="000000" w:themeColor="text1"/>
          <w:kern w:val="0"/>
        </w:rPr>
      </w:pPr>
      <w:r>
        <w:rPr>
          <w:rFonts w:hint="eastAsia"/>
          <w:color w:val="000000" w:themeColor="text1"/>
        </w:rPr>
        <w:t>表6.1.1</w:t>
      </w:r>
      <w:r>
        <w:rPr>
          <w:color w:val="000000" w:themeColor="text1"/>
        </w:rPr>
        <w:t xml:space="preserve">-4  </w:t>
      </w:r>
      <w:r>
        <w:rPr>
          <w:rFonts w:hint="eastAsia"/>
          <w:color w:val="000000" w:themeColor="text1"/>
        </w:rPr>
        <w:t>全年各月平均温度统计</w:t>
      </w:r>
    </w:p>
    <w:tbl>
      <w:tblPr>
        <w:tblStyle w:val="42"/>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562"/>
        <w:gridCol w:w="742"/>
        <w:gridCol w:w="656"/>
        <w:gridCol w:w="697"/>
        <w:gridCol w:w="675"/>
        <w:gridCol w:w="637"/>
        <w:gridCol w:w="673"/>
        <w:gridCol w:w="749"/>
        <w:gridCol w:w="687"/>
        <w:gridCol w:w="851"/>
        <w:gridCol w:w="781"/>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月份</w:t>
            </w:r>
          </w:p>
        </w:tc>
        <w:tc>
          <w:tcPr>
            <w:tcW w:w="56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w:t>
            </w:r>
            <w:r>
              <w:rPr>
                <w:rFonts w:hint="eastAsia"/>
                <w:color w:val="000000" w:themeColor="text1"/>
                <w:kern w:val="0"/>
              </w:rPr>
              <w:t>月</w:t>
            </w:r>
          </w:p>
        </w:tc>
        <w:tc>
          <w:tcPr>
            <w:tcW w:w="74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2</w:t>
            </w:r>
            <w:r>
              <w:rPr>
                <w:rFonts w:hint="eastAsia"/>
                <w:color w:val="000000" w:themeColor="text1"/>
                <w:kern w:val="0"/>
              </w:rPr>
              <w:t>月</w:t>
            </w:r>
          </w:p>
        </w:tc>
        <w:tc>
          <w:tcPr>
            <w:tcW w:w="65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3</w:t>
            </w:r>
            <w:r>
              <w:rPr>
                <w:rFonts w:hint="eastAsia"/>
                <w:color w:val="000000" w:themeColor="text1"/>
                <w:kern w:val="0"/>
              </w:rPr>
              <w:t>月</w:t>
            </w:r>
          </w:p>
        </w:tc>
        <w:tc>
          <w:tcPr>
            <w:tcW w:w="69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4</w:t>
            </w:r>
            <w:r>
              <w:rPr>
                <w:rFonts w:hint="eastAsia"/>
                <w:color w:val="000000" w:themeColor="text1"/>
                <w:kern w:val="0"/>
              </w:rPr>
              <w:t>月</w:t>
            </w:r>
          </w:p>
        </w:tc>
        <w:tc>
          <w:tcPr>
            <w:tcW w:w="6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5</w:t>
            </w:r>
            <w:r>
              <w:rPr>
                <w:rFonts w:hint="eastAsia"/>
                <w:color w:val="000000" w:themeColor="text1"/>
                <w:kern w:val="0"/>
              </w:rPr>
              <w:t>月</w:t>
            </w:r>
          </w:p>
        </w:tc>
        <w:tc>
          <w:tcPr>
            <w:tcW w:w="63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6</w:t>
            </w:r>
            <w:r>
              <w:rPr>
                <w:rFonts w:hint="eastAsia"/>
                <w:color w:val="000000" w:themeColor="text1"/>
                <w:kern w:val="0"/>
              </w:rPr>
              <w:t>月</w:t>
            </w:r>
          </w:p>
        </w:tc>
        <w:tc>
          <w:tcPr>
            <w:tcW w:w="67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7</w:t>
            </w:r>
            <w:r>
              <w:rPr>
                <w:rFonts w:hint="eastAsia"/>
                <w:color w:val="000000" w:themeColor="text1"/>
                <w:kern w:val="0"/>
              </w:rPr>
              <w:t>月</w:t>
            </w:r>
          </w:p>
        </w:tc>
        <w:tc>
          <w:tcPr>
            <w:tcW w:w="74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8</w:t>
            </w:r>
            <w:r>
              <w:rPr>
                <w:rFonts w:hint="eastAsia"/>
                <w:color w:val="000000" w:themeColor="text1"/>
                <w:kern w:val="0"/>
              </w:rPr>
              <w:t>月</w:t>
            </w:r>
          </w:p>
        </w:tc>
        <w:tc>
          <w:tcPr>
            <w:tcW w:w="68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9</w:t>
            </w:r>
            <w:r>
              <w:rPr>
                <w:rFonts w:hint="eastAsia"/>
                <w:color w:val="000000" w:themeColor="text1"/>
                <w:kern w:val="0"/>
              </w:rPr>
              <w:t>月</w:t>
            </w: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10</w:t>
            </w:r>
            <w:r>
              <w:rPr>
                <w:rFonts w:hint="eastAsia"/>
                <w:color w:val="000000" w:themeColor="text1"/>
                <w:kern w:val="0"/>
              </w:rPr>
              <w:t>月</w:t>
            </w:r>
          </w:p>
        </w:tc>
        <w:tc>
          <w:tcPr>
            <w:tcW w:w="78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11</w:t>
            </w:r>
            <w:r>
              <w:rPr>
                <w:rFonts w:hint="eastAsia"/>
                <w:color w:val="000000" w:themeColor="text1"/>
                <w:kern w:val="0"/>
              </w:rPr>
              <w:t>月</w:t>
            </w:r>
          </w:p>
        </w:tc>
        <w:tc>
          <w:tcPr>
            <w:tcW w:w="79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12</w:t>
            </w:r>
            <w:r>
              <w:rPr>
                <w:rFonts w:hint="eastAsia"/>
                <w:color w:val="000000" w:themeColor="text1"/>
                <w:kern w:val="0"/>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温度</w:t>
            </w:r>
            <w:r>
              <w:rPr>
                <w:color w:val="000000" w:themeColor="text1"/>
                <w:kern w:val="0"/>
              </w:rPr>
              <w:t>(℃)</w:t>
            </w:r>
          </w:p>
        </w:tc>
        <w:tc>
          <w:tcPr>
            <w:tcW w:w="56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9.0</w:t>
            </w:r>
          </w:p>
        </w:tc>
        <w:tc>
          <w:tcPr>
            <w:tcW w:w="74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10.9</w:t>
            </w:r>
          </w:p>
        </w:tc>
        <w:tc>
          <w:tcPr>
            <w:tcW w:w="65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15.0</w:t>
            </w:r>
          </w:p>
        </w:tc>
        <w:tc>
          <w:tcPr>
            <w:tcW w:w="69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18.2</w:t>
            </w:r>
          </w:p>
        </w:tc>
        <w:tc>
          <w:tcPr>
            <w:tcW w:w="67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20.0</w:t>
            </w:r>
          </w:p>
        </w:tc>
        <w:tc>
          <w:tcPr>
            <w:tcW w:w="63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21.0</w:t>
            </w:r>
          </w:p>
        </w:tc>
        <w:tc>
          <w:tcPr>
            <w:tcW w:w="67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20.9</w:t>
            </w:r>
          </w:p>
        </w:tc>
        <w:tc>
          <w:tcPr>
            <w:tcW w:w="74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20.4</w:t>
            </w:r>
          </w:p>
        </w:tc>
        <w:tc>
          <w:tcPr>
            <w:tcW w:w="68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18.8</w:t>
            </w: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16.20</w:t>
            </w:r>
          </w:p>
        </w:tc>
        <w:tc>
          <w:tcPr>
            <w:tcW w:w="78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12.80</w:t>
            </w:r>
          </w:p>
        </w:tc>
        <w:tc>
          <w:tcPr>
            <w:tcW w:w="79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9.50</w:t>
            </w:r>
          </w:p>
        </w:tc>
      </w:tr>
    </w:tbl>
    <w:p>
      <w:pPr>
        <w:pStyle w:val="54"/>
        <w:rPr>
          <w:rFonts w:cs="Times New Roman"/>
          <w:color w:val="000000" w:themeColor="text1"/>
          <w:sz w:val="20"/>
        </w:rPr>
      </w:pPr>
      <w:r>
        <w:rPr>
          <w:color w:val="000000" w:themeColor="text1"/>
        </w:rPr>
        <w:drawing>
          <wp:inline distT="0" distB="0" distL="0" distR="0">
            <wp:extent cx="5267325" cy="2028825"/>
            <wp:effectExtent l="0" t="0" r="0" b="0"/>
            <wp:docPr id="1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pic:cNvPicPr>
                      <a:picLocks noChangeAspect="1" noChangeArrowheads="1"/>
                    </pic:cNvPicPr>
                  </pic:nvPicPr>
                  <pic:blipFill>
                    <a:blip r:embed="rId28">
                      <a:lum bright="10000" contrast="10000"/>
                    </a:blip>
                    <a:srcRect/>
                    <a:stretch>
                      <a:fillRect/>
                    </a:stretch>
                  </pic:blipFill>
                  <pic:spPr>
                    <a:xfrm>
                      <a:off x="0" y="0"/>
                      <a:ext cx="5267325" cy="2028825"/>
                    </a:xfrm>
                    <a:prstGeom prst="rect">
                      <a:avLst/>
                    </a:prstGeom>
                    <a:noFill/>
                    <a:ln w="9525">
                      <a:noFill/>
                      <a:miter lim="800000"/>
                      <a:headEnd/>
                      <a:tailEnd/>
                    </a:ln>
                  </pic:spPr>
                </pic:pic>
              </a:graphicData>
            </a:graphic>
          </wp:inline>
        </w:drawing>
      </w:r>
    </w:p>
    <w:p>
      <w:pPr>
        <w:pStyle w:val="54"/>
        <w:rPr>
          <w:color w:val="000000" w:themeColor="text1"/>
        </w:rPr>
      </w:pPr>
      <w:r>
        <w:rPr>
          <w:rFonts w:hint="eastAsia"/>
          <w:color w:val="000000" w:themeColor="text1"/>
        </w:rPr>
        <w:t>图6.1.1</w:t>
      </w:r>
      <w:r>
        <w:rPr>
          <w:color w:val="000000" w:themeColor="text1"/>
        </w:rPr>
        <w:t xml:space="preserve">-3  </w:t>
      </w:r>
      <w:r>
        <w:rPr>
          <w:rFonts w:hint="eastAsia"/>
          <w:color w:val="000000" w:themeColor="text1"/>
        </w:rPr>
        <w:t>年均温度变化情况图</w:t>
      </w:r>
    </w:p>
    <w:p>
      <w:pPr>
        <w:pStyle w:val="38"/>
        <w:ind w:firstLine="281"/>
        <w:rPr>
          <w:color w:val="000000" w:themeColor="text1"/>
        </w:rPr>
      </w:pPr>
      <w:bookmarkStart w:id="190" w:name="_Toc47375865"/>
      <w:r>
        <w:rPr>
          <w:rFonts w:hint="eastAsia"/>
          <w:color w:val="000000" w:themeColor="text1"/>
        </w:rPr>
        <w:t>6.1.2运营期废气源强及环境影响</w:t>
      </w:r>
      <w:bookmarkEnd w:id="175"/>
      <w:r>
        <w:rPr>
          <w:rFonts w:hint="eastAsia"/>
          <w:color w:val="000000" w:themeColor="text1"/>
        </w:rPr>
        <w:t>预估</w:t>
      </w:r>
      <w:bookmarkEnd w:id="190"/>
    </w:p>
    <w:p>
      <w:pPr>
        <w:spacing w:line="520" w:lineRule="exact"/>
        <w:ind w:firstLine="482"/>
        <w:rPr>
          <w:rFonts w:ascii="Calibri" w:hAnsi="Calibri" w:cs="Calibri"/>
          <w:b/>
          <w:bCs/>
          <w:color w:val="000000" w:themeColor="text1"/>
        </w:rPr>
      </w:pPr>
      <w:r>
        <w:rPr>
          <w:rFonts w:hint="eastAsia" w:ascii="Calibri" w:hAnsi="Calibri" w:cs="Calibri"/>
          <w:b/>
          <w:bCs/>
          <w:color w:val="000000" w:themeColor="text1"/>
        </w:rPr>
        <w:t>1、评价因子筛选</w:t>
      </w:r>
    </w:p>
    <w:p>
      <w:pPr>
        <w:ind w:firstLine="480"/>
        <w:rPr>
          <w:color w:val="000000" w:themeColor="text1"/>
        </w:rPr>
      </w:pPr>
      <w:r>
        <w:rPr>
          <w:rFonts w:hint="eastAsia"/>
          <w:color w:val="000000" w:themeColor="text1"/>
        </w:rPr>
        <w:t>本项目的大气污染物主要来自于生猪待宰及屠宰间、生鸡待宰圈及屠宰间、污水站恶臭气体，污染因子为</w:t>
      </w:r>
      <w:r>
        <w:rPr>
          <w:color w:val="000000" w:themeColor="text1"/>
        </w:rPr>
        <w:t>NH</w:t>
      </w:r>
      <w:r>
        <w:rPr>
          <w:color w:val="000000" w:themeColor="text1"/>
          <w:vertAlign w:val="subscript"/>
        </w:rPr>
        <w:t>3</w:t>
      </w:r>
      <w:r>
        <w:rPr>
          <w:rFonts w:hint="eastAsia"/>
          <w:color w:val="000000" w:themeColor="text1"/>
        </w:rPr>
        <w:t>、</w:t>
      </w:r>
      <w:r>
        <w:rPr>
          <w:color w:val="000000" w:themeColor="text1"/>
        </w:rPr>
        <w:t>H</w:t>
      </w:r>
      <w:r>
        <w:rPr>
          <w:color w:val="000000" w:themeColor="text1"/>
          <w:vertAlign w:val="subscript"/>
        </w:rPr>
        <w:t>2</w:t>
      </w:r>
      <w:r>
        <w:rPr>
          <w:color w:val="000000" w:themeColor="text1"/>
        </w:rPr>
        <w:t>S</w:t>
      </w:r>
      <w:r>
        <w:rPr>
          <w:rFonts w:hint="eastAsia"/>
          <w:color w:val="000000" w:themeColor="text1"/>
        </w:rPr>
        <w:t>；生物质锅炉废气及焚烧炉尾气污染物主要为颗粒物（PM</w:t>
      </w:r>
      <w:r>
        <w:rPr>
          <w:rFonts w:hint="eastAsia"/>
          <w:color w:val="000000" w:themeColor="text1"/>
          <w:vertAlign w:val="subscript"/>
        </w:rPr>
        <w:t>10</w:t>
      </w:r>
      <w:r>
        <w:rPr>
          <w:rFonts w:hint="eastAsia"/>
          <w:color w:val="000000" w:themeColor="text1"/>
        </w:rPr>
        <w:t>）、</w:t>
      </w:r>
      <w:r>
        <w:rPr>
          <w:color w:val="000000" w:themeColor="text1"/>
        </w:rPr>
        <w:t>SO</w:t>
      </w:r>
      <w:r>
        <w:rPr>
          <w:color w:val="000000" w:themeColor="text1"/>
          <w:vertAlign w:val="subscript"/>
        </w:rPr>
        <w:t>2</w:t>
      </w:r>
      <w:r>
        <w:rPr>
          <w:rFonts w:hint="eastAsia"/>
          <w:color w:val="000000" w:themeColor="text1"/>
        </w:rPr>
        <w:t>、</w:t>
      </w:r>
      <w:r>
        <w:rPr>
          <w:color w:val="000000" w:themeColor="text1"/>
        </w:rPr>
        <w:t>NO</w:t>
      </w:r>
      <w:r>
        <w:rPr>
          <w:color w:val="000000" w:themeColor="text1"/>
          <w:vertAlign w:val="subscript"/>
        </w:rPr>
        <w:t>X</w:t>
      </w:r>
      <w:r>
        <w:rPr>
          <w:rFonts w:hint="eastAsia"/>
          <w:color w:val="000000" w:themeColor="text1"/>
        </w:rPr>
        <w:t>，根据环境现状质量和工程污染物排放情况，选取项目涉及的污染因子进行预测，即恶臭气体</w:t>
      </w:r>
      <w:r>
        <w:rPr>
          <w:color w:val="000000" w:themeColor="text1"/>
        </w:rPr>
        <w:t>NH</w:t>
      </w:r>
      <w:r>
        <w:rPr>
          <w:color w:val="000000" w:themeColor="text1"/>
          <w:vertAlign w:val="subscript"/>
        </w:rPr>
        <w:t>3</w:t>
      </w:r>
      <w:r>
        <w:rPr>
          <w:rFonts w:hint="eastAsia"/>
          <w:color w:val="000000" w:themeColor="text1"/>
        </w:rPr>
        <w:t>、</w:t>
      </w:r>
      <w:r>
        <w:rPr>
          <w:color w:val="000000" w:themeColor="text1"/>
        </w:rPr>
        <w:t>H</w:t>
      </w:r>
      <w:r>
        <w:rPr>
          <w:color w:val="000000" w:themeColor="text1"/>
          <w:vertAlign w:val="subscript"/>
        </w:rPr>
        <w:t>2</w:t>
      </w:r>
      <w:r>
        <w:rPr>
          <w:color w:val="000000" w:themeColor="text1"/>
        </w:rPr>
        <w:t>S</w:t>
      </w:r>
      <w:r>
        <w:rPr>
          <w:rFonts w:hint="eastAsia"/>
          <w:color w:val="000000" w:themeColor="text1"/>
        </w:rPr>
        <w:t>、颗粒物（PM</w:t>
      </w:r>
      <w:r>
        <w:rPr>
          <w:rFonts w:hint="eastAsia"/>
          <w:color w:val="000000" w:themeColor="text1"/>
          <w:vertAlign w:val="subscript"/>
        </w:rPr>
        <w:t>10</w:t>
      </w:r>
      <w:r>
        <w:rPr>
          <w:rFonts w:hint="eastAsia"/>
          <w:color w:val="000000" w:themeColor="text1"/>
        </w:rPr>
        <w:t>）、</w:t>
      </w:r>
      <w:r>
        <w:rPr>
          <w:color w:val="000000" w:themeColor="text1"/>
        </w:rPr>
        <w:t>SO</w:t>
      </w:r>
      <w:r>
        <w:rPr>
          <w:color w:val="000000" w:themeColor="text1"/>
          <w:vertAlign w:val="subscript"/>
        </w:rPr>
        <w:t>2</w:t>
      </w:r>
      <w:r>
        <w:rPr>
          <w:rFonts w:hint="eastAsia"/>
          <w:color w:val="000000" w:themeColor="text1"/>
        </w:rPr>
        <w:t>、</w:t>
      </w:r>
      <w:r>
        <w:rPr>
          <w:color w:val="000000" w:themeColor="text1"/>
        </w:rPr>
        <w:t>NO</w:t>
      </w:r>
      <w:r>
        <w:rPr>
          <w:color w:val="000000" w:themeColor="text1"/>
          <w:vertAlign w:val="subscript"/>
        </w:rPr>
        <w:t>X</w:t>
      </w:r>
      <w:r>
        <w:rPr>
          <w:rFonts w:hint="eastAsia"/>
          <w:color w:val="000000" w:themeColor="text1"/>
        </w:rPr>
        <w:t>。</w:t>
      </w:r>
    </w:p>
    <w:p>
      <w:pPr>
        <w:ind w:firstLine="482"/>
        <w:rPr>
          <w:b/>
          <w:color w:val="000000" w:themeColor="text1"/>
        </w:rPr>
      </w:pPr>
      <w:r>
        <w:rPr>
          <w:rFonts w:hint="eastAsia"/>
          <w:b/>
          <w:color w:val="000000" w:themeColor="text1"/>
        </w:rPr>
        <w:t>2、预测模式和参数</w:t>
      </w:r>
    </w:p>
    <w:p>
      <w:pPr>
        <w:ind w:firstLine="480"/>
        <w:rPr>
          <w:bCs/>
          <w:color w:val="000000" w:themeColor="text1"/>
        </w:rPr>
      </w:pPr>
      <w:r>
        <w:rPr>
          <w:rFonts w:hint="eastAsia"/>
          <w:color w:val="000000" w:themeColor="text1"/>
        </w:rPr>
        <w:t>根据《环境影响评价技术导则</w:t>
      </w:r>
      <w:r>
        <w:rPr>
          <w:color w:val="000000" w:themeColor="text1"/>
        </w:rPr>
        <w:t xml:space="preserve"> </w:t>
      </w:r>
      <w:r>
        <w:rPr>
          <w:rFonts w:hint="eastAsia"/>
          <w:color w:val="000000" w:themeColor="text1"/>
        </w:rPr>
        <w:t>大气环境》（</w:t>
      </w:r>
      <w:r>
        <w:rPr>
          <w:color w:val="000000" w:themeColor="text1"/>
        </w:rPr>
        <w:t>HJ2.2-20</w:t>
      </w:r>
      <w:r>
        <w:rPr>
          <w:rFonts w:hint="eastAsia"/>
          <w:color w:val="000000" w:themeColor="text1"/>
        </w:rPr>
        <w:t>18）的有关规定，本次评价采用导则附录</w:t>
      </w:r>
      <w:r>
        <w:rPr>
          <w:color w:val="000000" w:themeColor="text1"/>
        </w:rPr>
        <w:t>A</w:t>
      </w:r>
      <w:r>
        <w:rPr>
          <w:rFonts w:hint="eastAsia"/>
          <w:color w:val="000000" w:themeColor="text1"/>
        </w:rPr>
        <w:t>中推荐的估算模型</w:t>
      </w:r>
      <w:r>
        <w:rPr>
          <w:color w:val="000000" w:themeColor="text1"/>
        </w:rPr>
        <w:t>AERSCREEN</w:t>
      </w:r>
      <w:r>
        <w:rPr>
          <w:rFonts w:hint="eastAsia"/>
          <w:color w:val="000000" w:themeColor="text1"/>
        </w:rPr>
        <w:t>分别计算项目各污染物的最大地面空气质量浓度占标率</w:t>
      </w:r>
      <w:r>
        <w:rPr>
          <w:i/>
          <w:color w:val="000000" w:themeColor="text1"/>
        </w:rPr>
        <w:t>P</w:t>
      </w:r>
      <w:r>
        <w:rPr>
          <w:i/>
          <w:color w:val="000000" w:themeColor="text1"/>
          <w:vertAlign w:val="subscript"/>
        </w:rPr>
        <w:t>i</w:t>
      </w:r>
      <w:r>
        <w:rPr>
          <w:rFonts w:hint="eastAsia"/>
          <w:color w:val="000000" w:themeColor="text1"/>
        </w:rPr>
        <w:t>（</w:t>
      </w:r>
      <w:r>
        <w:rPr>
          <w:rFonts w:hint="eastAsia"/>
          <w:bCs/>
          <w:color w:val="000000" w:themeColor="text1"/>
        </w:rPr>
        <w:t>第</w:t>
      </w:r>
      <w:r>
        <w:rPr>
          <w:bCs/>
          <w:i/>
          <w:color w:val="000000" w:themeColor="text1"/>
        </w:rPr>
        <w:t>i</w:t>
      </w:r>
      <w:r>
        <w:rPr>
          <w:rFonts w:hint="eastAsia"/>
          <w:bCs/>
          <w:color w:val="000000" w:themeColor="text1"/>
        </w:rPr>
        <w:t>个污染物，</w:t>
      </w:r>
      <w:r>
        <w:rPr>
          <w:rFonts w:hint="eastAsia"/>
          <w:color w:val="000000" w:themeColor="text1"/>
        </w:rPr>
        <w:t>简称“最大浓度占标率”），</w:t>
      </w:r>
      <w:r>
        <w:rPr>
          <w:bCs/>
          <w:i/>
          <w:color w:val="000000" w:themeColor="text1"/>
        </w:rPr>
        <w:t>Pi</w:t>
      </w:r>
      <w:r>
        <w:rPr>
          <w:rFonts w:hint="eastAsia"/>
          <w:bCs/>
          <w:color w:val="000000" w:themeColor="text1"/>
        </w:rPr>
        <w:t>定义为：</w:t>
      </w:r>
    </w:p>
    <w:p>
      <w:pPr>
        <w:ind w:firstLine="480"/>
        <w:jc w:val="center"/>
        <w:rPr>
          <w:bCs/>
          <w:color w:val="000000" w:themeColor="text1"/>
        </w:rPr>
      </w:pPr>
      <w:r>
        <w:rPr>
          <w:color w:val="000000" w:themeColor="text1"/>
        </w:rPr>
        <w:pict>
          <v:shape id="_x0000_i1029" o:spt="75" type="#_x0000_t75" style="height:31.25pt;width:82.85pt;" filled="f" o:preferrelative="t" stroked="f" coordsize="21600,21600" equationxml="&lt;">
            <v:path/>
            <v:fill on="f" focussize="0,0"/>
            <v:stroke on="f" joinstyle="miter"/>
            <v:imagedata r:id="rId29" chromakey="#FFFFFF" o:title=""/>
            <o:lock v:ext="edit" aspectratio="t"/>
            <w10:wrap type="none"/>
            <w10:anchorlock/>
          </v:shape>
        </w:pict>
      </w:r>
    </w:p>
    <w:p>
      <w:pPr>
        <w:ind w:firstLine="480"/>
        <w:rPr>
          <w:bCs/>
          <w:color w:val="000000" w:themeColor="text1"/>
        </w:rPr>
      </w:pPr>
      <w:r>
        <w:rPr>
          <w:rFonts w:hint="eastAsia"/>
          <w:bCs/>
          <w:color w:val="000000" w:themeColor="text1"/>
        </w:rPr>
        <w:t>式中：</w:t>
      </w:r>
    </w:p>
    <w:p>
      <w:pPr>
        <w:ind w:firstLine="1200" w:firstLineChars="500"/>
        <w:rPr>
          <w:bCs/>
          <w:color w:val="000000" w:themeColor="text1"/>
        </w:rPr>
      </w:pPr>
      <w:r>
        <w:rPr>
          <w:bCs/>
          <w:i/>
          <w:color w:val="000000" w:themeColor="text1"/>
        </w:rPr>
        <w:t>Pi</w:t>
      </w:r>
      <w:r>
        <w:rPr>
          <w:bCs/>
          <w:color w:val="000000" w:themeColor="text1"/>
        </w:rPr>
        <w:t>——</w:t>
      </w:r>
      <w:r>
        <w:rPr>
          <w:rFonts w:hint="eastAsia"/>
          <w:bCs/>
          <w:color w:val="000000" w:themeColor="text1"/>
        </w:rPr>
        <w:t>第</w:t>
      </w:r>
      <w:r>
        <w:rPr>
          <w:bCs/>
          <w:color w:val="000000" w:themeColor="text1"/>
        </w:rPr>
        <w:t>i</w:t>
      </w:r>
      <w:r>
        <w:rPr>
          <w:rFonts w:hint="eastAsia"/>
          <w:bCs/>
          <w:color w:val="000000" w:themeColor="text1"/>
        </w:rPr>
        <w:t>个污染物的最大地面质量浓度占标率，</w:t>
      </w:r>
      <w:r>
        <w:rPr>
          <w:bCs/>
          <w:color w:val="000000" w:themeColor="text1"/>
        </w:rPr>
        <w:t>%</w:t>
      </w:r>
      <w:r>
        <w:rPr>
          <w:rFonts w:hint="eastAsia"/>
          <w:bCs/>
          <w:color w:val="000000" w:themeColor="text1"/>
        </w:rPr>
        <w:t>；</w:t>
      </w:r>
    </w:p>
    <w:p>
      <w:pPr>
        <w:ind w:firstLine="1200" w:firstLineChars="500"/>
        <w:rPr>
          <w:bCs/>
          <w:color w:val="000000" w:themeColor="text1"/>
        </w:rPr>
      </w:pPr>
      <w:r>
        <w:rPr>
          <w:bCs/>
          <w:i/>
          <w:color w:val="000000" w:themeColor="text1"/>
        </w:rPr>
        <w:t>Ci</w:t>
      </w:r>
      <w:r>
        <w:rPr>
          <w:bCs/>
          <w:color w:val="000000" w:themeColor="text1"/>
        </w:rPr>
        <w:t>——</w:t>
      </w:r>
      <w:r>
        <w:rPr>
          <w:rFonts w:hint="eastAsia"/>
          <w:bCs/>
          <w:color w:val="000000" w:themeColor="text1"/>
        </w:rPr>
        <w:t>采用估算模式计算出的第</w:t>
      </w:r>
      <w:r>
        <w:rPr>
          <w:bCs/>
          <w:color w:val="000000" w:themeColor="text1"/>
        </w:rPr>
        <w:t>i</w:t>
      </w:r>
      <w:r>
        <w:rPr>
          <w:rFonts w:hint="eastAsia"/>
          <w:bCs/>
          <w:color w:val="000000" w:themeColor="text1"/>
        </w:rPr>
        <w:t>个污染物的最大地面质量浓度，</w:t>
      </w:r>
      <w:r>
        <w:rPr>
          <w:bCs/>
          <w:color w:val="000000" w:themeColor="text1"/>
        </w:rPr>
        <w:t>mg/m</w:t>
      </w:r>
      <w:r>
        <w:rPr>
          <w:bCs/>
          <w:color w:val="000000" w:themeColor="text1"/>
          <w:vertAlign w:val="superscript"/>
        </w:rPr>
        <w:t>3</w:t>
      </w:r>
      <w:r>
        <w:rPr>
          <w:rFonts w:hint="eastAsia"/>
          <w:bCs/>
          <w:color w:val="000000" w:themeColor="text1"/>
        </w:rPr>
        <w:t>；</w:t>
      </w:r>
    </w:p>
    <w:p>
      <w:pPr>
        <w:ind w:firstLine="1200" w:firstLineChars="500"/>
        <w:rPr>
          <w:bCs/>
          <w:color w:val="000000" w:themeColor="text1"/>
        </w:rPr>
      </w:pPr>
      <w:r>
        <w:rPr>
          <w:bCs/>
          <w:i/>
          <w:color w:val="000000" w:themeColor="text1"/>
        </w:rPr>
        <w:t>Coi</w:t>
      </w:r>
      <w:r>
        <w:rPr>
          <w:bCs/>
          <w:color w:val="000000" w:themeColor="text1"/>
        </w:rPr>
        <w:t>——</w:t>
      </w:r>
      <w:r>
        <w:rPr>
          <w:rFonts w:hint="eastAsia"/>
          <w:bCs/>
          <w:color w:val="000000" w:themeColor="text1"/>
        </w:rPr>
        <w:t>第</w:t>
      </w:r>
      <w:r>
        <w:rPr>
          <w:bCs/>
          <w:color w:val="000000" w:themeColor="text1"/>
        </w:rPr>
        <w:t>i</w:t>
      </w:r>
      <w:r>
        <w:rPr>
          <w:rFonts w:hint="eastAsia"/>
          <w:bCs/>
          <w:color w:val="000000" w:themeColor="text1"/>
        </w:rPr>
        <w:t>个污染物的环境空气质量浓度标准，</w:t>
      </w:r>
      <w:r>
        <w:rPr>
          <w:bCs/>
          <w:color w:val="000000" w:themeColor="text1"/>
        </w:rPr>
        <w:t>mg/m</w:t>
      </w:r>
      <w:r>
        <w:rPr>
          <w:bCs/>
          <w:color w:val="000000" w:themeColor="text1"/>
          <w:vertAlign w:val="superscript"/>
        </w:rPr>
        <w:t>3</w:t>
      </w:r>
      <w:r>
        <w:rPr>
          <w:rFonts w:hint="eastAsia"/>
          <w:bCs/>
          <w:color w:val="000000" w:themeColor="text1"/>
        </w:rPr>
        <w:t>；</w:t>
      </w:r>
    </w:p>
    <w:p>
      <w:pPr>
        <w:ind w:firstLine="480"/>
        <w:rPr>
          <w:color w:val="000000" w:themeColor="text1"/>
        </w:rPr>
      </w:pPr>
      <w:r>
        <w:rPr>
          <w:bCs/>
          <w:i/>
          <w:color w:val="000000" w:themeColor="text1"/>
        </w:rPr>
        <w:t>Coi</w:t>
      </w:r>
      <w:r>
        <w:rPr>
          <w:rFonts w:hint="eastAsia"/>
          <w:bCs/>
          <w:color w:val="000000" w:themeColor="text1"/>
        </w:rPr>
        <w:t>一般选用</w:t>
      </w:r>
      <w:r>
        <w:rPr>
          <w:bCs/>
          <w:color w:val="000000" w:themeColor="text1"/>
        </w:rPr>
        <w:t>GB3095</w:t>
      </w:r>
      <w:r>
        <w:rPr>
          <w:rFonts w:hint="eastAsia"/>
          <w:bCs/>
          <w:color w:val="000000" w:themeColor="text1"/>
        </w:rPr>
        <w:t>中</w:t>
      </w:r>
      <w:r>
        <w:rPr>
          <w:bCs/>
          <w:color w:val="000000" w:themeColor="text1"/>
        </w:rPr>
        <w:t>1h</w:t>
      </w:r>
      <w:r>
        <w:rPr>
          <w:rFonts w:hint="eastAsia"/>
          <w:bCs/>
          <w:color w:val="000000" w:themeColor="text1"/>
        </w:rPr>
        <w:t>平均取样时间的二级标准的质量浓度限值，对于没有小时浓度限值的污染物，可取日平均浓度限值的三倍值；</w:t>
      </w:r>
      <w:r>
        <w:rPr>
          <w:rFonts w:hint="eastAsia"/>
          <w:color w:val="000000" w:themeColor="text1"/>
        </w:rPr>
        <w:t>对</w:t>
      </w:r>
      <w:r>
        <w:rPr>
          <w:color w:val="000000" w:themeColor="text1"/>
        </w:rPr>
        <w:t>GB3095</w:t>
      </w:r>
      <w:r>
        <w:rPr>
          <w:rFonts w:hint="eastAsia"/>
          <w:color w:val="000000" w:themeColor="text1"/>
        </w:rPr>
        <w:t>未包含的污染物采用环评确定的相应质量标准中</w:t>
      </w:r>
      <w:r>
        <w:rPr>
          <w:color w:val="000000" w:themeColor="text1"/>
        </w:rPr>
        <w:t>1h</w:t>
      </w:r>
      <w:r>
        <w:rPr>
          <w:rFonts w:hint="eastAsia"/>
          <w:color w:val="000000" w:themeColor="text1"/>
        </w:rPr>
        <w:t>平均质量浓度限值。</w:t>
      </w:r>
    </w:p>
    <w:p>
      <w:pPr>
        <w:ind w:firstLine="480"/>
        <w:rPr>
          <w:color w:val="000000" w:themeColor="text1"/>
          <w:kern w:val="24"/>
          <w:szCs w:val="20"/>
        </w:rPr>
      </w:pPr>
      <w:r>
        <w:rPr>
          <w:rFonts w:hint="eastAsia"/>
          <w:color w:val="000000" w:themeColor="text1"/>
          <w:kern w:val="24"/>
          <w:szCs w:val="20"/>
        </w:rPr>
        <w:t>估算模型所用基本参数见表6.1.1-5。</w:t>
      </w:r>
    </w:p>
    <w:p>
      <w:pPr>
        <w:pStyle w:val="54"/>
        <w:rPr>
          <w:color w:val="000000" w:themeColor="text1"/>
          <w:kern w:val="24"/>
          <w:szCs w:val="20"/>
        </w:rPr>
      </w:pPr>
      <w:r>
        <w:rPr>
          <w:rFonts w:hint="eastAsia"/>
          <w:color w:val="000000" w:themeColor="text1"/>
          <w:kern w:val="24"/>
        </w:rPr>
        <w:t>表6.1.1-5  项目估算模型参数表</w:t>
      </w:r>
    </w:p>
    <w:tbl>
      <w:tblPr>
        <w:tblStyle w:val="42"/>
        <w:tblW w:w="6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9"/>
        <w:gridCol w:w="3078"/>
        <w:gridCol w:w="1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67"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24"/>
              </w:rPr>
            </w:pPr>
            <w:r>
              <w:rPr>
                <w:rFonts w:hint="eastAsia"/>
                <w:color w:val="000000" w:themeColor="text1"/>
                <w:kern w:val="24"/>
              </w:rPr>
              <w:t>参数</w:t>
            </w:r>
          </w:p>
        </w:tc>
        <w:tc>
          <w:tcPr>
            <w:tcW w:w="165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24"/>
              </w:rPr>
            </w:pPr>
            <w:r>
              <w:rPr>
                <w:rFonts w:hint="eastAsia"/>
                <w:color w:val="000000" w:themeColor="text1"/>
                <w:kern w:val="24"/>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9"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24"/>
              </w:rPr>
            </w:pPr>
            <w:r>
              <w:rPr>
                <w:rFonts w:hint="eastAsia"/>
                <w:color w:val="000000" w:themeColor="text1"/>
                <w:kern w:val="24"/>
              </w:rPr>
              <w:t>城市</w:t>
            </w:r>
            <w:r>
              <w:rPr>
                <w:color w:val="000000" w:themeColor="text1"/>
                <w:kern w:val="24"/>
              </w:rPr>
              <w:t>/</w:t>
            </w:r>
            <w:r>
              <w:rPr>
                <w:rFonts w:hint="eastAsia"/>
                <w:color w:val="000000" w:themeColor="text1"/>
                <w:kern w:val="24"/>
              </w:rPr>
              <w:t>农村选项</w:t>
            </w:r>
          </w:p>
        </w:tc>
        <w:tc>
          <w:tcPr>
            <w:tcW w:w="307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24"/>
              </w:rPr>
            </w:pPr>
            <w:r>
              <w:rPr>
                <w:rFonts w:hint="eastAsia"/>
                <w:color w:val="000000" w:themeColor="text1"/>
                <w:kern w:val="24"/>
              </w:rPr>
              <w:t>城市</w:t>
            </w:r>
            <w:r>
              <w:rPr>
                <w:color w:val="000000" w:themeColor="text1"/>
                <w:kern w:val="24"/>
              </w:rPr>
              <w:t>/</w:t>
            </w:r>
            <w:r>
              <w:rPr>
                <w:rFonts w:hint="eastAsia"/>
                <w:color w:val="000000" w:themeColor="text1"/>
                <w:kern w:val="24"/>
              </w:rPr>
              <w:t>农村</w:t>
            </w:r>
          </w:p>
        </w:tc>
        <w:tc>
          <w:tcPr>
            <w:tcW w:w="165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24"/>
              </w:rPr>
            </w:pPr>
            <w:r>
              <w:rPr>
                <w:rFonts w:hint="eastAsia"/>
                <w:color w:val="000000" w:themeColor="text1"/>
                <w:kern w:val="24"/>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9"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24"/>
              </w:rPr>
            </w:pPr>
          </w:p>
        </w:tc>
        <w:tc>
          <w:tcPr>
            <w:tcW w:w="307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24"/>
              </w:rPr>
            </w:pPr>
            <w:r>
              <w:rPr>
                <w:rFonts w:hint="eastAsia"/>
                <w:color w:val="000000" w:themeColor="text1"/>
                <w:kern w:val="24"/>
              </w:rPr>
              <w:t>人口数（城市选项时）</w:t>
            </w:r>
          </w:p>
        </w:tc>
        <w:tc>
          <w:tcPr>
            <w:tcW w:w="165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24"/>
              </w:rPr>
            </w:pPr>
            <w:r>
              <w:rPr>
                <w:color w:val="000000" w:themeColor="text1"/>
                <w:kern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67"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24"/>
              </w:rPr>
            </w:pPr>
            <w:r>
              <w:rPr>
                <w:rFonts w:hint="eastAsia"/>
                <w:color w:val="000000" w:themeColor="text1"/>
                <w:kern w:val="24"/>
              </w:rPr>
              <w:t>最高环境温度</w:t>
            </w:r>
            <w:r>
              <w:rPr>
                <w:color w:val="000000" w:themeColor="text1"/>
                <w:kern w:val="24"/>
              </w:rPr>
              <w:t>/</w:t>
            </w:r>
            <w:r>
              <w:rPr>
                <w:rFonts w:hint="eastAsia"/>
                <w:color w:val="000000" w:themeColor="text1"/>
                <w:kern w:val="24"/>
              </w:rPr>
              <w:t>℃</w:t>
            </w:r>
          </w:p>
        </w:tc>
        <w:tc>
          <w:tcPr>
            <w:tcW w:w="165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24"/>
              </w:rPr>
            </w:pPr>
            <w:r>
              <w:rPr>
                <w:color w:val="000000" w:themeColor="text1"/>
                <w:sz w:val="18"/>
              </w:rPr>
              <w:t>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67"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24"/>
              </w:rPr>
            </w:pPr>
            <w:r>
              <w:rPr>
                <w:rFonts w:hint="eastAsia"/>
                <w:color w:val="000000" w:themeColor="text1"/>
                <w:kern w:val="24"/>
              </w:rPr>
              <w:t>最低环境温度</w:t>
            </w:r>
            <w:r>
              <w:rPr>
                <w:color w:val="000000" w:themeColor="text1"/>
                <w:kern w:val="24"/>
              </w:rPr>
              <w:t>/</w:t>
            </w:r>
            <w:r>
              <w:rPr>
                <w:rFonts w:hint="eastAsia"/>
                <w:color w:val="000000" w:themeColor="text1"/>
                <w:kern w:val="24"/>
              </w:rPr>
              <w:t>℃</w:t>
            </w:r>
          </w:p>
        </w:tc>
        <w:tc>
          <w:tcPr>
            <w:tcW w:w="165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24"/>
              </w:rPr>
            </w:pPr>
            <w:r>
              <w:rPr>
                <w:color w:val="000000" w:themeColor="text1"/>
                <w:sz w:val="18"/>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67"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24"/>
              </w:rPr>
            </w:pPr>
            <w:r>
              <w:rPr>
                <w:rFonts w:hint="eastAsia"/>
                <w:color w:val="000000" w:themeColor="text1"/>
                <w:kern w:val="24"/>
              </w:rPr>
              <w:t>土地利用类型</w:t>
            </w:r>
          </w:p>
        </w:tc>
        <w:tc>
          <w:tcPr>
            <w:tcW w:w="165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24"/>
              </w:rPr>
            </w:pPr>
            <w:r>
              <w:rPr>
                <w:rFonts w:hint="eastAsia"/>
                <w:color w:val="000000" w:themeColor="text1"/>
              </w:rPr>
              <w:t>阔叶林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67"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24"/>
              </w:rPr>
            </w:pPr>
            <w:r>
              <w:rPr>
                <w:rFonts w:hint="eastAsia"/>
                <w:color w:val="000000" w:themeColor="text1"/>
                <w:kern w:val="24"/>
              </w:rPr>
              <w:t>区域湿度条件</w:t>
            </w:r>
          </w:p>
        </w:tc>
        <w:tc>
          <w:tcPr>
            <w:tcW w:w="165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24"/>
              </w:rPr>
            </w:pPr>
            <w:r>
              <w:rPr>
                <w:rFonts w:hint="eastAsia"/>
                <w:color w:val="000000" w:themeColor="text1"/>
              </w:rPr>
              <w:t>潮湿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9"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24"/>
              </w:rPr>
            </w:pPr>
            <w:r>
              <w:rPr>
                <w:rFonts w:hint="eastAsia"/>
                <w:color w:val="000000" w:themeColor="text1"/>
                <w:kern w:val="24"/>
              </w:rPr>
              <w:t>是否考虑地形</w:t>
            </w:r>
          </w:p>
        </w:tc>
        <w:tc>
          <w:tcPr>
            <w:tcW w:w="307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24"/>
              </w:rPr>
            </w:pPr>
            <w:r>
              <w:rPr>
                <w:rFonts w:hint="eastAsia"/>
                <w:color w:val="000000" w:themeColor="text1"/>
                <w:kern w:val="24"/>
              </w:rPr>
              <w:t>考虑地形</w:t>
            </w:r>
          </w:p>
        </w:tc>
        <w:tc>
          <w:tcPr>
            <w:tcW w:w="165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24"/>
              </w:rPr>
            </w:pPr>
            <w:r>
              <w:rPr>
                <w:rFonts w:hint="eastAsia"/>
                <w:color w:val="000000" w:themeColor="text1"/>
              </w:rPr>
              <w:t>□</w:t>
            </w:r>
            <w:r>
              <w:rPr>
                <w:rFonts w:hint="eastAsia"/>
                <w:color w:val="000000" w:themeColor="text1"/>
                <w:kern w:val="24"/>
              </w:rPr>
              <w:t>是</w:t>
            </w:r>
            <w:r>
              <w:rPr>
                <w:color w:val="000000" w:themeColor="text1"/>
                <w:kern w:val="24"/>
              </w:rPr>
              <w:t xml:space="preserve">    </w:t>
            </w:r>
            <w:r>
              <w:rPr>
                <w:rFonts w:hint="eastAsia" w:ascii="MS Mincho" w:hAnsi="MS Mincho" w:eastAsia="MS Mincho" w:cs="MS Mincho"/>
                <w:color w:val="000000" w:themeColor="text1"/>
              </w:rPr>
              <w:t>☑</w:t>
            </w:r>
            <w:r>
              <w:rPr>
                <w:rFonts w:hint="eastAsia"/>
                <w:color w:val="000000" w:themeColor="text1"/>
                <w:kern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9"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24"/>
              </w:rPr>
            </w:pPr>
          </w:p>
        </w:tc>
        <w:tc>
          <w:tcPr>
            <w:tcW w:w="307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24"/>
              </w:rPr>
            </w:pPr>
            <w:r>
              <w:rPr>
                <w:rFonts w:hint="eastAsia"/>
                <w:color w:val="000000" w:themeColor="text1"/>
                <w:kern w:val="24"/>
              </w:rPr>
              <w:t>地形数据分辨率</w:t>
            </w:r>
            <w:r>
              <w:rPr>
                <w:color w:val="000000" w:themeColor="text1"/>
                <w:kern w:val="24"/>
              </w:rPr>
              <w:t>/m</w:t>
            </w:r>
          </w:p>
        </w:tc>
        <w:tc>
          <w:tcPr>
            <w:tcW w:w="165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24"/>
              </w:rPr>
            </w:pPr>
            <w:r>
              <w:rPr>
                <w:color w:val="000000" w:themeColor="text1"/>
                <w:kern w:val="24"/>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9"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24"/>
              </w:rPr>
            </w:pPr>
            <w:r>
              <w:rPr>
                <w:rFonts w:hint="eastAsia"/>
                <w:color w:val="000000" w:themeColor="text1"/>
                <w:kern w:val="24"/>
              </w:rPr>
              <w:t>是否考虑岸线熏烟</w:t>
            </w:r>
          </w:p>
        </w:tc>
        <w:tc>
          <w:tcPr>
            <w:tcW w:w="307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24"/>
              </w:rPr>
            </w:pPr>
            <w:r>
              <w:rPr>
                <w:rFonts w:hint="eastAsia"/>
                <w:color w:val="000000" w:themeColor="text1"/>
                <w:kern w:val="24"/>
              </w:rPr>
              <w:t>考虑岸线熏烟</w:t>
            </w:r>
          </w:p>
        </w:tc>
        <w:tc>
          <w:tcPr>
            <w:tcW w:w="165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24"/>
              </w:rPr>
            </w:pPr>
            <w:r>
              <w:rPr>
                <w:rFonts w:hint="eastAsia"/>
                <w:color w:val="000000" w:themeColor="text1"/>
              </w:rPr>
              <w:t>□</w:t>
            </w:r>
            <w:r>
              <w:rPr>
                <w:rFonts w:hint="eastAsia"/>
                <w:color w:val="000000" w:themeColor="text1"/>
                <w:kern w:val="24"/>
              </w:rPr>
              <w:t>是</w:t>
            </w:r>
            <w:r>
              <w:rPr>
                <w:color w:val="000000" w:themeColor="text1"/>
                <w:kern w:val="24"/>
              </w:rPr>
              <w:t xml:space="preserve">    </w:t>
            </w:r>
            <w:r>
              <w:rPr>
                <w:rFonts w:hint="eastAsia" w:ascii="MS Mincho" w:hAnsi="MS Mincho" w:eastAsia="MS Mincho" w:cs="MS Mincho"/>
                <w:color w:val="000000" w:themeColor="text1"/>
              </w:rPr>
              <w:t>☑</w:t>
            </w:r>
            <w:r>
              <w:rPr>
                <w:rFonts w:hint="eastAsia"/>
                <w:color w:val="000000" w:themeColor="text1"/>
                <w:kern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9"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24"/>
              </w:rPr>
            </w:pPr>
          </w:p>
        </w:tc>
        <w:tc>
          <w:tcPr>
            <w:tcW w:w="307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24"/>
              </w:rPr>
            </w:pPr>
            <w:r>
              <w:rPr>
                <w:rFonts w:hint="eastAsia"/>
                <w:color w:val="000000" w:themeColor="text1"/>
                <w:kern w:val="24"/>
              </w:rPr>
              <w:t>岸线距离</w:t>
            </w:r>
            <w:r>
              <w:rPr>
                <w:color w:val="000000" w:themeColor="text1"/>
                <w:kern w:val="24"/>
              </w:rPr>
              <w:t>/m</w:t>
            </w:r>
          </w:p>
        </w:tc>
        <w:tc>
          <w:tcPr>
            <w:tcW w:w="165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24"/>
              </w:rPr>
            </w:pPr>
            <w:r>
              <w:rPr>
                <w:color w:val="000000" w:themeColor="text1"/>
                <w:kern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9"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24"/>
              </w:rPr>
            </w:pPr>
          </w:p>
        </w:tc>
        <w:tc>
          <w:tcPr>
            <w:tcW w:w="307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24"/>
              </w:rPr>
            </w:pPr>
            <w:r>
              <w:rPr>
                <w:rFonts w:hint="eastAsia"/>
                <w:color w:val="000000" w:themeColor="text1"/>
                <w:kern w:val="24"/>
              </w:rPr>
              <w:t>岸线方向</w:t>
            </w:r>
            <w:r>
              <w:rPr>
                <w:color w:val="000000" w:themeColor="text1"/>
                <w:kern w:val="24"/>
              </w:rPr>
              <w:t>/</w:t>
            </w:r>
            <w:r>
              <w:rPr>
                <w:rFonts w:hint="eastAsia"/>
                <w:color w:val="000000" w:themeColor="text1"/>
                <w:kern w:val="24"/>
              </w:rPr>
              <w:t>°</w:t>
            </w:r>
          </w:p>
        </w:tc>
        <w:tc>
          <w:tcPr>
            <w:tcW w:w="165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24"/>
              </w:rPr>
            </w:pPr>
            <w:r>
              <w:rPr>
                <w:color w:val="000000" w:themeColor="text1"/>
                <w:kern w:val="24"/>
              </w:rPr>
              <w:t>/</w:t>
            </w:r>
          </w:p>
        </w:tc>
      </w:tr>
    </w:tbl>
    <w:p>
      <w:pPr>
        <w:pStyle w:val="57"/>
        <w:ind w:firstLine="482"/>
        <w:rPr>
          <w:color w:val="000000" w:themeColor="text1"/>
          <w:szCs w:val="24"/>
        </w:rPr>
      </w:pPr>
      <w:r>
        <w:rPr>
          <w:color w:val="000000" w:themeColor="text1"/>
        </w:rPr>
        <w:t>6.1.</w:t>
      </w:r>
      <w:r>
        <w:rPr>
          <w:rFonts w:hint="eastAsia"/>
          <w:color w:val="000000" w:themeColor="text1"/>
        </w:rPr>
        <w:t>2</w:t>
      </w:r>
      <w:r>
        <w:rPr>
          <w:color w:val="000000" w:themeColor="text1"/>
        </w:rPr>
        <w:t>.1运营期</w:t>
      </w:r>
      <w:r>
        <w:rPr>
          <w:rFonts w:hint="eastAsia"/>
          <w:color w:val="000000" w:themeColor="text1"/>
        </w:rPr>
        <w:t>恶臭污染源强及环境影响评价</w:t>
      </w:r>
    </w:p>
    <w:p>
      <w:pPr>
        <w:ind w:firstLine="482"/>
        <w:rPr>
          <w:b/>
          <w:color w:val="000000" w:themeColor="text1"/>
        </w:rPr>
      </w:pPr>
      <w:r>
        <w:rPr>
          <w:rFonts w:hint="eastAsia"/>
          <w:b/>
          <w:color w:val="000000" w:themeColor="text1"/>
        </w:rPr>
        <w:t>1、恶臭源强</w:t>
      </w:r>
    </w:p>
    <w:p>
      <w:pPr>
        <w:ind w:firstLine="480"/>
        <w:rPr>
          <w:color w:val="000000" w:themeColor="text1"/>
        </w:rPr>
      </w:pPr>
      <w:r>
        <w:rPr>
          <w:rFonts w:hint="eastAsia"/>
          <w:color w:val="000000" w:themeColor="text1"/>
        </w:rPr>
        <w:t>项目恶臭主要来自生猪待宰间及屠宰间、宰鸡场待宰圈及屠宰间、污水处理系统。恶臭气体中主要含有</w:t>
      </w:r>
      <w:r>
        <w:rPr>
          <w:color w:val="000000" w:themeColor="text1"/>
        </w:rPr>
        <w:t>NH</w:t>
      </w:r>
      <w:r>
        <w:rPr>
          <w:color w:val="000000" w:themeColor="text1"/>
          <w:vertAlign w:val="subscript"/>
        </w:rPr>
        <w:t>3</w:t>
      </w:r>
      <w:r>
        <w:rPr>
          <w:rFonts w:hint="eastAsia"/>
          <w:color w:val="000000" w:themeColor="text1"/>
        </w:rPr>
        <w:t>、</w:t>
      </w:r>
      <w:r>
        <w:rPr>
          <w:color w:val="000000" w:themeColor="text1"/>
        </w:rPr>
        <w:t>H</w:t>
      </w:r>
      <w:r>
        <w:rPr>
          <w:color w:val="000000" w:themeColor="text1"/>
          <w:vertAlign w:val="subscript"/>
        </w:rPr>
        <w:t>2</w:t>
      </w:r>
      <w:r>
        <w:rPr>
          <w:color w:val="000000" w:themeColor="text1"/>
        </w:rPr>
        <w:t>S</w:t>
      </w:r>
      <w:r>
        <w:rPr>
          <w:rFonts w:hint="eastAsia"/>
          <w:color w:val="000000" w:themeColor="text1"/>
        </w:rPr>
        <w:t>。根据工程分析可知，生猪待宰间及屠宰间、宰鸡场待宰圈及屠宰间、污水处理系统过程产生的恶臭均为无组织形式排放。项目恶臭污染物排放情况见表</w:t>
      </w:r>
      <w:r>
        <w:rPr>
          <w:color w:val="000000" w:themeColor="text1"/>
        </w:rPr>
        <w:t>6.1</w:t>
      </w:r>
      <w:r>
        <w:rPr>
          <w:rFonts w:hint="eastAsia"/>
          <w:color w:val="000000" w:themeColor="text1"/>
        </w:rPr>
        <w:t>.2</w:t>
      </w:r>
      <w:r>
        <w:rPr>
          <w:color w:val="000000" w:themeColor="text1"/>
        </w:rPr>
        <w:t>-1</w:t>
      </w:r>
      <w:r>
        <w:rPr>
          <w:rFonts w:hint="eastAsia"/>
          <w:color w:val="000000" w:themeColor="text1"/>
        </w:rPr>
        <w:t>。</w:t>
      </w:r>
    </w:p>
    <w:p>
      <w:pPr>
        <w:pStyle w:val="54"/>
        <w:rPr>
          <w:color w:val="000000" w:themeColor="text1"/>
        </w:rPr>
      </w:pPr>
      <w:r>
        <w:rPr>
          <w:rFonts w:hint="eastAsia"/>
          <w:color w:val="000000" w:themeColor="text1"/>
        </w:rPr>
        <w:t>表</w:t>
      </w:r>
      <w:r>
        <w:rPr>
          <w:color w:val="000000" w:themeColor="text1"/>
        </w:rPr>
        <w:t>6.1</w:t>
      </w:r>
      <w:r>
        <w:rPr>
          <w:rFonts w:hint="eastAsia"/>
          <w:color w:val="000000" w:themeColor="text1"/>
        </w:rPr>
        <w:t>.2</w:t>
      </w:r>
      <w:r>
        <w:rPr>
          <w:color w:val="000000" w:themeColor="text1"/>
        </w:rPr>
        <w:t xml:space="preserve">-1   </w:t>
      </w:r>
      <w:r>
        <w:rPr>
          <w:rFonts w:hint="eastAsia"/>
          <w:color w:val="000000" w:themeColor="text1"/>
        </w:rPr>
        <w:t>项目恶臭污染物排放一览表</w:t>
      </w:r>
    </w:p>
    <w:tbl>
      <w:tblPr>
        <w:tblStyle w:val="42"/>
        <w:tblW w:w="7426" w:type="dxa"/>
        <w:jc w:val="center"/>
        <w:tblLayout w:type="fixed"/>
        <w:tblCellMar>
          <w:top w:w="0" w:type="dxa"/>
          <w:left w:w="108" w:type="dxa"/>
          <w:bottom w:w="0" w:type="dxa"/>
          <w:right w:w="108" w:type="dxa"/>
        </w:tblCellMar>
      </w:tblPr>
      <w:tblGrid>
        <w:gridCol w:w="479"/>
        <w:gridCol w:w="993"/>
        <w:gridCol w:w="1560"/>
        <w:gridCol w:w="1490"/>
        <w:gridCol w:w="1345"/>
        <w:gridCol w:w="1559"/>
      </w:tblGrid>
      <w:tr>
        <w:tblPrEx>
          <w:tblCellMar>
            <w:top w:w="0" w:type="dxa"/>
            <w:left w:w="108" w:type="dxa"/>
            <w:bottom w:w="0" w:type="dxa"/>
            <w:right w:w="108" w:type="dxa"/>
          </w:tblCellMar>
        </w:tblPrEx>
        <w:trPr>
          <w:jc w:val="center"/>
        </w:trPr>
        <w:tc>
          <w:tcPr>
            <w:tcW w:w="1472" w:type="dxa"/>
            <w:gridSpan w:val="2"/>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污染物</w:t>
            </w:r>
          </w:p>
        </w:tc>
        <w:tc>
          <w:tcPr>
            <w:tcW w:w="3050"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NH</w:t>
            </w:r>
            <w:r>
              <w:rPr>
                <w:color w:val="000000" w:themeColor="text1"/>
                <w:vertAlign w:val="subscript"/>
              </w:rPr>
              <w:t>3</w:t>
            </w:r>
          </w:p>
        </w:tc>
        <w:tc>
          <w:tcPr>
            <w:tcW w:w="290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H</w:t>
            </w:r>
            <w:r>
              <w:rPr>
                <w:color w:val="000000" w:themeColor="text1"/>
                <w:vertAlign w:val="subscript"/>
              </w:rPr>
              <w:t>2</w:t>
            </w:r>
            <w:r>
              <w:rPr>
                <w:color w:val="000000" w:themeColor="text1"/>
              </w:rPr>
              <w:t>S</w:t>
            </w:r>
          </w:p>
        </w:tc>
      </w:tr>
      <w:tr>
        <w:tblPrEx>
          <w:tblCellMar>
            <w:top w:w="0" w:type="dxa"/>
            <w:left w:w="108" w:type="dxa"/>
            <w:bottom w:w="0" w:type="dxa"/>
            <w:right w:w="108" w:type="dxa"/>
          </w:tblCellMar>
        </w:tblPrEx>
        <w:trPr>
          <w:jc w:val="center"/>
        </w:trPr>
        <w:tc>
          <w:tcPr>
            <w:tcW w:w="1472"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排放量</w:t>
            </w:r>
            <w:r>
              <w:rPr>
                <w:color w:val="000000" w:themeColor="text1"/>
              </w:rPr>
              <w:t>t/a</w:t>
            </w:r>
          </w:p>
        </w:tc>
        <w:tc>
          <w:tcPr>
            <w:tcW w:w="149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排放速率</w:t>
            </w:r>
            <w:r>
              <w:rPr>
                <w:rFonts w:hint="eastAsia"/>
                <w:color w:val="000000" w:themeColor="text1"/>
              </w:rPr>
              <w:t>g/s</w:t>
            </w:r>
          </w:p>
        </w:tc>
        <w:tc>
          <w:tcPr>
            <w:tcW w:w="134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排放量</w:t>
            </w:r>
            <w:r>
              <w:rPr>
                <w:color w:val="000000" w:themeColor="text1"/>
              </w:rPr>
              <w:t>t/a</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排放速率</w:t>
            </w:r>
            <w:r>
              <w:rPr>
                <w:rFonts w:hint="eastAsia"/>
                <w:color w:val="000000" w:themeColor="text1"/>
              </w:rPr>
              <w:t>g/s</w:t>
            </w:r>
          </w:p>
        </w:tc>
      </w:tr>
      <w:tr>
        <w:tblPrEx>
          <w:tblCellMar>
            <w:top w:w="0" w:type="dxa"/>
            <w:left w:w="108" w:type="dxa"/>
            <w:bottom w:w="0" w:type="dxa"/>
            <w:right w:w="108" w:type="dxa"/>
          </w:tblCellMar>
        </w:tblPrEx>
        <w:trPr>
          <w:jc w:val="center"/>
        </w:trPr>
        <w:tc>
          <w:tcPr>
            <w:tcW w:w="47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恶臭</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无组织排放</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0.3393</w:t>
            </w:r>
          </w:p>
        </w:tc>
        <w:tc>
          <w:tcPr>
            <w:tcW w:w="149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0.0162</w:t>
            </w:r>
          </w:p>
        </w:tc>
        <w:tc>
          <w:tcPr>
            <w:tcW w:w="134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0.01322</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0.00063</w:t>
            </w:r>
          </w:p>
        </w:tc>
      </w:tr>
    </w:tbl>
    <w:p>
      <w:pPr>
        <w:ind w:firstLine="482"/>
        <w:rPr>
          <w:rFonts w:cs="Times New Roman"/>
          <w:b/>
          <w:color w:val="000000" w:themeColor="text1"/>
          <w:kern w:val="0"/>
        </w:rPr>
      </w:pPr>
      <w:r>
        <w:rPr>
          <w:rFonts w:hint="eastAsia"/>
          <w:b/>
          <w:color w:val="000000" w:themeColor="text1"/>
        </w:rPr>
        <w:t>2、恶臭环境影响预测</w:t>
      </w:r>
    </w:p>
    <w:p>
      <w:pPr>
        <w:ind w:firstLine="480"/>
        <w:rPr>
          <w:color w:val="000000" w:themeColor="text1"/>
        </w:rPr>
      </w:pPr>
      <w:r>
        <w:rPr>
          <w:rFonts w:hint="eastAsia"/>
          <w:color w:val="000000" w:themeColor="text1"/>
        </w:rPr>
        <w:t>（1）工程排放参数设置</w:t>
      </w:r>
    </w:p>
    <w:p>
      <w:pPr>
        <w:ind w:firstLine="480"/>
        <w:rPr>
          <w:color w:val="000000" w:themeColor="text1"/>
        </w:rPr>
      </w:pPr>
      <w:r>
        <w:rPr>
          <w:rFonts w:hint="eastAsia"/>
          <w:color w:val="000000" w:themeColor="text1"/>
        </w:rPr>
        <w:t>根据《环境影响评价技术导则</w:t>
      </w:r>
      <w:r>
        <w:rPr>
          <w:color w:val="000000" w:themeColor="text1"/>
        </w:rPr>
        <w:t xml:space="preserve"> </w:t>
      </w:r>
      <w:r>
        <w:rPr>
          <w:rFonts w:hint="eastAsia"/>
          <w:color w:val="000000" w:themeColor="text1"/>
        </w:rPr>
        <w:t>大气环境》（</w:t>
      </w:r>
      <w:r>
        <w:rPr>
          <w:color w:val="000000" w:themeColor="text1"/>
        </w:rPr>
        <w:t>HJ2.2-20</w:t>
      </w:r>
      <w:r>
        <w:rPr>
          <w:rFonts w:hint="eastAsia"/>
          <w:color w:val="000000" w:themeColor="text1"/>
        </w:rPr>
        <w:t>18）的有关规定，本次评价采用估算模式来计算</w:t>
      </w:r>
      <w:r>
        <w:rPr>
          <w:color w:val="000000" w:themeColor="text1"/>
        </w:rPr>
        <w:t>NH</w:t>
      </w:r>
      <w:r>
        <w:rPr>
          <w:color w:val="000000" w:themeColor="text1"/>
          <w:vertAlign w:val="subscript"/>
        </w:rPr>
        <w:t>3</w:t>
      </w:r>
      <w:r>
        <w:rPr>
          <w:rFonts w:hint="eastAsia"/>
          <w:color w:val="000000" w:themeColor="text1"/>
        </w:rPr>
        <w:t>和</w:t>
      </w:r>
      <w:r>
        <w:rPr>
          <w:color w:val="000000" w:themeColor="text1"/>
        </w:rPr>
        <w:t>H</w:t>
      </w:r>
      <w:r>
        <w:rPr>
          <w:color w:val="000000" w:themeColor="text1"/>
          <w:vertAlign w:val="subscript"/>
        </w:rPr>
        <w:t>2</w:t>
      </w:r>
      <w:r>
        <w:rPr>
          <w:color w:val="000000" w:themeColor="text1"/>
        </w:rPr>
        <w:t>S</w:t>
      </w:r>
      <w:r>
        <w:rPr>
          <w:rFonts w:hint="eastAsia"/>
          <w:color w:val="000000" w:themeColor="text1"/>
        </w:rPr>
        <w:t>的最大地面浓度，来判定大气工作等级。无组织排放的氨气和硫化氢的质量标准执行</w:t>
      </w:r>
      <w:r>
        <w:rPr>
          <w:rFonts w:hint="eastAsia"/>
          <w:color w:val="000000" w:themeColor="text1"/>
          <w:szCs w:val="24"/>
          <w:lang w:val="zh-CN"/>
        </w:rPr>
        <w:t>《环境影响评价技术导则</w:t>
      </w:r>
      <w:r>
        <w:rPr>
          <w:color w:val="000000" w:themeColor="text1"/>
          <w:szCs w:val="24"/>
        </w:rPr>
        <w:t xml:space="preserve"> </w:t>
      </w:r>
      <w:r>
        <w:rPr>
          <w:rFonts w:hint="eastAsia"/>
          <w:color w:val="000000" w:themeColor="text1"/>
          <w:szCs w:val="24"/>
        </w:rPr>
        <w:t>大气环境</w:t>
      </w:r>
      <w:r>
        <w:rPr>
          <w:rFonts w:hint="eastAsia"/>
          <w:color w:val="000000" w:themeColor="text1"/>
          <w:szCs w:val="24"/>
          <w:lang w:val="zh-CN"/>
        </w:rPr>
        <w:t>》（</w:t>
      </w:r>
      <w:r>
        <w:rPr>
          <w:color w:val="000000" w:themeColor="text1"/>
          <w:szCs w:val="24"/>
        </w:rPr>
        <w:t>HJ2.2—2018</w:t>
      </w:r>
      <w:r>
        <w:rPr>
          <w:rFonts w:hint="eastAsia"/>
          <w:color w:val="000000" w:themeColor="text1"/>
          <w:szCs w:val="24"/>
          <w:lang w:val="zh-CN"/>
        </w:rPr>
        <w:t>）</w:t>
      </w:r>
      <w:r>
        <w:rPr>
          <w:rFonts w:hint="eastAsia"/>
          <w:color w:val="000000" w:themeColor="text1"/>
          <w:szCs w:val="24"/>
        </w:rPr>
        <w:t>附录</w:t>
      </w:r>
      <w:r>
        <w:rPr>
          <w:color w:val="000000" w:themeColor="text1"/>
          <w:szCs w:val="24"/>
        </w:rPr>
        <w:t>D</w:t>
      </w:r>
      <w:r>
        <w:rPr>
          <w:rFonts w:hint="eastAsia"/>
          <w:color w:val="000000" w:themeColor="text1"/>
          <w:szCs w:val="24"/>
        </w:rPr>
        <w:t>中的浓度限值（</w:t>
      </w:r>
      <w:r>
        <w:rPr>
          <w:color w:val="000000" w:themeColor="text1"/>
          <w:szCs w:val="24"/>
        </w:rPr>
        <w:t>NH</w:t>
      </w:r>
      <w:r>
        <w:rPr>
          <w:color w:val="000000" w:themeColor="text1"/>
          <w:szCs w:val="24"/>
          <w:vertAlign w:val="subscript"/>
        </w:rPr>
        <w:t>3</w:t>
      </w:r>
      <w:r>
        <w:rPr>
          <w:rFonts w:hint="eastAsia"/>
          <w:color w:val="000000" w:themeColor="text1"/>
          <w:szCs w:val="24"/>
        </w:rPr>
        <w:t>：200</w:t>
      </w:r>
      <w:r>
        <w:rPr>
          <w:rFonts w:cs="Times New Roman"/>
          <w:color w:val="000000" w:themeColor="text1"/>
          <w:szCs w:val="24"/>
        </w:rPr>
        <w:t>μ</w:t>
      </w:r>
      <w:r>
        <w:rPr>
          <w:color w:val="000000" w:themeColor="text1"/>
          <w:szCs w:val="24"/>
        </w:rPr>
        <w:t>g/ m³</w:t>
      </w:r>
      <w:r>
        <w:rPr>
          <w:rFonts w:hint="eastAsia"/>
          <w:color w:val="000000" w:themeColor="text1"/>
          <w:szCs w:val="24"/>
        </w:rPr>
        <w:t>、</w:t>
      </w:r>
      <w:r>
        <w:rPr>
          <w:color w:val="000000" w:themeColor="text1"/>
          <w:szCs w:val="24"/>
        </w:rPr>
        <w:t>H</w:t>
      </w:r>
      <w:r>
        <w:rPr>
          <w:color w:val="000000" w:themeColor="text1"/>
          <w:szCs w:val="24"/>
          <w:vertAlign w:val="subscript"/>
        </w:rPr>
        <w:t>2</w:t>
      </w:r>
      <w:r>
        <w:rPr>
          <w:color w:val="000000" w:themeColor="text1"/>
          <w:szCs w:val="24"/>
        </w:rPr>
        <w:t>S</w:t>
      </w:r>
      <w:r>
        <w:rPr>
          <w:rFonts w:hint="eastAsia"/>
          <w:color w:val="000000" w:themeColor="text1"/>
          <w:szCs w:val="24"/>
        </w:rPr>
        <w:t>：10</w:t>
      </w:r>
      <w:r>
        <w:rPr>
          <w:rFonts w:cs="Times New Roman"/>
          <w:color w:val="000000" w:themeColor="text1"/>
          <w:szCs w:val="24"/>
        </w:rPr>
        <w:t>μ</w:t>
      </w:r>
      <w:r>
        <w:rPr>
          <w:color w:val="000000" w:themeColor="text1"/>
          <w:szCs w:val="24"/>
        </w:rPr>
        <w:t>g/ m³</w:t>
      </w:r>
      <w:r>
        <w:rPr>
          <w:rFonts w:hint="eastAsia"/>
          <w:color w:val="000000" w:themeColor="text1"/>
          <w:szCs w:val="24"/>
        </w:rPr>
        <w:t>）</w:t>
      </w:r>
      <w:r>
        <w:rPr>
          <w:rFonts w:hint="eastAsia"/>
          <w:color w:val="000000" w:themeColor="text1"/>
        </w:rPr>
        <w:t>。污染面源参数按照整个厂区为面源（包括生猪屠宰车间、待宰间、生鸡待宰圈、生鸡屠宰车间、污水处理设施等）的参数见表</w:t>
      </w:r>
      <w:r>
        <w:rPr>
          <w:color w:val="000000" w:themeColor="text1"/>
        </w:rPr>
        <w:t>6.1</w:t>
      </w:r>
      <w:r>
        <w:rPr>
          <w:rFonts w:hint="eastAsia"/>
          <w:color w:val="000000" w:themeColor="text1"/>
        </w:rPr>
        <w:t>.2</w:t>
      </w:r>
      <w:r>
        <w:rPr>
          <w:color w:val="000000" w:themeColor="text1"/>
        </w:rPr>
        <w:t>-2</w:t>
      </w:r>
      <w:r>
        <w:rPr>
          <w:rFonts w:hint="eastAsia"/>
          <w:color w:val="000000" w:themeColor="text1"/>
        </w:rPr>
        <w:t>。</w:t>
      </w:r>
    </w:p>
    <w:p>
      <w:pPr>
        <w:pStyle w:val="54"/>
        <w:rPr>
          <w:color w:val="000000" w:themeColor="text1"/>
        </w:rPr>
      </w:pPr>
      <w:r>
        <w:rPr>
          <w:rFonts w:hint="eastAsia"/>
          <w:color w:val="000000" w:themeColor="text1"/>
        </w:rPr>
        <w:t>表</w:t>
      </w:r>
      <w:r>
        <w:rPr>
          <w:color w:val="000000" w:themeColor="text1"/>
        </w:rPr>
        <w:t>6.1</w:t>
      </w:r>
      <w:r>
        <w:rPr>
          <w:rFonts w:hint="eastAsia"/>
          <w:color w:val="000000" w:themeColor="text1"/>
        </w:rPr>
        <w:t>.2</w:t>
      </w:r>
      <w:r>
        <w:rPr>
          <w:color w:val="000000" w:themeColor="text1"/>
        </w:rPr>
        <w:t xml:space="preserve">-2   </w:t>
      </w:r>
      <w:r>
        <w:rPr>
          <w:rFonts w:hint="eastAsia"/>
          <w:color w:val="000000" w:themeColor="text1"/>
          <w:szCs w:val="21"/>
        </w:rPr>
        <w:t>无组织</w:t>
      </w:r>
      <w:r>
        <w:rPr>
          <w:rFonts w:hint="eastAsia"/>
          <w:color w:val="000000" w:themeColor="text1"/>
        </w:rPr>
        <w:t>恶臭</w:t>
      </w:r>
      <w:r>
        <w:rPr>
          <w:rFonts w:hint="eastAsia"/>
          <w:color w:val="000000" w:themeColor="text1"/>
          <w:szCs w:val="21"/>
        </w:rPr>
        <w:t>排放预测参数一览表</w:t>
      </w:r>
    </w:p>
    <w:tbl>
      <w:tblPr>
        <w:tblStyle w:val="42"/>
        <w:tblW w:w="95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769"/>
        <w:gridCol w:w="816"/>
        <w:gridCol w:w="709"/>
        <w:gridCol w:w="708"/>
        <w:gridCol w:w="709"/>
        <w:gridCol w:w="709"/>
        <w:gridCol w:w="707"/>
        <w:gridCol w:w="992"/>
        <w:gridCol w:w="850"/>
        <w:gridCol w:w="709"/>
        <w:gridCol w:w="7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56"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编号</w:t>
            </w:r>
          </w:p>
        </w:tc>
        <w:tc>
          <w:tcPr>
            <w:tcW w:w="769"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szCs w:val="21"/>
              </w:rPr>
              <w:t>名称</w:t>
            </w:r>
          </w:p>
        </w:tc>
        <w:tc>
          <w:tcPr>
            <w:tcW w:w="1525"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szCs w:val="21"/>
              </w:rPr>
              <w:t>面源起点坐标</w:t>
            </w:r>
            <w:r>
              <w:rPr>
                <w:rFonts w:hint="eastAsia"/>
                <w:color w:val="000000" w:themeColor="text1"/>
              </w:rPr>
              <w:t>/m</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szCs w:val="21"/>
              </w:rPr>
              <w:t>面源海拔高度</w:t>
            </w:r>
            <w:r>
              <w:rPr>
                <w:color w:val="000000" w:themeColor="text1"/>
                <w:szCs w:val="21"/>
              </w:rPr>
              <w:t>/m</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szCs w:val="21"/>
              </w:rPr>
              <w:t>面源长度</w:t>
            </w:r>
            <w:r>
              <w:rPr>
                <w:color w:val="000000" w:themeColor="text1"/>
                <w:szCs w:val="21"/>
              </w:rPr>
              <w:t>/m</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szCs w:val="21"/>
              </w:rPr>
              <w:t>面源宽度</w:t>
            </w:r>
            <w:r>
              <w:rPr>
                <w:color w:val="000000" w:themeColor="text1"/>
                <w:szCs w:val="21"/>
              </w:rPr>
              <w:t>/m</w:t>
            </w:r>
          </w:p>
        </w:tc>
        <w:tc>
          <w:tcPr>
            <w:tcW w:w="707"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szCs w:val="21"/>
              </w:rPr>
              <w:t>与正北向夹角</w:t>
            </w:r>
            <w:r>
              <w:rPr>
                <w:color w:val="000000" w:themeColor="text1"/>
                <w:szCs w:val="21"/>
              </w:rPr>
              <w:t>/</w:t>
            </w:r>
            <w:r>
              <w:rPr>
                <w:color w:val="000000" w:themeColor="text1"/>
              </w:rPr>
              <w:t>（</w:t>
            </w:r>
            <w:r>
              <w:rPr>
                <w:color w:val="000000" w:themeColor="text1"/>
                <w:szCs w:val="21"/>
              </w:rPr>
              <w:t>°</w:t>
            </w:r>
            <w:r>
              <w:rPr>
                <w:color w:val="000000" w:themeColor="text1"/>
              </w:rPr>
              <w:t>）</w:t>
            </w:r>
          </w:p>
        </w:tc>
        <w:tc>
          <w:tcPr>
            <w:tcW w:w="992"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szCs w:val="21"/>
              </w:rPr>
              <w:t>面源有效排放高度</w:t>
            </w:r>
            <w:r>
              <w:rPr>
                <w:color w:val="000000" w:themeColor="text1"/>
                <w:szCs w:val="21"/>
              </w:rPr>
              <w:t>/m</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szCs w:val="21"/>
              </w:rPr>
              <w:t>年排放小时数</w:t>
            </w:r>
            <w:r>
              <w:rPr>
                <w:color w:val="000000" w:themeColor="text1"/>
                <w:szCs w:val="21"/>
              </w:rPr>
              <w:t>/h</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szCs w:val="21"/>
              </w:rPr>
              <w:t>排放工况</w:t>
            </w:r>
          </w:p>
        </w:tc>
        <w:tc>
          <w:tcPr>
            <w:tcW w:w="1418"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szCs w:val="21"/>
              </w:rPr>
              <w:t>污染物排放速率</w:t>
            </w:r>
            <w:r>
              <w:rPr>
                <w:color w:val="000000" w:themeColor="text1"/>
                <w:szCs w:val="21"/>
              </w:rPr>
              <w:t>/</w:t>
            </w:r>
            <w:r>
              <w:rPr>
                <w:rFonts w:hint="eastAsia"/>
                <w:color w:val="000000" w:themeColor="text1"/>
                <w:szCs w:val="21"/>
              </w:rPr>
              <w:t>（</w:t>
            </w:r>
            <w:r>
              <w:rPr>
                <w:color w:val="000000" w:themeColor="text1"/>
                <w:szCs w:val="21"/>
              </w:rPr>
              <w:t>kg/h</w:t>
            </w:r>
            <w:r>
              <w:rPr>
                <w:rFonts w:hint="eastAsia"/>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56"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769"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经度</w:t>
            </w:r>
          </w:p>
        </w:tc>
        <w:tc>
          <w:tcPr>
            <w:tcW w:w="70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纬度</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p>
        </w:tc>
        <w:tc>
          <w:tcPr>
            <w:tcW w:w="70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rPr>
              <w:t>NH</w:t>
            </w:r>
            <w:r>
              <w:rPr>
                <w:color w:val="000000" w:themeColor="text1"/>
                <w:vertAlign w:val="subscript"/>
              </w:rPr>
              <w:t>3</w:t>
            </w:r>
          </w:p>
        </w:tc>
        <w:tc>
          <w:tcPr>
            <w:tcW w:w="70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rPr>
              <w:t>H</w:t>
            </w:r>
            <w:r>
              <w:rPr>
                <w:color w:val="000000" w:themeColor="text1"/>
                <w:vertAlign w:val="subscript"/>
              </w:rPr>
              <w:t>2</w:t>
            </w:r>
            <w:r>
              <w:rPr>
                <w:color w:val="000000" w:themeColor="text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w:t>
            </w:r>
          </w:p>
        </w:tc>
        <w:tc>
          <w:tcPr>
            <w:tcW w:w="76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全厂无组织恶臭</w:t>
            </w:r>
          </w:p>
        </w:tc>
        <w:tc>
          <w:tcPr>
            <w:tcW w:w="8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szCs w:val="20"/>
              </w:rPr>
              <w:t>E</w:t>
            </w:r>
            <w:r>
              <w:rPr>
                <w:color w:val="000000" w:themeColor="text1"/>
                <w:kern w:val="0"/>
              </w:rPr>
              <w:t>104°19'59.93"</w:t>
            </w:r>
          </w:p>
        </w:tc>
        <w:tc>
          <w:tcPr>
            <w:tcW w:w="70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szCs w:val="20"/>
              </w:rPr>
              <w:t>N</w:t>
            </w:r>
            <w:r>
              <w:rPr>
                <w:color w:val="000000" w:themeColor="text1"/>
                <w:kern w:val="0"/>
              </w:rPr>
              <w:t>23°40'15.40"</w:t>
            </w:r>
          </w:p>
        </w:tc>
        <w:tc>
          <w:tcPr>
            <w:tcW w:w="70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szCs w:val="20"/>
              </w:rPr>
              <w:t>1950</w:t>
            </w:r>
          </w:p>
        </w:tc>
        <w:tc>
          <w:tcPr>
            <w:tcW w:w="70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szCs w:val="20"/>
              </w:rPr>
              <w:t>118</w:t>
            </w:r>
          </w:p>
        </w:tc>
        <w:tc>
          <w:tcPr>
            <w:tcW w:w="70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szCs w:val="20"/>
              </w:rPr>
              <w:t>81.5</w:t>
            </w:r>
          </w:p>
        </w:tc>
        <w:tc>
          <w:tcPr>
            <w:tcW w:w="70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szCs w:val="20"/>
              </w:rPr>
              <w:t>70</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szCs w:val="20"/>
              </w:rPr>
              <w:t>10</w:t>
            </w:r>
          </w:p>
        </w:tc>
        <w:tc>
          <w:tcPr>
            <w:tcW w:w="85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szCs w:val="20"/>
              </w:rPr>
              <w:t>8736</w:t>
            </w:r>
          </w:p>
        </w:tc>
        <w:tc>
          <w:tcPr>
            <w:tcW w:w="70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szCs w:val="20"/>
              </w:rPr>
              <w:t>正常</w:t>
            </w:r>
          </w:p>
        </w:tc>
        <w:tc>
          <w:tcPr>
            <w:tcW w:w="70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szCs w:val="20"/>
              </w:rPr>
              <w:t>0.039</w:t>
            </w:r>
          </w:p>
        </w:tc>
        <w:tc>
          <w:tcPr>
            <w:tcW w:w="70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szCs w:val="20"/>
              </w:rPr>
              <w:t>0.0015</w:t>
            </w:r>
          </w:p>
        </w:tc>
      </w:tr>
    </w:tbl>
    <w:p>
      <w:pPr>
        <w:ind w:firstLine="480"/>
        <w:rPr>
          <w:rFonts w:cs="Times New Roman"/>
          <w:color w:val="000000" w:themeColor="text1"/>
          <w:kern w:val="0"/>
        </w:rPr>
      </w:pPr>
      <w:r>
        <w:rPr>
          <w:rFonts w:hint="eastAsia"/>
          <w:color w:val="000000" w:themeColor="text1"/>
        </w:rPr>
        <w:t>（2）估算模式计算结果输出及影响分析</w:t>
      </w:r>
    </w:p>
    <w:p>
      <w:pPr>
        <w:ind w:firstLine="480"/>
        <w:rPr>
          <w:color w:val="000000" w:themeColor="text1"/>
        </w:rPr>
      </w:pPr>
      <w:r>
        <w:rPr>
          <w:rFonts w:hint="eastAsia"/>
          <w:color w:val="000000" w:themeColor="text1"/>
        </w:rPr>
        <w:t>采用估算模式，全厂无组织恶臭污染物估算结果列于表</w:t>
      </w:r>
      <w:r>
        <w:rPr>
          <w:color w:val="000000" w:themeColor="text1"/>
        </w:rPr>
        <w:t>6.1</w:t>
      </w:r>
      <w:r>
        <w:rPr>
          <w:rFonts w:hint="eastAsia"/>
          <w:color w:val="000000" w:themeColor="text1"/>
        </w:rPr>
        <w:t>.2</w:t>
      </w:r>
      <w:r>
        <w:rPr>
          <w:color w:val="000000" w:themeColor="text1"/>
        </w:rPr>
        <w:t>-</w:t>
      </w:r>
      <w:r>
        <w:rPr>
          <w:rFonts w:hint="eastAsia"/>
          <w:color w:val="000000" w:themeColor="text1"/>
        </w:rPr>
        <w:t>3。</w:t>
      </w:r>
    </w:p>
    <w:p>
      <w:pPr>
        <w:pStyle w:val="54"/>
        <w:rPr>
          <w:color w:val="000000" w:themeColor="text1"/>
        </w:rPr>
      </w:pPr>
      <w:r>
        <w:rPr>
          <w:rFonts w:hint="eastAsia"/>
          <w:color w:val="000000" w:themeColor="text1"/>
          <w:kern w:val="0"/>
        </w:rPr>
        <w:t>表</w:t>
      </w:r>
      <w:r>
        <w:rPr>
          <w:color w:val="000000" w:themeColor="text1"/>
          <w:kern w:val="0"/>
        </w:rPr>
        <w:t>6.1</w:t>
      </w:r>
      <w:r>
        <w:rPr>
          <w:rFonts w:hint="eastAsia"/>
          <w:color w:val="000000" w:themeColor="text1"/>
          <w:kern w:val="0"/>
        </w:rPr>
        <w:t>.2</w:t>
      </w:r>
      <w:r>
        <w:rPr>
          <w:color w:val="000000" w:themeColor="text1"/>
          <w:kern w:val="0"/>
        </w:rPr>
        <w:t>-</w:t>
      </w:r>
      <w:r>
        <w:rPr>
          <w:rFonts w:hint="eastAsia"/>
          <w:color w:val="000000" w:themeColor="text1"/>
          <w:kern w:val="0"/>
        </w:rPr>
        <w:t>3</w:t>
      </w:r>
      <w:r>
        <w:rPr>
          <w:color w:val="000000" w:themeColor="text1"/>
          <w:kern w:val="0"/>
        </w:rPr>
        <w:t xml:space="preserve">  </w:t>
      </w:r>
      <w:r>
        <w:rPr>
          <w:rFonts w:hint="eastAsia"/>
          <w:color w:val="000000" w:themeColor="text1"/>
          <w:kern w:val="0"/>
        </w:rPr>
        <w:t>无组织排放恶臭污染物估算</w:t>
      </w:r>
      <w:r>
        <w:rPr>
          <w:rFonts w:hint="eastAsia"/>
          <w:color w:val="000000" w:themeColor="text1"/>
        </w:rPr>
        <w:t>模式</w:t>
      </w:r>
      <w:r>
        <w:rPr>
          <w:rFonts w:hint="eastAsia"/>
          <w:color w:val="000000" w:themeColor="text1"/>
          <w:kern w:val="0"/>
        </w:rPr>
        <w:t>计算结果表</w:t>
      </w:r>
    </w:p>
    <w:tbl>
      <w:tblPr>
        <w:tblStyle w:val="42"/>
        <w:tblW w:w="795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69"/>
        <w:gridCol w:w="1559"/>
        <w:gridCol w:w="1560"/>
        <w:gridCol w:w="1653"/>
        <w:gridCol w:w="1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1669" w:type="dxa"/>
            <w:vMerge w:val="restart"/>
            <w:tcBorders>
              <w:top w:val="single" w:color="000000" w:sz="4" w:space="0"/>
              <w:left w:val="single" w:color="000000" w:sz="4" w:space="0"/>
              <w:bottom w:val="single" w:color="auto" w:sz="4" w:space="0"/>
              <w:right w:val="single" w:color="000000" w:sz="4" w:space="0"/>
            </w:tcBorders>
            <w:vAlign w:val="center"/>
          </w:tcPr>
          <w:p>
            <w:pPr>
              <w:pStyle w:val="55"/>
              <w:rPr>
                <w:color w:val="000000" w:themeColor="text1"/>
                <w:kern w:val="0"/>
                <w:szCs w:val="21"/>
              </w:rPr>
            </w:pPr>
            <w:r>
              <w:rPr>
                <w:rFonts w:hint="eastAsia"/>
                <w:color w:val="000000" w:themeColor="text1"/>
                <w:kern w:val="0"/>
                <w:szCs w:val="21"/>
              </w:rPr>
              <w:t>距源中心下风向距离</w:t>
            </w:r>
            <w:r>
              <w:rPr>
                <w:color w:val="000000" w:themeColor="text1"/>
                <w:kern w:val="0"/>
                <w:szCs w:val="21"/>
              </w:rPr>
              <w:t>D(m)</w:t>
            </w:r>
          </w:p>
        </w:tc>
        <w:tc>
          <w:tcPr>
            <w:tcW w:w="3119" w:type="dxa"/>
            <w:gridSpan w:val="2"/>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kern w:val="0"/>
                <w:szCs w:val="21"/>
                <w:vertAlign w:val="subscript"/>
              </w:rPr>
            </w:pPr>
            <w:r>
              <w:rPr>
                <w:color w:val="000000" w:themeColor="text1"/>
                <w:kern w:val="0"/>
                <w:szCs w:val="21"/>
              </w:rPr>
              <w:t>NH</w:t>
            </w:r>
            <w:r>
              <w:rPr>
                <w:color w:val="000000" w:themeColor="text1"/>
                <w:kern w:val="0"/>
                <w:szCs w:val="21"/>
                <w:vertAlign w:val="subscript"/>
              </w:rPr>
              <w:t>3</w:t>
            </w:r>
          </w:p>
        </w:tc>
        <w:tc>
          <w:tcPr>
            <w:tcW w:w="3169" w:type="dxa"/>
            <w:gridSpan w:val="2"/>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kern w:val="0"/>
                <w:szCs w:val="21"/>
              </w:rPr>
            </w:pPr>
            <w:r>
              <w:rPr>
                <w:color w:val="000000" w:themeColor="text1"/>
                <w:kern w:val="0"/>
                <w:szCs w:val="21"/>
              </w:rPr>
              <w:t>H</w:t>
            </w:r>
            <w:r>
              <w:rPr>
                <w:color w:val="000000" w:themeColor="text1"/>
                <w:kern w:val="0"/>
                <w:szCs w:val="21"/>
                <w:vertAlign w:val="subscript"/>
              </w:rPr>
              <w:t>2</w:t>
            </w:r>
            <w:r>
              <w:rPr>
                <w:color w:val="000000" w:themeColor="text1"/>
                <w:kern w:val="0"/>
                <w:szCs w:val="21"/>
              </w:rPr>
              <w: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669" w:type="dxa"/>
            <w:vMerge w:val="continue"/>
            <w:tcBorders>
              <w:top w:val="single" w:color="000000" w:sz="4" w:space="0"/>
              <w:left w:val="single" w:color="000000" w:sz="4" w:space="0"/>
              <w:bottom w:val="single" w:color="auto" w:sz="4" w:space="0"/>
              <w:right w:val="single" w:color="000000" w:sz="4" w:space="0"/>
            </w:tcBorders>
            <w:vAlign w:val="center"/>
          </w:tcPr>
          <w:p>
            <w:pPr>
              <w:pStyle w:val="55"/>
              <w:rPr>
                <w:color w:val="000000" w:themeColor="text1"/>
                <w:kern w:val="0"/>
                <w:szCs w:val="21"/>
              </w:rPr>
            </w:pPr>
          </w:p>
        </w:tc>
        <w:tc>
          <w:tcPr>
            <w:tcW w:w="1559" w:type="dxa"/>
            <w:tcBorders>
              <w:top w:val="single" w:color="000000" w:sz="4" w:space="0"/>
              <w:left w:val="single" w:color="000000" w:sz="4" w:space="0"/>
              <w:bottom w:val="single" w:color="auto" w:sz="4" w:space="0"/>
              <w:right w:val="single" w:color="000000" w:sz="4" w:space="0"/>
            </w:tcBorders>
            <w:vAlign w:val="center"/>
          </w:tcPr>
          <w:p>
            <w:pPr>
              <w:pStyle w:val="55"/>
              <w:rPr>
                <w:color w:val="000000" w:themeColor="text1"/>
                <w:kern w:val="0"/>
                <w:szCs w:val="21"/>
              </w:rPr>
            </w:pPr>
            <w:r>
              <w:rPr>
                <w:rFonts w:hint="eastAsia"/>
                <w:color w:val="000000" w:themeColor="text1"/>
                <w:kern w:val="0"/>
                <w:szCs w:val="21"/>
              </w:rPr>
              <w:t>落地浓度</w:t>
            </w:r>
            <w:r>
              <w:rPr>
                <w:color w:val="000000" w:themeColor="text1"/>
                <w:kern w:val="0"/>
                <w:szCs w:val="21"/>
              </w:rPr>
              <w:t>μg/m</w:t>
            </w:r>
            <w:r>
              <w:rPr>
                <w:color w:val="000000" w:themeColor="text1"/>
                <w:kern w:val="0"/>
                <w:szCs w:val="21"/>
                <w:vertAlign w:val="superscript"/>
              </w:rPr>
              <w:t>3</w:t>
            </w:r>
          </w:p>
        </w:tc>
        <w:tc>
          <w:tcPr>
            <w:tcW w:w="1560" w:type="dxa"/>
            <w:tcBorders>
              <w:top w:val="single" w:color="000000" w:sz="4" w:space="0"/>
              <w:left w:val="single" w:color="000000" w:sz="4" w:space="0"/>
              <w:bottom w:val="single" w:color="auto" w:sz="4" w:space="0"/>
              <w:right w:val="single" w:color="000000" w:sz="4" w:space="0"/>
            </w:tcBorders>
            <w:vAlign w:val="center"/>
          </w:tcPr>
          <w:p>
            <w:pPr>
              <w:pStyle w:val="55"/>
              <w:rPr>
                <w:color w:val="000000" w:themeColor="text1"/>
                <w:kern w:val="0"/>
                <w:szCs w:val="21"/>
              </w:rPr>
            </w:pPr>
            <w:r>
              <w:rPr>
                <w:rFonts w:hint="eastAsia"/>
                <w:color w:val="000000" w:themeColor="text1"/>
                <w:kern w:val="0"/>
                <w:szCs w:val="21"/>
              </w:rPr>
              <w:t>浓度占标率（</w:t>
            </w:r>
            <w:r>
              <w:rPr>
                <w:color w:val="000000" w:themeColor="text1"/>
                <w:kern w:val="0"/>
                <w:szCs w:val="21"/>
              </w:rPr>
              <w:t>%</w:t>
            </w:r>
            <w:r>
              <w:rPr>
                <w:rFonts w:hint="eastAsia"/>
                <w:color w:val="000000" w:themeColor="text1"/>
                <w:kern w:val="0"/>
                <w:szCs w:val="21"/>
              </w:rPr>
              <w:t>）</w:t>
            </w:r>
          </w:p>
        </w:tc>
        <w:tc>
          <w:tcPr>
            <w:tcW w:w="1653" w:type="dxa"/>
            <w:tcBorders>
              <w:top w:val="single" w:color="000000" w:sz="4" w:space="0"/>
              <w:left w:val="single" w:color="000000" w:sz="4" w:space="0"/>
              <w:bottom w:val="single" w:color="auto" w:sz="4" w:space="0"/>
              <w:right w:val="single" w:color="000000" w:sz="4" w:space="0"/>
            </w:tcBorders>
            <w:vAlign w:val="center"/>
          </w:tcPr>
          <w:p>
            <w:pPr>
              <w:pStyle w:val="55"/>
              <w:rPr>
                <w:color w:val="000000" w:themeColor="text1"/>
                <w:kern w:val="0"/>
                <w:szCs w:val="21"/>
              </w:rPr>
            </w:pPr>
            <w:r>
              <w:rPr>
                <w:rFonts w:hint="eastAsia"/>
                <w:color w:val="000000" w:themeColor="text1"/>
                <w:kern w:val="0"/>
                <w:szCs w:val="21"/>
              </w:rPr>
              <w:t>落地浓度</w:t>
            </w:r>
            <w:r>
              <w:rPr>
                <w:color w:val="000000" w:themeColor="text1"/>
                <w:kern w:val="0"/>
                <w:szCs w:val="21"/>
              </w:rPr>
              <w:t>μg/m</w:t>
            </w:r>
            <w:r>
              <w:rPr>
                <w:color w:val="000000" w:themeColor="text1"/>
                <w:kern w:val="0"/>
                <w:szCs w:val="21"/>
                <w:vertAlign w:val="superscript"/>
              </w:rPr>
              <w:t>3</w:t>
            </w:r>
          </w:p>
        </w:tc>
        <w:tc>
          <w:tcPr>
            <w:tcW w:w="1516" w:type="dxa"/>
            <w:tcBorders>
              <w:top w:val="single" w:color="000000" w:sz="4" w:space="0"/>
              <w:left w:val="single" w:color="000000" w:sz="4" w:space="0"/>
              <w:bottom w:val="single" w:color="auto" w:sz="4" w:space="0"/>
              <w:right w:val="single" w:color="000000" w:sz="4" w:space="0"/>
            </w:tcBorders>
            <w:vAlign w:val="center"/>
          </w:tcPr>
          <w:p>
            <w:pPr>
              <w:pStyle w:val="55"/>
              <w:rPr>
                <w:color w:val="000000" w:themeColor="text1"/>
                <w:kern w:val="0"/>
                <w:szCs w:val="21"/>
              </w:rPr>
            </w:pPr>
            <w:r>
              <w:rPr>
                <w:rFonts w:hint="eastAsia"/>
                <w:color w:val="000000" w:themeColor="text1"/>
                <w:kern w:val="0"/>
                <w:szCs w:val="21"/>
              </w:rPr>
              <w:t>浓度占标率（</w:t>
            </w:r>
            <w:r>
              <w:rPr>
                <w:color w:val="000000" w:themeColor="text1"/>
                <w:kern w:val="0"/>
                <w:szCs w:val="21"/>
              </w:rPr>
              <w:t>%</w:t>
            </w:r>
            <w:r>
              <w:rPr>
                <w:rFonts w:hint="eastAsia"/>
                <w:color w:val="000000" w:themeColor="text1"/>
                <w:kern w:val="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669" w:type="dxa"/>
            <w:tcBorders>
              <w:top w:val="single" w:color="000000" w:sz="4" w:space="0"/>
              <w:left w:val="single" w:color="000000" w:sz="4" w:space="0"/>
              <w:bottom w:val="single" w:color="auto" w:sz="4" w:space="0"/>
              <w:right w:val="single" w:color="000000" w:sz="4" w:space="0"/>
            </w:tcBorders>
            <w:vAlign w:val="center"/>
          </w:tcPr>
          <w:p>
            <w:pPr>
              <w:pStyle w:val="55"/>
              <w:rPr>
                <w:color w:val="000000" w:themeColor="text1"/>
                <w:kern w:val="0"/>
                <w:szCs w:val="21"/>
              </w:rPr>
            </w:pPr>
            <w:r>
              <w:rPr>
                <w:rFonts w:hint="eastAsia"/>
                <w:color w:val="000000" w:themeColor="text1"/>
                <w:kern w:val="0"/>
                <w:szCs w:val="21"/>
              </w:rPr>
              <w:t>10</w:t>
            </w:r>
          </w:p>
        </w:tc>
        <w:tc>
          <w:tcPr>
            <w:tcW w:w="1559" w:type="dxa"/>
            <w:tcBorders>
              <w:top w:val="single" w:color="000000" w:sz="4" w:space="0"/>
              <w:left w:val="single" w:color="000000" w:sz="4" w:space="0"/>
              <w:bottom w:val="single" w:color="auto" w:sz="4" w:space="0"/>
              <w:right w:val="single" w:color="000000" w:sz="4" w:space="0"/>
            </w:tcBorders>
            <w:vAlign w:val="center"/>
          </w:tcPr>
          <w:p>
            <w:pPr>
              <w:pStyle w:val="55"/>
              <w:rPr>
                <w:rFonts w:ascii="宋体" w:hAnsi="宋体" w:cs="宋体"/>
                <w:color w:val="000000" w:themeColor="text1"/>
                <w:szCs w:val="21"/>
              </w:rPr>
            </w:pPr>
            <w:r>
              <w:rPr>
                <w:rFonts w:hint="eastAsia"/>
                <w:color w:val="000000" w:themeColor="text1"/>
                <w:szCs w:val="21"/>
              </w:rPr>
              <w:t>1.7592</w:t>
            </w:r>
          </w:p>
        </w:tc>
        <w:tc>
          <w:tcPr>
            <w:tcW w:w="1560" w:type="dxa"/>
            <w:tcBorders>
              <w:top w:val="single" w:color="000000" w:sz="4" w:space="0"/>
              <w:left w:val="single" w:color="000000" w:sz="4" w:space="0"/>
              <w:bottom w:val="single" w:color="auto" w:sz="4" w:space="0"/>
              <w:right w:val="single" w:color="000000" w:sz="4" w:space="0"/>
            </w:tcBorders>
            <w:vAlign w:val="center"/>
          </w:tcPr>
          <w:p>
            <w:pPr>
              <w:pStyle w:val="55"/>
              <w:rPr>
                <w:rFonts w:ascii="宋体" w:hAnsi="宋体" w:cs="宋体"/>
                <w:color w:val="000000" w:themeColor="text1"/>
                <w:szCs w:val="21"/>
              </w:rPr>
            </w:pPr>
            <w:r>
              <w:rPr>
                <w:rFonts w:hint="eastAsia"/>
                <w:color w:val="000000" w:themeColor="text1"/>
                <w:szCs w:val="21"/>
              </w:rPr>
              <w:t>0.88</w:t>
            </w:r>
          </w:p>
        </w:tc>
        <w:tc>
          <w:tcPr>
            <w:tcW w:w="1653" w:type="dxa"/>
            <w:tcBorders>
              <w:top w:val="single" w:color="000000" w:sz="4" w:space="0"/>
              <w:left w:val="single" w:color="000000" w:sz="4" w:space="0"/>
              <w:bottom w:val="single" w:color="auto" w:sz="4" w:space="0"/>
              <w:right w:val="single" w:color="000000" w:sz="4" w:space="0"/>
            </w:tcBorders>
            <w:vAlign w:val="center"/>
          </w:tcPr>
          <w:p>
            <w:pPr>
              <w:pStyle w:val="55"/>
              <w:rPr>
                <w:rFonts w:ascii="宋体" w:hAnsi="宋体" w:cs="宋体"/>
                <w:color w:val="000000" w:themeColor="text1"/>
                <w:szCs w:val="21"/>
              </w:rPr>
            </w:pPr>
            <w:r>
              <w:rPr>
                <w:rFonts w:hint="eastAsia"/>
                <w:color w:val="000000" w:themeColor="text1"/>
                <w:szCs w:val="21"/>
              </w:rPr>
              <w:t>0.07</w:t>
            </w:r>
          </w:p>
        </w:tc>
        <w:tc>
          <w:tcPr>
            <w:tcW w:w="1516" w:type="dxa"/>
            <w:tcBorders>
              <w:top w:val="single" w:color="000000" w:sz="4" w:space="0"/>
              <w:left w:val="single" w:color="000000" w:sz="4" w:space="0"/>
              <w:bottom w:val="single" w:color="auto" w:sz="4" w:space="0"/>
              <w:right w:val="single" w:color="000000" w:sz="4" w:space="0"/>
            </w:tcBorders>
            <w:vAlign w:val="center"/>
          </w:tcPr>
          <w:p>
            <w:pPr>
              <w:pStyle w:val="55"/>
              <w:rPr>
                <w:rFonts w:ascii="宋体" w:hAnsi="宋体" w:cs="宋体"/>
                <w:color w:val="000000" w:themeColor="text1"/>
                <w:szCs w:val="21"/>
              </w:rPr>
            </w:pPr>
            <w:r>
              <w:rPr>
                <w:rFonts w:hint="eastAsia"/>
                <w:color w:val="000000" w:themeColor="text1"/>
                <w:szCs w:val="21"/>
              </w:rPr>
              <w:t>0.68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669" w:type="dxa"/>
            <w:tcBorders>
              <w:top w:val="single" w:color="000000" w:sz="4" w:space="0"/>
              <w:left w:val="single" w:color="000000" w:sz="4" w:space="0"/>
              <w:bottom w:val="single" w:color="auto" w:sz="4" w:space="0"/>
              <w:right w:val="single" w:color="000000" w:sz="4" w:space="0"/>
            </w:tcBorders>
            <w:vAlign w:val="center"/>
          </w:tcPr>
          <w:p>
            <w:pPr>
              <w:pStyle w:val="55"/>
              <w:rPr>
                <w:color w:val="000000" w:themeColor="text1"/>
                <w:kern w:val="0"/>
                <w:szCs w:val="21"/>
              </w:rPr>
            </w:pPr>
            <w:r>
              <w:rPr>
                <w:rFonts w:hint="eastAsia"/>
                <w:color w:val="000000" w:themeColor="text1"/>
                <w:kern w:val="0"/>
                <w:szCs w:val="21"/>
              </w:rPr>
              <w:t>25</w:t>
            </w:r>
          </w:p>
        </w:tc>
        <w:tc>
          <w:tcPr>
            <w:tcW w:w="1559" w:type="dxa"/>
            <w:tcBorders>
              <w:top w:val="single" w:color="000000" w:sz="4" w:space="0"/>
              <w:left w:val="single" w:color="000000" w:sz="4" w:space="0"/>
              <w:bottom w:val="single" w:color="auto" w:sz="4" w:space="0"/>
              <w:right w:val="single" w:color="000000" w:sz="4" w:space="0"/>
            </w:tcBorders>
            <w:vAlign w:val="center"/>
          </w:tcPr>
          <w:p>
            <w:pPr>
              <w:pStyle w:val="55"/>
              <w:rPr>
                <w:rFonts w:ascii="宋体" w:hAnsi="宋体" w:cs="宋体"/>
                <w:color w:val="000000" w:themeColor="text1"/>
                <w:szCs w:val="21"/>
              </w:rPr>
            </w:pPr>
            <w:r>
              <w:rPr>
                <w:rFonts w:hint="eastAsia"/>
                <w:color w:val="000000" w:themeColor="text1"/>
                <w:szCs w:val="21"/>
              </w:rPr>
              <w:t>2.0945</w:t>
            </w:r>
          </w:p>
        </w:tc>
        <w:tc>
          <w:tcPr>
            <w:tcW w:w="1560" w:type="dxa"/>
            <w:tcBorders>
              <w:top w:val="single" w:color="000000" w:sz="4" w:space="0"/>
              <w:left w:val="single" w:color="000000" w:sz="4" w:space="0"/>
              <w:bottom w:val="single" w:color="auto" w:sz="4" w:space="0"/>
              <w:right w:val="single" w:color="000000" w:sz="4" w:space="0"/>
            </w:tcBorders>
            <w:vAlign w:val="center"/>
          </w:tcPr>
          <w:p>
            <w:pPr>
              <w:pStyle w:val="55"/>
              <w:rPr>
                <w:rFonts w:ascii="宋体" w:hAnsi="宋体" w:cs="宋体"/>
                <w:color w:val="000000" w:themeColor="text1"/>
                <w:szCs w:val="21"/>
              </w:rPr>
            </w:pPr>
            <w:r>
              <w:rPr>
                <w:rFonts w:hint="eastAsia"/>
                <w:color w:val="000000" w:themeColor="text1"/>
                <w:szCs w:val="21"/>
              </w:rPr>
              <w:t>1.05</w:t>
            </w:r>
          </w:p>
        </w:tc>
        <w:tc>
          <w:tcPr>
            <w:tcW w:w="1653" w:type="dxa"/>
            <w:tcBorders>
              <w:top w:val="single" w:color="000000" w:sz="4" w:space="0"/>
              <w:left w:val="single" w:color="000000" w:sz="4" w:space="0"/>
              <w:bottom w:val="single" w:color="auto" w:sz="4" w:space="0"/>
              <w:right w:val="single" w:color="000000" w:sz="4" w:space="0"/>
            </w:tcBorders>
            <w:vAlign w:val="center"/>
          </w:tcPr>
          <w:p>
            <w:pPr>
              <w:pStyle w:val="55"/>
              <w:rPr>
                <w:rFonts w:ascii="宋体" w:hAnsi="宋体" w:cs="宋体"/>
                <w:color w:val="000000" w:themeColor="text1"/>
                <w:szCs w:val="21"/>
              </w:rPr>
            </w:pPr>
            <w:r>
              <w:rPr>
                <w:rFonts w:hint="eastAsia"/>
                <w:color w:val="000000" w:themeColor="text1"/>
                <w:szCs w:val="21"/>
              </w:rPr>
              <w:t>0.08</w:t>
            </w:r>
          </w:p>
        </w:tc>
        <w:tc>
          <w:tcPr>
            <w:tcW w:w="1516" w:type="dxa"/>
            <w:tcBorders>
              <w:top w:val="single" w:color="000000" w:sz="4" w:space="0"/>
              <w:left w:val="single" w:color="000000" w:sz="4" w:space="0"/>
              <w:bottom w:val="single" w:color="auto" w:sz="4" w:space="0"/>
              <w:right w:val="single" w:color="000000" w:sz="4" w:space="0"/>
            </w:tcBorders>
            <w:vAlign w:val="center"/>
          </w:tcPr>
          <w:p>
            <w:pPr>
              <w:pStyle w:val="55"/>
              <w:rPr>
                <w:rFonts w:ascii="宋体" w:hAnsi="宋体" w:cs="宋体"/>
                <w:color w:val="000000" w:themeColor="text1"/>
                <w:szCs w:val="21"/>
              </w:rPr>
            </w:pPr>
            <w:r>
              <w:rPr>
                <w:rFonts w:hint="eastAsia"/>
                <w:color w:val="000000" w:themeColor="text1"/>
                <w:szCs w:val="21"/>
              </w:rPr>
              <w:t>0.81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669" w:type="dxa"/>
            <w:tcBorders>
              <w:top w:val="single" w:color="000000" w:sz="4" w:space="0"/>
              <w:left w:val="single" w:color="000000" w:sz="4" w:space="0"/>
              <w:bottom w:val="single" w:color="auto" w:sz="4" w:space="0"/>
              <w:right w:val="single" w:color="000000" w:sz="4" w:space="0"/>
            </w:tcBorders>
            <w:vAlign w:val="center"/>
          </w:tcPr>
          <w:p>
            <w:pPr>
              <w:pStyle w:val="55"/>
              <w:rPr>
                <w:color w:val="000000" w:themeColor="text1"/>
                <w:kern w:val="0"/>
                <w:szCs w:val="21"/>
              </w:rPr>
            </w:pPr>
            <w:r>
              <w:rPr>
                <w:rFonts w:hint="eastAsia"/>
                <w:color w:val="000000" w:themeColor="text1"/>
                <w:kern w:val="0"/>
                <w:szCs w:val="21"/>
              </w:rPr>
              <w:t>50</w:t>
            </w:r>
          </w:p>
        </w:tc>
        <w:tc>
          <w:tcPr>
            <w:tcW w:w="1559" w:type="dxa"/>
            <w:tcBorders>
              <w:top w:val="single" w:color="000000" w:sz="4" w:space="0"/>
              <w:left w:val="single" w:color="000000" w:sz="4" w:space="0"/>
              <w:bottom w:val="single" w:color="auto" w:sz="4" w:space="0"/>
              <w:right w:val="single" w:color="000000" w:sz="4" w:space="0"/>
            </w:tcBorders>
            <w:vAlign w:val="center"/>
          </w:tcPr>
          <w:p>
            <w:pPr>
              <w:pStyle w:val="55"/>
              <w:rPr>
                <w:rFonts w:ascii="宋体" w:hAnsi="宋体" w:cs="宋体"/>
                <w:color w:val="000000" w:themeColor="text1"/>
                <w:szCs w:val="21"/>
              </w:rPr>
            </w:pPr>
            <w:r>
              <w:rPr>
                <w:rFonts w:hint="eastAsia"/>
                <w:color w:val="000000" w:themeColor="text1"/>
                <w:szCs w:val="21"/>
              </w:rPr>
              <w:t>2.5427</w:t>
            </w:r>
          </w:p>
        </w:tc>
        <w:tc>
          <w:tcPr>
            <w:tcW w:w="1560" w:type="dxa"/>
            <w:tcBorders>
              <w:top w:val="single" w:color="000000" w:sz="4" w:space="0"/>
              <w:left w:val="single" w:color="000000" w:sz="4" w:space="0"/>
              <w:bottom w:val="single" w:color="auto" w:sz="4" w:space="0"/>
              <w:right w:val="single" w:color="000000" w:sz="4" w:space="0"/>
            </w:tcBorders>
            <w:vAlign w:val="center"/>
          </w:tcPr>
          <w:p>
            <w:pPr>
              <w:pStyle w:val="55"/>
              <w:rPr>
                <w:rFonts w:ascii="宋体" w:hAnsi="宋体" w:cs="宋体"/>
                <w:color w:val="000000" w:themeColor="text1"/>
                <w:szCs w:val="21"/>
              </w:rPr>
            </w:pPr>
            <w:r>
              <w:rPr>
                <w:rFonts w:hint="eastAsia"/>
                <w:color w:val="000000" w:themeColor="text1"/>
                <w:szCs w:val="21"/>
              </w:rPr>
              <w:t>1.27</w:t>
            </w:r>
          </w:p>
        </w:tc>
        <w:tc>
          <w:tcPr>
            <w:tcW w:w="1653" w:type="dxa"/>
            <w:tcBorders>
              <w:top w:val="single" w:color="000000" w:sz="4" w:space="0"/>
              <w:left w:val="single" w:color="000000" w:sz="4" w:space="0"/>
              <w:bottom w:val="single" w:color="auto" w:sz="4" w:space="0"/>
              <w:right w:val="single" w:color="000000" w:sz="4" w:space="0"/>
            </w:tcBorders>
            <w:vAlign w:val="center"/>
          </w:tcPr>
          <w:p>
            <w:pPr>
              <w:pStyle w:val="55"/>
              <w:rPr>
                <w:rFonts w:ascii="宋体" w:hAnsi="宋体" w:cs="宋体"/>
                <w:color w:val="000000" w:themeColor="text1"/>
                <w:szCs w:val="21"/>
              </w:rPr>
            </w:pPr>
            <w:r>
              <w:rPr>
                <w:rFonts w:hint="eastAsia"/>
                <w:color w:val="000000" w:themeColor="text1"/>
                <w:szCs w:val="21"/>
              </w:rPr>
              <w:t>0.10</w:t>
            </w:r>
          </w:p>
        </w:tc>
        <w:tc>
          <w:tcPr>
            <w:tcW w:w="1516" w:type="dxa"/>
            <w:tcBorders>
              <w:top w:val="single" w:color="000000" w:sz="4" w:space="0"/>
              <w:left w:val="single" w:color="000000" w:sz="4" w:space="0"/>
              <w:bottom w:val="single" w:color="auto" w:sz="4" w:space="0"/>
              <w:right w:val="single" w:color="000000" w:sz="4" w:space="0"/>
            </w:tcBorders>
            <w:vAlign w:val="center"/>
          </w:tcPr>
          <w:p>
            <w:pPr>
              <w:pStyle w:val="55"/>
              <w:rPr>
                <w:rFonts w:ascii="宋体" w:hAnsi="宋体" w:cs="宋体"/>
                <w:color w:val="000000" w:themeColor="text1"/>
                <w:szCs w:val="21"/>
              </w:rPr>
            </w:pPr>
            <w:r>
              <w:rPr>
                <w:rFonts w:hint="eastAsia"/>
                <w:color w:val="000000" w:themeColor="text1"/>
                <w:szCs w:val="21"/>
              </w:rPr>
              <w:t>0.99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669" w:type="dxa"/>
            <w:tcBorders>
              <w:top w:val="single" w:color="auto" w:sz="4" w:space="0"/>
              <w:left w:val="single" w:color="000000" w:sz="4" w:space="0"/>
              <w:bottom w:val="single" w:color="auto" w:sz="4" w:space="0"/>
              <w:right w:val="single" w:color="000000" w:sz="4" w:space="0"/>
            </w:tcBorders>
            <w:shd w:val="clear" w:color="auto" w:fill="A5A5A5" w:themeFill="background1" w:themeFillShade="A6"/>
            <w:vAlign w:val="center"/>
          </w:tcPr>
          <w:p>
            <w:pPr>
              <w:pStyle w:val="55"/>
              <w:rPr>
                <w:color w:val="000000" w:themeColor="text1"/>
                <w:kern w:val="0"/>
                <w:szCs w:val="21"/>
              </w:rPr>
            </w:pPr>
            <w:r>
              <w:rPr>
                <w:rFonts w:hint="eastAsia"/>
                <w:color w:val="000000" w:themeColor="text1"/>
                <w:kern w:val="0"/>
                <w:szCs w:val="21"/>
              </w:rPr>
              <w:t>70</w:t>
            </w:r>
          </w:p>
        </w:tc>
        <w:tc>
          <w:tcPr>
            <w:tcW w:w="1559" w:type="dxa"/>
            <w:tcBorders>
              <w:top w:val="single" w:color="auto" w:sz="4" w:space="0"/>
              <w:left w:val="single" w:color="000000" w:sz="4" w:space="0"/>
              <w:bottom w:val="single" w:color="auto" w:sz="4" w:space="0"/>
              <w:right w:val="single" w:color="000000" w:sz="4" w:space="0"/>
            </w:tcBorders>
            <w:shd w:val="clear" w:color="auto" w:fill="A5A5A5" w:themeFill="background1" w:themeFillShade="A6"/>
            <w:vAlign w:val="center"/>
          </w:tcPr>
          <w:p>
            <w:pPr>
              <w:pStyle w:val="55"/>
              <w:rPr>
                <w:rFonts w:ascii="宋体" w:hAnsi="宋体" w:cs="宋体"/>
                <w:color w:val="000000" w:themeColor="text1"/>
                <w:szCs w:val="21"/>
              </w:rPr>
            </w:pPr>
            <w:r>
              <w:rPr>
                <w:rFonts w:hint="eastAsia"/>
                <w:color w:val="000000" w:themeColor="text1"/>
                <w:szCs w:val="21"/>
              </w:rPr>
              <w:t>2.7394</w:t>
            </w:r>
          </w:p>
        </w:tc>
        <w:tc>
          <w:tcPr>
            <w:tcW w:w="1560" w:type="dxa"/>
            <w:tcBorders>
              <w:top w:val="single" w:color="auto" w:sz="4" w:space="0"/>
              <w:left w:val="single" w:color="000000" w:sz="4" w:space="0"/>
              <w:bottom w:val="single" w:color="auto" w:sz="4" w:space="0"/>
              <w:right w:val="single" w:color="000000" w:sz="4" w:space="0"/>
            </w:tcBorders>
            <w:shd w:val="clear" w:color="auto" w:fill="A5A5A5" w:themeFill="background1" w:themeFillShade="A6"/>
            <w:vAlign w:val="center"/>
          </w:tcPr>
          <w:p>
            <w:pPr>
              <w:pStyle w:val="55"/>
              <w:rPr>
                <w:rFonts w:ascii="宋体" w:hAnsi="宋体" w:cs="宋体"/>
                <w:color w:val="000000" w:themeColor="text1"/>
                <w:szCs w:val="21"/>
              </w:rPr>
            </w:pPr>
            <w:r>
              <w:rPr>
                <w:rFonts w:hint="eastAsia"/>
                <w:color w:val="000000" w:themeColor="text1"/>
                <w:szCs w:val="21"/>
              </w:rPr>
              <w:t>1.37</w:t>
            </w:r>
          </w:p>
        </w:tc>
        <w:tc>
          <w:tcPr>
            <w:tcW w:w="1653" w:type="dxa"/>
            <w:tcBorders>
              <w:top w:val="single" w:color="auto" w:sz="4" w:space="0"/>
              <w:left w:val="single" w:color="000000" w:sz="4" w:space="0"/>
              <w:bottom w:val="single" w:color="auto" w:sz="4" w:space="0"/>
              <w:right w:val="single" w:color="000000" w:sz="4" w:space="0"/>
            </w:tcBorders>
            <w:shd w:val="clear" w:color="auto" w:fill="A5A5A5" w:themeFill="background1" w:themeFillShade="A6"/>
            <w:vAlign w:val="center"/>
          </w:tcPr>
          <w:p>
            <w:pPr>
              <w:pStyle w:val="55"/>
              <w:rPr>
                <w:rFonts w:ascii="宋体" w:hAnsi="宋体" w:cs="宋体"/>
                <w:color w:val="000000" w:themeColor="text1"/>
                <w:szCs w:val="21"/>
              </w:rPr>
            </w:pPr>
            <w:r>
              <w:rPr>
                <w:rFonts w:hint="eastAsia"/>
                <w:color w:val="000000" w:themeColor="text1"/>
                <w:szCs w:val="21"/>
              </w:rPr>
              <w:t>0.11</w:t>
            </w:r>
          </w:p>
        </w:tc>
        <w:tc>
          <w:tcPr>
            <w:tcW w:w="1516" w:type="dxa"/>
            <w:tcBorders>
              <w:top w:val="single" w:color="auto" w:sz="4" w:space="0"/>
              <w:left w:val="single" w:color="000000" w:sz="4" w:space="0"/>
              <w:bottom w:val="single" w:color="auto" w:sz="4" w:space="0"/>
              <w:right w:val="single" w:color="000000" w:sz="4" w:space="0"/>
            </w:tcBorders>
            <w:shd w:val="clear" w:color="auto" w:fill="A5A5A5" w:themeFill="background1" w:themeFillShade="A6"/>
            <w:vAlign w:val="center"/>
          </w:tcPr>
          <w:p>
            <w:pPr>
              <w:pStyle w:val="55"/>
              <w:rPr>
                <w:rFonts w:ascii="宋体" w:hAnsi="宋体" w:cs="宋体"/>
                <w:color w:val="000000" w:themeColor="text1"/>
                <w:szCs w:val="21"/>
              </w:rPr>
            </w:pPr>
            <w:r>
              <w:rPr>
                <w:rFonts w:hint="eastAsia"/>
                <w:color w:val="000000" w:themeColor="text1"/>
                <w:szCs w:val="21"/>
              </w:rPr>
              <w:t>1.07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669" w:type="dxa"/>
            <w:tcBorders>
              <w:top w:val="single" w:color="000000" w:sz="4" w:space="0"/>
              <w:left w:val="single" w:color="000000" w:sz="4" w:space="0"/>
              <w:bottom w:val="single" w:color="auto" w:sz="4" w:space="0"/>
              <w:right w:val="single" w:color="000000" w:sz="4" w:space="0"/>
            </w:tcBorders>
            <w:vAlign w:val="center"/>
          </w:tcPr>
          <w:p>
            <w:pPr>
              <w:pStyle w:val="55"/>
              <w:rPr>
                <w:color w:val="000000" w:themeColor="text1"/>
                <w:kern w:val="0"/>
                <w:szCs w:val="21"/>
              </w:rPr>
            </w:pPr>
            <w:r>
              <w:rPr>
                <w:rFonts w:hint="eastAsia"/>
                <w:color w:val="000000" w:themeColor="text1"/>
                <w:kern w:val="0"/>
                <w:szCs w:val="21"/>
              </w:rPr>
              <w:t>75</w:t>
            </w:r>
          </w:p>
        </w:tc>
        <w:tc>
          <w:tcPr>
            <w:tcW w:w="1559" w:type="dxa"/>
            <w:tcBorders>
              <w:top w:val="single" w:color="000000" w:sz="4" w:space="0"/>
              <w:left w:val="single" w:color="000000" w:sz="4" w:space="0"/>
              <w:bottom w:val="single" w:color="auto" w:sz="4" w:space="0"/>
              <w:right w:val="single" w:color="000000" w:sz="4" w:space="0"/>
            </w:tcBorders>
            <w:vAlign w:val="center"/>
          </w:tcPr>
          <w:p>
            <w:pPr>
              <w:pStyle w:val="55"/>
              <w:rPr>
                <w:rFonts w:ascii="宋体" w:hAnsi="宋体" w:cs="宋体"/>
                <w:color w:val="000000" w:themeColor="text1"/>
                <w:szCs w:val="21"/>
              </w:rPr>
            </w:pPr>
            <w:r>
              <w:rPr>
                <w:rFonts w:hint="eastAsia"/>
                <w:color w:val="000000" w:themeColor="text1"/>
                <w:szCs w:val="21"/>
              </w:rPr>
              <w:t>2.6937</w:t>
            </w:r>
          </w:p>
        </w:tc>
        <w:tc>
          <w:tcPr>
            <w:tcW w:w="1560" w:type="dxa"/>
            <w:tcBorders>
              <w:top w:val="single" w:color="000000" w:sz="4" w:space="0"/>
              <w:left w:val="single" w:color="000000" w:sz="4" w:space="0"/>
              <w:bottom w:val="single" w:color="auto" w:sz="4" w:space="0"/>
              <w:right w:val="single" w:color="000000" w:sz="4" w:space="0"/>
            </w:tcBorders>
            <w:vAlign w:val="center"/>
          </w:tcPr>
          <w:p>
            <w:pPr>
              <w:pStyle w:val="55"/>
              <w:rPr>
                <w:rFonts w:ascii="宋体" w:hAnsi="宋体" w:cs="宋体"/>
                <w:color w:val="000000" w:themeColor="text1"/>
                <w:szCs w:val="21"/>
              </w:rPr>
            </w:pPr>
            <w:r>
              <w:rPr>
                <w:rFonts w:hint="eastAsia"/>
                <w:color w:val="000000" w:themeColor="text1"/>
                <w:szCs w:val="21"/>
              </w:rPr>
              <w:t>1.35</w:t>
            </w:r>
          </w:p>
        </w:tc>
        <w:tc>
          <w:tcPr>
            <w:tcW w:w="1653" w:type="dxa"/>
            <w:tcBorders>
              <w:top w:val="single" w:color="000000" w:sz="4" w:space="0"/>
              <w:left w:val="single" w:color="000000" w:sz="4" w:space="0"/>
              <w:bottom w:val="single" w:color="auto" w:sz="4" w:space="0"/>
              <w:right w:val="single" w:color="000000" w:sz="4" w:space="0"/>
            </w:tcBorders>
            <w:vAlign w:val="center"/>
          </w:tcPr>
          <w:p>
            <w:pPr>
              <w:pStyle w:val="55"/>
              <w:rPr>
                <w:rFonts w:ascii="宋体" w:hAnsi="宋体" w:cs="宋体"/>
                <w:color w:val="000000" w:themeColor="text1"/>
                <w:szCs w:val="21"/>
              </w:rPr>
            </w:pPr>
            <w:r>
              <w:rPr>
                <w:rFonts w:hint="eastAsia"/>
                <w:color w:val="000000" w:themeColor="text1"/>
                <w:szCs w:val="21"/>
              </w:rPr>
              <w:t>0.10</w:t>
            </w:r>
          </w:p>
        </w:tc>
        <w:tc>
          <w:tcPr>
            <w:tcW w:w="1516" w:type="dxa"/>
            <w:tcBorders>
              <w:top w:val="single" w:color="000000" w:sz="4" w:space="0"/>
              <w:left w:val="single" w:color="000000" w:sz="4" w:space="0"/>
              <w:bottom w:val="single" w:color="auto" w:sz="4" w:space="0"/>
              <w:right w:val="single" w:color="000000" w:sz="4" w:space="0"/>
            </w:tcBorders>
            <w:vAlign w:val="center"/>
          </w:tcPr>
          <w:p>
            <w:pPr>
              <w:pStyle w:val="55"/>
              <w:rPr>
                <w:rFonts w:ascii="宋体" w:hAnsi="宋体" w:cs="宋体"/>
                <w:color w:val="000000" w:themeColor="text1"/>
                <w:szCs w:val="21"/>
              </w:rPr>
            </w:pPr>
            <w:r>
              <w:rPr>
                <w:rFonts w:hint="eastAsia"/>
                <w:color w:val="000000" w:themeColor="text1"/>
                <w:szCs w:val="21"/>
              </w:rPr>
              <w:t>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jc w:val="center"/>
        </w:trPr>
        <w:tc>
          <w:tcPr>
            <w:tcW w:w="166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szCs w:val="21"/>
              </w:rPr>
            </w:pPr>
            <w:r>
              <w:rPr>
                <w:color w:val="000000" w:themeColor="text1"/>
                <w:kern w:val="0"/>
                <w:szCs w:val="21"/>
              </w:rPr>
              <w:t>100</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2.0597</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1.03</w:t>
            </w:r>
          </w:p>
        </w:tc>
        <w:tc>
          <w:tcPr>
            <w:tcW w:w="165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0.08</w:t>
            </w:r>
          </w:p>
        </w:tc>
        <w:tc>
          <w:tcPr>
            <w:tcW w:w="151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8" w:hRule="atLeast"/>
          <w:jc w:val="center"/>
        </w:trPr>
        <w:tc>
          <w:tcPr>
            <w:tcW w:w="166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szCs w:val="21"/>
              </w:rPr>
            </w:pPr>
            <w:r>
              <w:rPr>
                <w:color w:val="000000" w:themeColor="text1"/>
                <w:kern w:val="0"/>
                <w:szCs w:val="21"/>
              </w:rPr>
              <w:t>200</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0.64275</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0.32</w:t>
            </w:r>
          </w:p>
        </w:tc>
        <w:tc>
          <w:tcPr>
            <w:tcW w:w="165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0.02</w:t>
            </w:r>
          </w:p>
        </w:tc>
        <w:tc>
          <w:tcPr>
            <w:tcW w:w="151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6" w:hRule="atLeast"/>
          <w:jc w:val="center"/>
        </w:trPr>
        <w:tc>
          <w:tcPr>
            <w:tcW w:w="166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szCs w:val="21"/>
              </w:rPr>
            </w:pPr>
            <w:r>
              <w:rPr>
                <w:color w:val="000000" w:themeColor="text1"/>
                <w:kern w:val="0"/>
                <w:szCs w:val="21"/>
              </w:rPr>
              <w:t>300</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0.3123</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0.16</w:t>
            </w:r>
          </w:p>
        </w:tc>
        <w:tc>
          <w:tcPr>
            <w:tcW w:w="165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c>
          <w:tcPr>
            <w:tcW w:w="151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166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szCs w:val="21"/>
              </w:rPr>
            </w:pPr>
            <w:r>
              <w:rPr>
                <w:color w:val="000000" w:themeColor="text1"/>
                <w:kern w:val="0"/>
                <w:szCs w:val="21"/>
              </w:rPr>
              <w:t>400</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0.18934</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0.09</w:t>
            </w:r>
          </w:p>
        </w:tc>
        <w:tc>
          <w:tcPr>
            <w:tcW w:w="165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c>
          <w:tcPr>
            <w:tcW w:w="151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166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szCs w:val="21"/>
              </w:rPr>
            </w:pPr>
            <w:r>
              <w:rPr>
                <w:color w:val="000000" w:themeColor="text1"/>
                <w:kern w:val="0"/>
                <w:szCs w:val="21"/>
              </w:rPr>
              <w:t>500</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0.12961</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0.06</w:t>
            </w:r>
          </w:p>
        </w:tc>
        <w:tc>
          <w:tcPr>
            <w:tcW w:w="165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c>
          <w:tcPr>
            <w:tcW w:w="151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166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szCs w:val="21"/>
              </w:rPr>
            </w:pPr>
            <w:r>
              <w:rPr>
                <w:color w:val="000000" w:themeColor="text1"/>
                <w:kern w:val="0"/>
                <w:szCs w:val="21"/>
              </w:rPr>
              <w:t>600</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0.095518</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0.05</w:t>
            </w:r>
          </w:p>
        </w:tc>
        <w:tc>
          <w:tcPr>
            <w:tcW w:w="165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w:t>
            </w:r>
          </w:p>
        </w:tc>
        <w:tc>
          <w:tcPr>
            <w:tcW w:w="151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166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szCs w:val="21"/>
              </w:rPr>
            </w:pPr>
            <w:r>
              <w:rPr>
                <w:color w:val="000000" w:themeColor="text1"/>
                <w:kern w:val="0"/>
                <w:szCs w:val="21"/>
              </w:rPr>
              <w:t>700</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0.074082</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0.04</w:t>
            </w:r>
          </w:p>
        </w:tc>
        <w:tc>
          <w:tcPr>
            <w:tcW w:w="165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w:t>
            </w:r>
          </w:p>
        </w:tc>
        <w:tc>
          <w:tcPr>
            <w:tcW w:w="151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166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szCs w:val="21"/>
              </w:rPr>
            </w:pPr>
            <w:r>
              <w:rPr>
                <w:color w:val="000000" w:themeColor="text1"/>
                <w:kern w:val="0"/>
                <w:szCs w:val="21"/>
              </w:rPr>
              <w:t>800</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0.059635</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0.03</w:t>
            </w:r>
          </w:p>
        </w:tc>
        <w:tc>
          <w:tcPr>
            <w:tcW w:w="165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w:t>
            </w:r>
          </w:p>
        </w:tc>
        <w:tc>
          <w:tcPr>
            <w:tcW w:w="151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166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szCs w:val="21"/>
              </w:rPr>
            </w:pPr>
            <w:r>
              <w:rPr>
                <w:color w:val="000000" w:themeColor="text1"/>
                <w:kern w:val="0"/>
                <w:szCs w:val="21"/>
              </w:rPr>
              <w:t>900</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0.049365</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0.02</w:t>
            </w:r>
          </w:p>
        </w:tc>
        <w:tc>
          <w:tcPr>
            <w:tcW w:w="165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w:t>
            </w:r>
          </w:p>
        </w:tc>
        <w:tc>
          <w:tcPr>
            <w:tcW w:w="151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166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szCs w:val="21"/>
              </w:rPr>
            </w:pPr>
            <w:r>
              <w:rPr>
                <w:color w:val="000000" w:themeColor="text1"/>
                <w:kern w:val="0"/>
                <w:szCs w:val="21"/>
              </w:rPr>
              <w:t>1000</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0.041761</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0.02</w:t>
            </w:r>
          </w:p>
        </w:tc>
        <w:tc>
          <w:tcPr>
            <w:tcW w:w="165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w:t>
            </w:r>
          </w:p>
        </w:tc>
        <w:tc>
          <w:tcPr>
            <w:tcW w:w="151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166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szCs w:val="21"/>
              </w:rPr>
            </w:pPr>
            <w:r>
              <w:rPr>
                <w:rFonts w:hint="eastAsia"/>
                <w:color w:val="000000" w:themeColor="text1"/>
                <w:kern w:val="0"/>
                <w:szCs w:val="21"/>
              </w:rPr>
              <w:t>1100</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0.035947</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0.02</w:t>
            </w:r>
          </w:p>
        </w:tc>
        <w:tc>
          <w:tcPr>
            <w:tcW w:w="165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w:t>
            </w:r>
          </w:p>
        </w:tc>
        <w:tc>
          <w:tcPr>
            <w:tcW w:w="151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166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szCs w:val="21"/>
              </w:rPr>
            </w:pPr>
            <w:r>
              <w:rPr>
                <w:rFonts w:hint="eastAsia"/>
                <w:color w:val="000000" w:themeColor="text1"/>
                <w:kern w:val="0"/>
                <w:szCs w:val="21"/>
              </w:rPr>
              <w:t>1200</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0.031375</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0.02</w:t>
            </w:r>
          </w:p>
        </w:tc>
        <w:tc>
          <w:tcPr>
            <w:tcW w:w="165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w:t>
            </w:r>
          </w:p>
        </w:tc>
        <w:tc>
          <w:tcPr>
            <w:tcW w:w="151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166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szCs w:val="21"/>
              </w:rPr>
            </w:pPr>
            <w:r>
              <w:rPr>
                <w:rFonts w:hint="eastAsia"/>
                <w:color w:val="000000" w:themeColor="text1"/>
                <w:kern w:val="0"/>
                <w:szCs w:val="21"/>
              </w:rPr>
              <w:t>1300</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0.027732</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c>
          <w:tcPr>
            <w:tcW w:w="165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w:t>
            </w:r>
          </w:p>
        </w:tc>
        <w:tc>
          <w:tcPr>
            <w:tcW w:w="151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166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szCs w:val="21"/>
              </w:rPr>
            </w:pPr>
            <w:r>
              <w:rPr>
                <w:rFonts w:hint="eastAsia"/>
                <w:color w:val="000000" w:themeColor="text1"/>
                <w:kern w:val="0"/>
                <w:szCs w:val="21"/>
              </w:rPr>
              <w:t>1400</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0.024738</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c>
          <w:tcPr>
            <w:tcW w:w="165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w:t>
            </w:r>
          </w:p>
        </w:tc>
        <w:tc>
          <w:tcPr>
            <w:tcW w:w="151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166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szCs w:val="21"/>
              </w:rPr>
            </w:pPr>
            <w:r>
              <w:rPr>
                <w:rFonts w:hint="eastAsia"/>
                <w:color w:val="000000" w:themeColor="text1"/>
                <w:kern w:val="0"/>
                <w:szCs w:val="21"/>
              </w:rPr>
              <w:t>1500</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0.022256</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c>
          <w:tcPr>
            <w:tcW w:w="165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w:t>
            </w:r>
          </w:p>
        </w:tc>
        <w:tc>
          <w:tcPr>
            <w:tcW w:w="151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166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szCs w:val="21"/>
              </w:rPr>
            </w:pPr>
            <w:r>
              <w:rPr>
                <w:rFonts w:hint="eastAsia"/>
                <w:color w:val="000000" w:themeColor="text1"/>
                <w:kern w:val="0"/>
                <w:szCs w:val="21"/>
              </w:rPr>
              <w:t>1600</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0.02017</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c>
          <w:tcPr>
            <w:tcW w:w="165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w:t>
            </w:r>
          </w:p>
        </w:tc>
        <w:tc>
          <w:tcPr>
            <w:tcW w:w="151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1669"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color w:val="000000" w:themeColor="text1"/>
                <w:kern w:val="0"/>
                <w:szCs w:val="21"/>
              </w:rPr>
            </w:pPr>
            <w:r>
              <w:rPr>
                <w:rFonts w:hint="eastAsia"/>
                <w:color w:val="000000" w:themeColor="text1"/>
                <w:kern w:val="0"/>
                <w:szCs w:val="21"/>
              </w:rPr>
              <w:t>1644（小舍克村）</w:t>
            </w:r>
          </w:p>
        </w:tc>
        <w:tc>
          <w:tcPr>
            <w:tcW w:w="1559"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szCs w:val="21"/>
              </w:rPr>
            </w:pPr>
            <w:r>
              <w:rPr>
                <w:rFonts w:hint="eastAsia"/>
                <w:color w:val="000000" w:themeColor="text1"/>
                <w:szCs w:val="21"/>
              </w:rPr>
              <w:t>0.019355</w:t>
            </w:r>
          </w:p>
        </w:tc>
        <w:tc>
          <w:tcPr>
            <w:tcW w:w="1560"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szCs w:val="21"/>
              </w:rPr>
            </w:pPr>
            <w:r>
              <w:rPr>
                <w:rFonts w:hint="eastAsia"/>
                <w:color w:val="000000" w:themeColor="text1"/>
                <w:szCs w:val="21"/>
              </w:rPr>
              <w:t>0.01</w:t>
            </w:r>
          </w:p>
        </w:tc>
        <w:tc>
          <w:tcPr>
            <w:tcW w:w="1653"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szCs w:val="21"/>
              </w:rPr>
            </w:pPr>
            <w:r>
              <w:rPr>
                <w:rFonts w:hint="eastAsia"/>
                <w:color w:val="000000" w:themeColor="text1"/>
                <w:szCs w:val="21"/>
              </w:rPr>
              <w:t>0.00</w:t>
            </w:r>
          </w:p>
        </w:tc>
        <w:tc>
          <w:tcPr>
            <w:tcW w:w="1516"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szCs w:val="21"/>
              </w:rPr>
            </w:pPr>
            <w:r>
              <w:rPr>
                <w:rFonts w:hint="eastAsia"/>
                <w:color w:val="000000" w:themeColor="text1"/>
                <w:szCs w:val="21"/>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166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szCs w:val="21"/>
              </w:rPr>
            </w:pPr>
            <w:r>
              <w:rPr>
                <w:rFonts w:hint="eastAsia"/>
                <w:color w:val="000000" w:themeColor="text1"/>
                <w:kern w:val="0"/>
                <w:szCs w:val="21"/>
              </w:rPr>
              <w:t>1700</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0.018396</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c>
          <w:tcPr>
            <w:tcW w:w="165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w:t>
            </w:r>
          </w:p>
        </w:tc>
        <w:tc>
          <w:tcPr>
            <w:tcW w:w="151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166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szCs w:val="21"/>
              </w:rPr>
            </w:pPr>
            <w:r>
              <w:rPr>
                <w:rFonts w:hint="eastAsia"/>
                <w:color w:val="000000" w:themeColor="text1"/>
                <w:kern w:val="0"/>
                <w:szCs w:val="21"/>
              </w:rPr>
              <w:t>1800</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0.016874</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c>
          <w:tcPr>
            <w:tcW w:w="165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w:t>
            </w:r>
          </w:p>
        </w:tc>
        <w:tc>
          <w:tcPr>
            <w:tcW w:w="151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166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szCs w:val="21"/>
              </w:rPr>
            </w:pPr>
            <w:r>
              <w:rPr>
                <w:rFonts w:hint="eastAsia"/>
                <w:color w:val="000000" w:themeColor="text1"/>
                <w:kern w:val="0"/>
                <w:szCs w:val="21"/>
              </w:rPr>
              <w:t>1900</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0.015555</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c>
          <w:tcPr>
            <w:tcW w:w="165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w:t>
            </w:r>
          </w:p>
        </w:tc>
        <w:tc>
          <w:tcPr>
            <w:tcW w:w="151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166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szCs w:val="21"/>
              </w:rPr>
            </w:pPr>
            <w:r>
              <w:rPr>
                <w:rFonts w:hint="eastAsia"/>
                <w:color w:val="000000" w:themeColor="text1"/>
                <w:kern w:val="0"/>
                <w:szCs w:val="21"/>
              </w:rPr>
              <w:t>2000</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0.014403</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c>
          <w:tcPr>
            <w:tcW w:w="165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w:t>
            </w:r>
          </w:p>
        </w:tc>
        <w:tc>
          <w:tcPr>
            <w:tcW w:w="151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166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szCs w:val="21"/>
              </w:rPr>
            </w:pPr>
            <w:r>
              <w:rPr>
                <w:rFonts w:hint="eastAsia"/>
                <w:color w:val="000000" w:themeColor="text1"/>
                <w:kern w:val="0"/>
                <w:szCs w:val="21"/>
              </w:rPr>
              <w:t>2100</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0.01339</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c>
          <w:tcPr>
            <w:tcW w:w="165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w:t>
            </w:r>
          </w:p>
        </w:tc>
        <w:tc>
          <w:tcPr>
            <w:tcW w:w="151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166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szCs w:val="21"/>
              </w:rPr>
            </w:pPr>
            <w:r>
              <w:rPr>
                <w:rFonts w:hint="eastAsia"/>
                <w:color w:val="000000" w:themeColor="text1"/>
                <w:kern w:val="0"/>
                <w:szCs w:val="21"/>
              </w:rPr>
              <w:t>2200</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0.012493</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c>
          <w:tcPr>
            <w:tcW w:w="165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w:t>
            </w:r>
          </w:p>
        </w:tc>
        <w:tc>
          <w:tcPr>
            <w:tcW w:w="151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166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szCs w:val="21"/>
              </w:rPr>
            </w:pPr>
            <w:r>
              <w:rPr>
                <w:rFonts w:hint="eastAsia"/>
                <w:color w:val="000000" w:themeColor="text1"/>
                <w:kern w:val="0"/>
                <w:szCs w:val="21"/>
              </w:rPr>
              <w:t>2300</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0.011695</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c>
          <w:tcPr>
            <w:tcW w:w="165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w:t>
            </w:r>
          </w:p>
        </w:tc>
        <w:tc>
          <w:tcPr>
            <w:tcW w:w="151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166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szCs w:val="21"/>
              </w:rPr>
            </w:pPr>
            <w:r>
              <w:rPr>
                <w:rFonts w:hint="eastAsia"/>
                <w:color w:val="000000" w:themeColor="text1"/>
                <w:kern w:val="0"/>
                <w:szCs w:val="21"/>
              </w:rPr>
              <w:t>2400</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0.01098</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c>
          <w:tcPr>
            <w:tcW w:w="165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w:t>
            </w:r>
          </w:p>
        </w:tc>
        <w:tc>
          <w:tcPr>
            <w:tcW w:w="151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166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szCs w:val="21"/>
              </w:rPr>
            </w:pPr>
            <w:r>
              <w:rPr>
                <w:rFonts w:hint="eastAsia"/>
                <w:color w:val="000000" w:themeColor="text1"/>
                <w:kern w:val="0"/>
                <w:szCs w:val="21"/>
              </w:rPr>
              <w:t>2500</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0.010337</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c>
          <w:tcPr>
            <w:tcW w:w="165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w:t>
            </w:r>
          </w:p>
        </w:tc>
        <w:tc>
          <w:tcPr>
            <w:tcW w:w="151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r>
    </w:tbl>
    <w:p>
      <w:pPr>
        <w:ind w:firstLine="480"/>
        <w:rPr>
          <w:color w:val="000000" w:themeColor="text1"/>
        </w:rPr>
      </w:pPr>
      <w:r>
        <w:rPr>
          <w:rFonts w:hint="eastAsia"/>
          <w:bCs/>
          <w:color w:val="000000" w:themeColor="text1"/>
        </w:rPr>
        <w:t>根据表</w:t>
      </w:r>
      <w:r>
        <w:rPr>
          <w:bCs/>
          <w:color w:val="000000" w:themeColor="text1"/>
        </w:rPr>
        <w:t>6.1</w:t>
      </w:r>
      <w:r>
        <w:rPr>
          <w:rFonts w:hint="eastAsia"/>
          <w:bCs/>
          <w:color w:val="000000" w:themeColor="text1"/>
        </w:rPr>
        <w:t>.2</w:t>
      </w:r>
      <w:r>
        <w:rPr>
          <w:bCs/>
          <w:color w:val="000000" w:themeColor="text1"/>
        </w:rPr>
        <w:t>-3</w:t>
      </w:r>
      <w:r>
        <w:rPr>
          <w:rFonts w:hint="eastAsia"/>
          <w:bCs/>
          <w:color w:val="000000" w:themeColor="text1"/>
        </w:rPr>
        <w:t>的计算结果，无组织排放恶臭中</w:t>
      </w:r>
      <w:r>
        <w:rPr>
          <w:bCs/>
          <w:color w:val="000000" w:themeColor="text1"/>
        </w:rPr>
        <w:t>NH</w:t>
      </w:r>
      <w:r>
        <w:rPr>
          <w:bCs/>
          <w:color w:val="000000" w:themeColor="text1"/>
          <w:vertAlign w:val="subscript"/>
        </w:rPr>
        <w:t>3</w:t>
      </w:r>
      <w:r>
        <w:rPr>
          <w:rFonts w:hint="eastAsia"/>
          <w:bCs/>
          <w:color w:val="000000" w:themeColor="text1"/>
        </w:rPr>
        <w:t>最大落地浓度为</w:t>
      </w:r>
      <w:r>
        <w:rPr>
          <w:rFonts w:hint="eastAsia"/>
          <w:color w:val="000000" w:themeColor="text1"/>
          <w:szCs w:val="24"/>
        </w:rPr>
        <w:t>2.7394</w:t>
      </w:r>
      <w:r>
        <w:rPr>
          <w:rFonts w:cs="Times New Roman"/>
          <w:color w:val="000000" w:themeColor="text1"/>
          <w:szCs w:val="24"/>
        </w:rPr>
        <w:t>μ</w:t>
      </w:r>
      <w:r>
        <w:rPr>
          <w:color w:val="000000" w:themeColor="text1"/>
          <w:szCs w:val="24"/>
        </w:rPr>
        <w:t>g</w:t>
      </w:r>
      <w:r>
        <w:rPr>
          <w:bCs/>
          <w:color w:val="000000" w:themeColor="text1"/>
          <w:szCs w:val="24"/>
        </w:rPr>
        <w:t>/m</w:t>
      </w:r>
      <w:r>
        <w:rPr>
          <w:bCs/>
          <w:color w:val="000000" w:themeColor="text1"/>
          <w:szCs w:val="24"/>
          <w:vertAlign w:val="superscript"/>
        </w:rPr>
        <w:t>3</w:t>
      </w:r>
      <w:r>
        <w:rPr>
          <w:rFonts w:hint="eastAsia"/>
          <w:bCs/>
          <w:color w:val="000000" w:themeColor="text1"/>
        </w:rPr>
        <w:t>，占标率为1.37</w:t>
      </w:r>
      <w:r>
        <w:rPr>
          <w:bCs/>
          <w:color w:val="000000" w:themeColor="text1"/>
        </w:rPr>
        <w:t>%</w:t>
      </w:r>
      <w:r>
        <w:rPr>
          <w:rFonts w:hint="eastAsia"/>
          <w:bCs/>
          <w:color w:val="000000" w:themeColor="text1"/>
        </w:rPr>
        <w:t>，满足</w:t>
      </w:r>
      <w:r>
        <w:rPr>
          <w:rFonts w:hint="eastAsia"/>
          <w:color w:val="000000" w:themeColor="text1"/>
          <w:szCs w:val="24"/>
          <w:lang w:val="zh-CN"/>
        </w:rPr>
        <w:t>《环境影响评价技术导则</w:t>
      </w:r>
      <w:r>
        <w:rPr>
          <w:color w:val="000000" w:themeColor="text1"/>
          <w:szCs w:val="24"/>
        </w:rPr>
        <w:t xml:space="preserve"> </w:t>
      </w:r>
      <w:r>
        <w:rPr>
          <w:rFonts w:hint="eastAsia"/>
          <w:color w:val="000000" w:themeColor="text1"/>
          <w:szCs w:val="24"/>
        </w:rPr>
        <w:t>大气环境</w:t>
      </w:r>
      <w:r>
        <w:rPr>
          <w:rFonts w:hint="eastAsia"/>
          <w:color w:val="000000" w:themeColor="text1"/>
          <w:szCs w:val="24"/>
          <w:lang w:val="zh-CN"/>
        </w:rPr>
        <w:t>》（</w:t>
      </w:r>
      <w:r>
        <w:rPr>
          <w:color w:val="000000" w:themeColor="text1"/>
          <w:szCs w:val="24"/>
        </w:rPr>
        <w:t>HJ2.2—2018</w:t>
      </w:r>
      <w:r>
        <w:rPr>
          <w:rFonts w:hint="eastAsia"/>
          <w:color w:val="000000" w:themeColor="text1"/>
          <w:szCs w:val="24"/>
          <w:lang w:val="zh-CN"/>
        </w:rPr>
        <w:t>）</w:t>
      </w:r>
      <w:r>
        <w:rPr>
          <w:rFonts w:hint="eastAsia"/>
          <w:color w:val="000000" w:themeColor="text1"/>
          <w:szCs w:val="24"/>
        </w:rPr>
        <w:t>附录</w:t>
      </w:r>
      <w:r>
        <w:rPr>
          <w:color w:val="000000" w:themeColor="text1"/>
          <w:szCs w:val="24"/>
        </w:rPr>
        <w:t>D</w:t>
      </w:r>
      <w:r>
        <w:rPr>
          <w:rFonts w:hint="eastAsia"/>
          <w:color w:val="000000" w:themeColor="text1"/>
          <w:szCs w:val="24"/>
        </w:rPr>
        <w:t>中</w:t>
      </w:r>
      <w:r>
        <w:rPr>
          <w:rFonts w:hint="eastAsia"/>
          <w:color w:val="000000" w:themeColor="text1"/>
        </w:rPr>
        <w:t>氨气＜2</w:t>
      </w:r>
      <w:r>
        <w:rPr>
          <w:rFonts w:cs="Times New Roman"/>
          <w:color w:val="000000" w:themeColor="text1"/>
        </w:rPr>
        <w:t>00μ</w:t>
      </w:r>
      <w:r>
        <w:rPr>
          <w:color w:val="000000" w:themeColor="text1"/>
        </w:rPr>
        <w:t>g/m</w:t>
      </w:r>
      <w:r>
        <w:rPr>
          <w:color w:val="000000" w:themeColor="text1"/>
          <w:vertAlign w:val="superscript"/>
        </w:rPr>
        <w:t>3</w:t>
      </w:r>
      <w:r>
        <w:rPr>
          <w:rFonts w:hint="eastAsia"/>
          <w:color w:val="000000" w:themeColor="text1"/>
        </w:rPr>
        <w:t>的要求，</w:t>
      </w:r>
      <w:r>
        <w:rPr>
          <w:bCs/>
          <w:color w:val="000000" w:themeColor="text1"/>
        </w:rPr>
        <w:t>H</w:t>
      </w:r>
      <w:r>
        <w:rPr>
          <w:bCs/>
          <w:color w:val="000000" w:themeColor="text1"/>
          <w:vertAlign w:val="subscript"/>
        </w:rPr>
        <w:t>2</w:t>
      </w:r>
      <w:r>
        <w:rPr>
          <w:bCs/>
          <w:color w:val="000000" w:themeColor="text1"/>
        </w:rPr>
        <w:t>S</w:t>
      </w:r>
      <w:r>
        <w:rPr>
          <w:rFonts w:hint="eastAsia"/>
          <w:bCs/>
          <w:color w:val="000000" w:themeColor="text1"/>
        </w:rPr>
        <w:t>最大落地浓度为0.11</w:t>
      </w:r>
      <w:r>
        <w:rPr>
          <w:rFonts w:cs="Times New Roman"/>
          <w:color w:val="000000" w:themeColor="text1"/>
        </w:rPr>
        <w:t>μ</w:t>
      </w:r>
      <w:r>
        <w:rPr>
          <w:color w:val="000000" w:themeColor="text1"/>
        </w:rPr>
        <w:t>g</w:t>
      </w:r>
      <w:r>
        <w:rPr>
          <w:bCs/>
          <w:color w:val="000000" w:themeColor="text1"/>
        </w:rPr>
        <w:t>/m</w:t>
      </w:r>
      <w:r>
        <w:rPr>
          <w:bCs/>
          <w:color w:val="000000" w:themeColor="text1"/>
          <w:vertAlign w:val="superscript"/>
        </w:rPr>
        <w:t>3</w:t>
      </w:r>
      <w:r>
        <w:rPr>
          <w:rFonts w:hint="eastAsia"/>
          <w:bCs/>
          <w:color w:val="000000" w:themeColor="text1"/>
        </w:rPr>
        <w:t>，占标率为1.07</w:t>
      </w:r>
      <w:r>
        <w:rPr>
          <w:bCs/>
          <w:color w:val="000000" w:themeColor="text1"/>
        </w:rPr>
        <w:t>%</w:t>
      </w:r>
      <w:r>
        <w:rPr>
          <w:rFonts w:hint="eastAsia"/>
          <w:bCs/>
          <w:color w:val="000000" w:themeColor="text1"/>
        </w:rPr>
        <w:t>，满足</w:t>
      </w:r>
      <w:r>
        <w:rPr>
          <w:rFonts w:hint="eastAsia"/>
          <w:color w:val="000000" w:themeColor="text1"/>
          <w:szCs w:val="24"/>
          <w:lang w:val="zh-CN"/>
        </w:rPr>
        <w:t>《环境影响评价技术导则</w:t>
      </w:r>
      <w:r>
        <w:rPr>
          <w:color w:val="000000" w:themeColor="text1"/>
          <w:szCs w:val="24"/>
        </w:rPr>
        <w:t xml:space="preserve"> </w:t>
      </w:r>
      <w:r>
        <w:rPr>
          <w:rFonts w:hint="eastAsia"/>
          <w:color w:val="000000" w:themeColor="text1"/>
          <w:szCs w:val="24"/>
        </w:rPr>
        <w:t>大气环境</w:t>
      </w:r>
      <w:r>
        <w:rPr>
          <w:rFonts w:hint="eastAsia"/>
          <w:color w:val="000000" w:themeColor="text1"/>
          <w:szCs w:val="24"/>
          <w:lang w:val="zh-CN"/>
        </w:rPr>
        <w:t>》（</w:t>
      </w:r>
      <w:r>
        <w:rPr>
          <w:color w:val="000000" w:themeColor="text1"/>
          <w:szCs w:val="24"/>
        </w:rPr>
        <w:t>HJ2.2—2018</w:t>
      </w:r>
      <w:r>
        <w:rPr>
          <w:rFonts w:hint="eastAsia"/>
          <w:color w:val="000000" w:themeColor="text1"/>
          <w:szCs w:val="24"/>
          <w:lang w:val="zh-CN"/>
        </w:rPr>
        <w:t>）</w:t>
      </w:r>
      <w:r>
        <w:rPr>
          <w:rFonts w:hint="eastAsia"/>
          <w:color w:val="000000" w:themeColor="text1"/>
          <w:szCs w:val="24"/>
        </w:rPr>
        <w:t>附录</w:t>
      </w:r>
      <w:r>
        <w:rPr>
          <w:color w:val="000000" w:themeColor="text1"/>
          <w:szCs w:val="24"/>
        </w:rPr>
        <w:t>D</w:t>
      </w:r>
      <w:r>
        <w:rPr>
          <w:rFonts w:hint="eastAsia"/>
          <w:color w:val="000000" w:themeColor="text1"/>
        </w:rPr>
        <w:t>中硫化氢＜1</w:t>
      </w:r>
      <w:r>
        <w:rPr>
          <w:rFonts w:cs="Times New Roman"/>
          <w:color w:val="000000" w:themeColor="text1"/>
        </w:rPr>
        <w:t>0μ</w:t>
      </w:r>
      <w:r>
        <w:rPr>
          <w:color w:val="000000" w:themeColor="text1"/>
        </w:rPr>
        <w:t>g/m</w:t>
      </w:r>
      <w:r>
        <w:rPr>
          <w:color w:val="000000" w:themeColor="text1"/>
          <w:vertAlign w:val="superscript"/>
        </w:rPr>
        <w:t>3</w:t>
      </w:r>
      <w:r>
        <w:rPr>
          <w:rFonts w:hint="eastAsia"/>
          <w:color w:val="000000" w:themeColor="text1"/>
        </w:rPr>
        <w:t>的要求。</w:t>
      </w:r>
    </w:p>
    <w:p>
      <w:pPr>
        <w:ind w:firstLine="480"/>
        <w:rPr>
          <w:color w:val="000000" w:themeColor="text1"/>
        </w:rPr>
      </w:pPr>
      <w:r>
        <w:rPr>
          <w:color w:val="000000" w:themeColor="text1"/>
        </w:rPr>
        <w:t>厂区恶臭两种污染物的最大地面浓度占标率P</w:t>
      </w:r>
      <w:r>
        <w:rPr>
          <w:color w:val="000000" w:themeColor="text1"/>
          <w:vertAlign w:val="subscript"/>
        </w:rPr>
        <w:t>max</w:t>
      </w:r>
      <w:r>
        <w:rPr>
          <w:color w:val="000000" w:themeColor="text1"/>
        </w:rPr>
        <w:t>=Max（P</w:t>
      </w:r>
      <w:r>
        <w:rPr>
          <w:color w:val="000000" w:themeColor="text1"/>
          <w:vertAlign w:val="subscript"/>
        </w:rPr>
        <w:t>NH3</w:t>
      </w:r>
      <w:r>
        <w:rPr>
          <w:color w:val="000000" w:themeColor="text1"/>
        </w:rPr>
        <w:t xml:space="preserve">，P </w:t>
      </w:r>
      <w:r>
        <w:rPr>
          <w:color w:val="000000" w:themeColor="text1"/>
          <w:vertAlign w:val="subscript"/>
        </w:rPr>
        <w:t>H2S</w:t>
      </w:r>
      <w:r>
        <w:rPr>
          <w:color w:val="000000" w:themeColor="text1"/>
        </w:rPr>
        <w:t>）=</w:t>
      </w:r>
      <w:r>
        <w:rPr>
          <w:rFonts w:hint="eastAsia"/>
          <w:color w:val="000000" w:themeColor="text1"/>
        </w:rPr>
        <w:t>1.37</w:t>
      </w:r>
      <w:r>
        <w:rPr>
          <w:color w:val="000000" w:themeColor="text1"/>
        </w:rPr>
        <w:t>%，</w:t>
      </w:r>
      <w:r>
        <w:rPr>
          <w:rFonts w:hAnsi="Calibri"/>
          <w:color w:val="000000" w:themeColor="text1"/>
        </w:rPr>
        <w:t>最大占标率</w:t>
      </w:r>
      <w:r>
        <w:rPr>
          <w:color w:val="000000" w:themeColor="text1"/>
        </w:rPr>
        <w:t>1</w:t>
      </w:r>
      <w:r>
        <w:rPr>
          <w:rFonts w:hint="eastAsia"/>
          <w:color w:val="000000" w:themeColor="text1"/>
        </w:rPr>
        <w:t>%</w:t>
      </w:r>
      <w:r>
        <w:rPr>
          <w:color w:val="000000" w:themeColor="text1"/>
        </w:rPr>
        <w:t>≤</w:t>
      </w:r>
      <w:r>
        <w:rPr>
          <w:i/>
          <w:iCs/>
          <w:color w:val="000000" w:themeColor="text1"/>
        </w:rPr>
        <w:t>P</w:t>
      </w:r>
      <w:r>
        <w:rPr>
          <w:color w:val="000000" w:themeColor="text1"/>
          <w:vertAlign w:val="subscript"/>
        </w:rPr>
        <w:t>max</w:t>
      </w:r>
      <w:r>
        <w:rPr>
          <w:color w:val="000000" w:themeColor="text1"/>
        </w:rPr>
        <w:t>=</w:t>
      </w:r>
      <w:r>
        <w:rPr>
          <w:rFonts w:hint="eastAsia" w:hAnsi="Calibri"/>
          <w:color w:val="000000" w:themeColor="text1"/>
        </w:rPr>
        <w:t>1.37%</w:t>
      </w:r>
      <w:r>
        <w:rPr>
          <w:color w:val="000000" w:themeColor="text1"/>
        </w:rPr>
        <w:t>&lt;10%</w:t>
      </w:r>
      <w:r>
        <w:rPr>
          <w:rFonts w:hAnsi="Calibri"/>
          <w:color w:val="000000" w:themeColor="text1"/>
        </w:rPr>
        <w:t>，即计算过程中污染因子</w:t>
      </w:r>
      <w:r>
        <w:rPr>
          <w:color w:val="000000" w:themeColor="text1"/>
        </w:rPr>
        <w:t>NH</w:t>
      </w:r>
      <w:r>
        <w:rPr>
          <w:color w:val="000000" w:themeColor="text1"/>
          <w:vertAlign w:val="subscript"/>
        </w:rPr>
        <w:t>3</w:t>
      </w:r>
      <w:r>
        <w:rPr>
          <w:rFonts w:hAnsi="Calibri"/>
          <w:color w:val="000000" w:themeColor="text1"/>
        </w:rPr>
        <w:t>、</w:t>
      </w:r>
      <w:r>
        <w:rPr>
          <w:color w:val="000000" w:themeColor="text1"/>
        </w:rPr>
        <w:t>H</w:t>
      </w:r>
      <w:r>
        <w:rPr>
          <w:color w:val="000000" w:themeColor="text1"/>
          <w:vertAlign w:val="subscript"/>
        </w:rPr>
        <w:t>2</w:t>
      </w:r>
      <w:r>
        <w:rPr>
          <w:color w:val="000000" w:themeColor="text1"/>
        </w:rPr>
        <w:t>S</w:t>
      </w:r>
      <w:r>
        <w:rPr>
          <w:rFonts w:hAnsi="Calibri"/>
          <w:color w:val="000000" w:themeColor="text1"/>
        </w:rPr>
        <w:t>在筛选点占标率均在</w:t>
      </w:r>
      <w:r>
        <w:rPr>
          <w:color w:val="000000" w:themeColor="text1"/>
        </w:rPr>
        <w:t>1</w:t>
      </w:r>
      <w:r>
        <w:rPr>
          <w:rFonts w:hAnsi="Calibri"/>
          <w:color w:val="000000" w:themeColor="text1"/>
        </w:rPr>
        <w:t>～</w:t>
      </w:r>
      <w:r>
        <w:rPr>
          <w:color w:val="000000" w:themeColor="text1"/>
        </w:rPr>
        <w:t>10%</w:t>
      </w:r>
      <w:r>
        <w:rPr>
          <w:rFonts w:hAnsi="Calibri"/>
          <w:color w:val="000000" w:themeColor="text1"/>
        </w:rPr>
        <w:t>之间。根据《环境影响评价技术导则</w:t>
      </w:r>
      <w:r>
        <w:rPr>
          <w:color w:val="000000" w:themeColor="text1"/>
        </w:rPr>
        <w:t xml:space="preserve"> </w:t>
      </w:r>
      <w:r>
        <w:rPr>
          <w:rFonts w:hAnsi="Calibri"/>
          <w:color w:val="000000" w:themeColor="text1"/>
        </w:rPr>
        <w:t>大气环境》（</w:t>
      </w:r>
      <w:r>
        <w:rPr>
          <w:color w:val="000000" w:themeColor="text1"/>
        </w:rPr>
        <w:t>HJ2.2-2018</w:t>
      </w:r>
      <w:r>
        <w:rPr>
          <w:rFonts w:hAnsi="Calibri"/>
          <w:color w:val="000000" w:themeColor="text1"/>
        </w:rPr>
        <w:t>）规定，确定环境空气评价等级为二级</w:t>
      </w:r>
      <w:r>
        <w:rPr>
          <w:rFonts w:hint="eastAsia" w:hAnsi="Calibri"/>
          <w:color w:val="000000" w:themeColor="text1"/>
        </w:rPr>
        <w:t>，</w:t>
      </w:r>
      <w:r>
        <w:rPr>
          <w:color w:val="000000" w:themeColor="text1"/>
        </w:rPr>
        <w:t>不再用预测模式进一步进行预测。</w:t>
      </w:r>
    </w:p>
    <w:p>
      <w:pPr>
        <w:ind w:firstLine="482"/>
        <w:rPr>
          <w:b/>
          <w:color w:val="000000" w:themeColor="text1"/>
        </w:rPr>
      </w:pPr>
      <w:r>
        <w:rPr>
          <w:rFonts w:hint="eastAsia"/>
          <w:b/>
          <w:color w:val="000000" w:themeColor="text1"/>
        </w:rPr>
        <w:t>3、恶臭对周边环境的影响分析</w:t>
      </w:r>
    </w:p>
    <w:p>
      <w:pPr>
        <w:ind w:firstLine="480"/>
        <w:rPr>
          <w:bCs/>
          <w:color w:val="000000" w:themeColor="text1"/>
        </w:rPr>
      </w:pPr>
      <w:r>
        <w:rPr>
          <w:rFonts w:hint="eastAsia"/>
          <w:bCs/>
          <w:color w:val="000000" w:themeColor="text1"/>
        </w:rPr>
        <w:t>根据项目现场踏勘可知，项目位于</w:t>
      </w:r>
      <w:r>
        <w:rPr>
          <w:rStyle w:val="52"/>
          <w:rFonts w:hint="eastAsia"/>
          <w:b w:val="0"/>
          <w:bCs w:val="0"/>
          <w:i w:val="0"/>
          <w:iCs w:val="0"/>
          <w:color w:val="000000" w:themeColor="text1"/>
          <w:szCs w:val="24"/>
        </w:rPr>
        <w:t>砚山县干河乡小龙白村西北侧500m处</w:t>
      </w:r>
      <w:r>
        <w:rPr>
          <w:rFonts w:hint="eastAsia"/>
          <w:bCs/>
          <w:color w:val="000000" w:themeColor="text1"/>
        </w:rPr>
        <w:t>，周边多是山地缓坡和农田。因此，本次环评选取恶臭无组织排放的最大落地浓度与背景值最大检测值叠加后进行预测分析判定恶臭对周边环境的影响。预测结果表</w:t>
      </w:r>
      <w:r>
        <w:rPr>
          <w:bCs/>
          <w:color w:val="000000" w:themeColor="text1"/>
        </w:rPr>
        <w:t>6.1</w:t>
      </w:r>
      <w:r>
        <w:rPr>
          <w:rFonts w:hint="eastAsia"/>
          <w:bCs/>
          <w:color w:val="000000" w:themeColor="text1"/>
        </w:rPr>
        <w:t>.2</w:t>
      </w:r>
      <w:r>
        <w:rPr>
          <w:bCs/>
          <w:color w:val="000000" w:themeColor="text1"/>
        </w:rPr>
        <w:t>-</w:t>
      </w:r>
      <w:r>
        <w:rPr>
          <w:rFonts w:hint="eastAsia"/>
          <w:bCs/>
          <w:color w:val="000000" w:themeColor="text1"/>
        </w:rPr>
        <w:t>4。</w:t>
      </w:r>
    </w:p>
    <w:p>
      <w:pPr>
        <w:pStyle w:val="54"/>
        <w:rPr>
          <w:color w:val="000000" w:themeColor="text1"/>
        </w:rPr>
      </w:pPr>
      <w:r>
        <w:rPr>
          <w:rFonts w:hint="eastAsia"/>
          <w:color w:val="000000" w:themeColor="text1"/>
          <w:kern w:val="0"/>
        </w:rPr>
        <w:t>表</w:t>
      </w:r>
      <w:r>
        <w:rPr>
          <w:color w:val="000000" w:themeColor="text1"/>
          <w:kern w:val="0"/>
        </w:rPr>
        <w:t>6.1</w:t>
      </w:r>
      <w:r>
        <w:rPr>
          <w:rFonts w:hint="eastAsia"/>
          <w:color w:val="000000" w:themeColor="text1"/>
          <w:kern w:val="0"/>
        </w:rPr>
        <w:t>.2</w:t>
      </w:r>
      <w:r>
        <w:rPr>
          <w:color w:val="000000" w:themeColor="text1"/>
          <w:kern w:val="0"/>
        </w:rPr>
        <w:t>-</w:t>
      </w:r>
      <w:r>
        <w:rPr>
          <w:rFonts w:hint="eastAsia"/>
          <w:color w:val="000000" w:themeColor="text1"/>
          <w:kern w:val="0"/>
        </w:rPr>
        <w:t>4</w:t>
      </w:r>
      <w:r>
        <w:rPr>
          <w:color w:val="000000" w:themeColor="text1"/>
          <w:kern w:val="0"/>
        </w:rPr>
        <w:t xml:space="preserve">   </w:t>
      </w:r>
      <w:r>
        <w:rPr>
          <w:rFonts w:hint="eastAsia"/>
          <w:color w:val="000000" w:themeColor="text1"/>
          <w:kern w:val="0"/>
        </w:rPr>
        <w:t>最大落地浓度与背景浓度叠加分析</w:t>
      </w:r>
      <w:r>
        <w:rPr>
          <w:color w:val="000000" w:themeColor="text1"/>
          <w:kern w:val="0"/>
        </w:rPr>
        <w:t xml:space="preserve">   </w:t>
      </w:r>
      <w:r>
        <w:rPr>
          <w:rFonts w:hint="eastAsia"/>
          <w:color w:val="000000" w:themeColor="text1"/>
          <w:kern w:val="0"/>
        </w:rPr>
        <w:t>单位：</w:t>
      </w:r>
      <w:r>
        <w:rPr>
          <w:color w:val="000000" w:themeColor="text1"/>
          <w:kern w:val="0"/>
        </w:rPr>
        <w:t>μg/m</w:t>
      </w:r>
      <w:r>
        <w:rPr>
          <w:color w:val="000000" w:themeColor="text1"/>
          <w:kern w:val="0"/>
          <w:vertAlign w:val="superscript"/>
        </w:rPr>
        <w:t>3</w:t>
      </w:r>
    </w:p>
    <w:tbl>
      <w:tblPr>
        <w:tblStyle w:val="42"/>
        <w:tblW w:w="844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54"/>
        <w:gridCol w:w="3349"/>
        <w:gridCol w:w="334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754" w:type="dxa"/>
            <w:vMerge w:val="restart"/>
            <w:tcBorders>
              <w:top w:val="single" w:color="auto" w:sz="6" w:space="0"/>
              <w:left w:val="single" w:color="auto" w:sz="6" w:space="0"/>
              <w:bottom w:val="single" w:color="auto" w:sz="6" w:space="0"/>
              <w:right w:val="single" w:color="auto" w:sz="6" w:space="0"/>
            </w:tcBorders>
            <w:vAlign w:val="center"/>
          </w:tcPr>
          <w:p>
            <w:pPr>
              <w:pStyle w:val="55"/>
              <w:rPr>
                <w:color w:val="000000" w:themeColor="text1"/>
              </w:rPr>
            </w:pPr>
            <w:r>
              <w:rPr>
                <w:rFonts w:hint="eastAsia"/>
                <w:color w:val="000000" w:themeColor="text1"/>
              </w:rPr>
              <w:t>项目</w:t>
            </w:r>
          </w:p>
        </w:tc>
        <w:tc>
          <w:tcPr>
            <w:tcW w:w="6691" w:type="dxa"/>
            <w:gridSpan w:val="2"/>
            <w:tcBorders>
              <w:top w:val="single" w:color="auto" w:sz="6" w:space="0"/>
              <w:left w:val="single" w:color="auto" w:sz="6" w:space="0"/>
              <w:bottom w:val="single" w:color="auto" w:sz="6" w:space="0"/>
              <w:right w:val="single" w:color="000000" w:sz="4" w:space="0"/>
            </w:tcBorders>
            <w:vAlign w:val="center"/>
          </w:tcPr>
          <w:p>
            <w:pPr>
              <w:pStyle w:val="55"/>
              <w:rPr>
                <w:color w:val="000000" w:themeColor="text1"/>
              </w:rPr>
            </w:pPr>
            <w:r>
              <w:rPr>
                <w:rFonts w:hint="eastAsia"/>
                <w:color w:val="000000" w:themeColor="text1"/>
              </w:rPr>
              <w:t>污染物浓度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754" w:type="dxa"/>
            <w:vMerge w:val="continue"/>
            <w:tcBorders>
              <w:top w:val="single" w:color="auto" w:sz="6" w:space="0"/>
              <w:left w:val="single" w:color="auto" w:sz="6" w:space="0"/>
              <w:bottom w:val="single" w:color="auto" w:sz="6" w:space="0"/>
              <w:right w:val="single" w:color="auto" w:sz="6" w:space="0"/>
            </w:tcBorders>
            <w:vAlign w:val="center"/>
          </w:tcPr>
          <w:p>
            <w:pPr>
              <w:pStyle w:val="55"/>
              <w:rPr>
                <w:color w:val="000000" w:themeColor="text1"/>
              </w:rPr>
            </w:pPr>
          </w:p>
        </w:tc>
        <w:tc>
          <w:tcPr>
            <w:tcW w:w="3349"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vertAlign w:val="subscript"/>
              </w:rPr>
            </w:pPr>
            <w:r>
              <w:rPr>
                <w:color w:val="000000" w:themeColor="text1"/>
              </w:rPr>
              <w:t>NH</w:t>
            </w:r>
            <w:r>
              <w:rPr>
                <w:color w:val="000000" w:themeColor="text1"/>
                <w:vertAlign w:val="subscript"/>
              </w:rPr>
              <w:t>3</w:t>
            </w:r>
          </w:p>
        </w:tc>
        <w:tc>
          <w:tcPr>
            <w:tcW w:w="3342" w:type="dxa"/>
            <w:tcBorders>
              <w:top w:val="single" w:color="auto" w:sz="6" w:space="0"/>
              <w:left w:val="single" w:color="auto" w:sz="6" w:space="0"/>
              <w:bottom w:val="single" w:color="auto" w:sz="6" w:space="0"/>
              <w:right w:val="single" w:color="000000" w:sz="4" w:space="0"/>
            </w:tcBorders>
            <w:vAlign w:val="center"/>
          </w:tcPr>
          <w:p>
            <w:pPr>
              <w:pStyle w:val="55"/>
              <w:rPr>
                <w:color w:val="000000" w:themeColor="text1"/>
              </w:rPr>
            </w:pPr>
            <w:r>
              <w:rPr>
                <w:color w:val="000000" w:themeColor="text1"/>
              </w:rPr>
              <w:t>H</w:t>
            </w:r>
            <w:r>
              <w:rPr>
                <w:color w:val="000000" w:themeColor="text1"/>
                <w:vertAlign w:val="subscript"/>
              </w:rPr>
              <w:t>2</w:t>
            </w:r>
            <w:r>
              <w:rPr>
                <w:color w:val="000000" w:themeColor="text1"/>
              </w:rPr>
              <w:t>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754"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rPr>
            </w:pPr>
            <w:r>
              <w:rPr>
                <w:rFonts w:hint="eastAsia"/>
                <w:color w:val="000000" w:themeColor="text1"/>
              </w:rPr>
              <w:t>贡献值</w:t>
            </w:r>
          </w:p>
        </w:tc>
        <w:tc>
          <w:tcPr>
            <w:tcW w:w="3349"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rPr>
            </w:pPr>
            <w:r>
              <w:rPr>
                <w:rFonts w:hint="eastAsia"/>
                <w:color w:val="000000" w:themeColor="text1"/>
                <w:kern w:val="0"/>
              </w:rPr>
              <w:t>2.7394</w:t>
            </w:r>
          </w:p>
        </w:tc>
        <w:tc>
          <w:tcPr>
            <w:tcW w:w="3342" w:type="dxa"/>
            <w:tcBorders>
              <w:top w:val="single" w:color="auto" w:sz="6" w:space="0"/>
              <w:left w:val="single" w:color="auto" w:sz="6" w:space="0"/>
              <w:bottom w:val="single" w:color="auto" w:sz="6" w:space="0"/>
              <w:right w:val="single" w:color="000000" w:sz="4" w:space="0"/>
            </w:tcBorders>
            <w:vAlign w:val="center"/>
          </w:tcPr>
          <w:p>
            <w:pPr>
              <w:pStyle w:val="55"/>
              <w:rPr>
                <w:color w:val="000000" w:themeColor="text1"/>
              </w:rPr>
            </w:pPr>
            <w:r>
              <w:rPr>
                <w:rFonts w:hint="eastAsia"/>
                <w:color w:val="000000" w:themeColor="text1"/>
                <w:kern w:val="0"/>
              </w:rPr>
              <w:t>0.11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0" w:hRule="atLeast"/>
          <w:jc w:val="center"/>
        </w:trPr>
        <w:tc>
          <w:tcPr>
            <w:tcW w:w="1754"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rPr>
            </w:pPr>
            <w:r>
              <w:rPr>
                <w:rFonts w:hint="eastAsia"/>
                <w:color w:val="000000" w:themeColor="text1"/>
              </w:rPr>
              <w:t>背景值</w:t>
            </w:r>
          </w:p>
        </w:tc>
        <w:tc>
          <w:tcPr>
            <w:tcW w:w="3349"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rPr>
            </w:pPr>
            <w:r>
              <w:rPr>
                <w:rFonts w:hint="eastAsia"/>
                <w:color w:val="000000" w:themeColor="text1"/>
              </w:rPr>
              <w:t>155</w:t>
            </w:r>
          </w:p>
        </w:tc>
        <w:tc>
          <w:tcPr>
            <w:tcW w:w="3342"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rPr>
            </w:pPr>
            <w:r>
              <w:rPr>
                <w:rFonts w:hint="eastAsia"/>
                <w:color w:val="000000" w:themeColor="text1"/>
              </w:rPr>
              <w:t>5.92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 w:hRule="atLeast"/>
          <w:jc w:val="center"/>
        </w:trPr>
        <w:tc>
          <w:tcPr>
            <w:tcW w:w="1754"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rPr>
            </w:pPr>
            <w:r>
              <w:rPr>
                <w:rFonts w:hint="eastAsia"/>
                <w:color w:val="000000" w:themeColor="text1"/>
              </w:rPr>
              <w:t>叠加值</w:t>
            </w:r>
          </w:p>
        </w:tc>
        <w:tc>
          <w:tcPr>
            <w:tcW w:w="3349"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rPr>
            </w:pPr>
            <w:r>
              <w:rPr>
                <w:rFonts w:hint="eastAsia"/>
                <w:color w:val="000000" w:themeColor="text1"/>
              </w:rPr>
              <w:t>157.7394</w:t>
            </w:r>
          </w:p>
        </w:tc>
        <w:tc>
          <w:tcPr>
            <w:tcW w:w="3342" w:type="dxa"/>
            <w:tcBorders>
              <w:top w:val="single" w:color="auto" w:sz="6" w:space="0"/>
              <w:left w:val="single" w:color="auto" w:sz="6" w:space="0"/>
              <w:bottom w:val="single" w:color="auto" w:sz="6" w:space="0"/>
              <w:right w:val="single" w:color="000000" w:sz="4" w:space="0"/>
            </w:tcBorders>
            <w:vAlign w:val="center"/>
          </w:tcPr>
          <w:p>
            <w:pPr>
              <w:pStyle w:val="55"/>
              <w:rPr>
                <w:color w:val="000000" w:themeColor="text1"/>
              </w:rPr>
            </w:pPr>
            <w:r>
              <w:rPr>
                <w:rFonts w:hint="eastAsia"/>
                <w:color w:val="000000" w:themeColor="text1"/>
              </w:rPr>
              <w:t>6.03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 w:hRule="atLeast"/>
          <w:jc w:val="center"/>
        </w:trPr>
        <w:tc>
          <w:tcPr>
            <w:tcW w:w="1754"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rPr>
            </w:pPr>
            <w:r>
              <w:rPr>
                <w:rFonts w:hint="eastAsia"/>
                <w:color w:val="000000" w:themeColor="text1"/>
              </w:rPr>
              <w:t>标准值</w:t>
            </w:r>
          </w:p>
        </w:tc>
        <w:tc>
          <w:tcPr>
            <w:tcW w:w="3349"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rPr>
            </w:pPr>
            <w:r>
              <w:rPr>
                <w:rFonts w:hint="eastAsia"/>
                <w:color w:val="000000" w:themeColor="text1"/>
              </w:rPr>
              <w:t>200</w:t>
            </w:r>
          </w:p>
        </w:tc>
        <w:tc>
          <w:tcPr>
            <w:tcW w:w="3342" w:type="dxa"/>
            <w:tcBorders>
              <w:top w:val="single" w:color="auto" w:sz="6" w:space="0"/>
              <w:left w:val="single" w:color="auto" w:sz="6" w:space="0"/>
              <w:bottom w:val="single" w:color="auto" w:sz="6" w:space="0"/>
              <w:right w:val="single" w:color="000000" w:sz="4" w:space="0"/>
            </w:tcBorders>
            <w:vAlign w:val="center"/>
          </w:tcPr>
          <w:p>
            <w:pPr>
              <w:pStyle w:val="55"/>
              <w:rPr>
                <w:color w:val="000000" w:themeColor="text1"/>
              </w:rPr>
            </w:pPr>
            <w:r>
              <w:rPr>
                <w:rFonts w:hint="eastAsia"/>
                <w:color w:val="000000" w:themeColor="text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 w:hRule="atLeast"/>
          <w:jc w:val="center"/>
        </w:trPr>
        <w:tc>
          <w:tcPr>
            <w:tcW w:w="1754"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rPr>
            </w:pPr>
            <w:r>
              <w:rPr>
                <w:rFonts w:hint="eastAsia"/>
                <w:color w:val="000000" w:themeColor="text1"/>
              </w:rPr>
              <w:t>达标情况</w:t>
            </w:r>
          </w:p>
        </w:tc>
        <w:tc>
          <w:tcPr>
            <w:tcW w:w="3349"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rPr>
            </w:pPr>
            <w:r>
              <w:rPr>
                <w:rFonts w:hint="eastAsia"/>
                <w:color w:val="000000" w:themeColor="text1"/>
              </w:rPr>
              <w:t>达标</w:t>
            </w:r>
          </w:p>
        </w:tc>
        <w:tc>
          <w:tcPr>
            <w:tcW w:w="3342" w:type="dxa"/>
            <w:tcBorders>
              <w:top w:val="single" w:color="auto" w:sz="6" w:space="0"/>
              <w:left w:val="single" w:color="auto" w:sz="6" w:space="0"/>
              <w:bottom w:val="single" w:color="auto" w:sz="6" w:space="0"/>
              <w:right w:val="single" w:color="000000" w:sz="4" w:space="0"/>
            </w:tcBorders>
            <w:vAlign w:val="center"/>
          </w:tcPr>
          <w:p>
            <w:pPr>
              <w:pStyle w:val="55"/>
              <w:rPr>
                <w:color w:val="000000" w:themeColor="text1"/>
              </w:rPr>
            </w:pPr>
            <w:r>
              <w:rPr>
                <w:rFonts w:hint="eastAsia"/>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754"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rPr>
            </w:pPr>
            <w:r>
              <w:rPr>
                <w:rFonts w:hint="eastAsia"/>
                <w:color w:val="000000" w:themeColor="text1"/>
              </w:rPr>
              <w:t>执行标准</w:t>
            </w:r>
          </w:p>
        </w:tc>
        <w:tc>
          <w:tcPr>
            <w:tcW w:w="6691" w:type="dxa"/>
            <w:gridSpan w:val="2"/>
            <w:tcBorders>
              <w:top w:val="single" w:color="auto" w:sz="6" w:space="0"/>
              <w:left w:val="single" w:color="auto" w:sz="6" w:space="0"/>
              <w:bottom w:val="single" w:color="auto" w:sz="6" w:space="0"/>
              <w:right w:val="single" w:color="000000" w:sz="4" w:space="0"/>
            </w:tcBorders>
            <w:vAlign w:val="center"/>
          </w:tcPr>
          <w:p>
            <w:pPr>
              <w:pStyle w:val="55"/>
              <w:rPr>
                <w:color w:val="000000" w:themeColor="text1"/>
                <w:szCs w:val="21"/>
              </w:rPr>
            </w:pPr>
            <w:r>
              <w:rPr>
                <w:rFonts w:hint="eastAsia"/>
                <w:color w:val="000000" w:themeColor="text1"/>
              </w:rPr>
              <w:t>《环境影响评价技术导则</w:t>
            </w:r>
            <w:r>
              <w:rPr>
                <w:color w:val="000000" w:themeColor="text1"/>
              </w:rPr>
              <w:t xml:space="preserve"> </w:t>
            </w:r>
            <w:r>
              <w:rPr>
                <w:rFonts w:hint="eastAsia"/>
                <w:color w:val="000000" w:themeColor="text1"/>
              </w:rPr>
              <w:t>大气环境》（</w:t>
            </w:r>
            <w:r>
              <w:rPr>
                <w:color w:val="000000" w:themeColor="text1"/>
              </w:rPr>
              <w:t>HJ2.2—2018</w:t>
            </w:r>
            <w:r>
              <w:rPr>
                <w:rFonts w:hint="eastAsia"/>
                <w:color w:val="000000" w:themeColor="text1"/>
              </w:rPr>
              <w:t>）附录</w:t>
            </w:r>
            <w:r>
              <w:rPr>
                <w:color w:val="000000" w:themeColor="text1"/>
              </w:rPr>
              <w:t>D</w:t>
            </w:r>
            <w:r>
              <w:rPr>
                <w:rFonts w:hint="eastAsia"/>
                <w:color w:val="000000" w:themeColor="text1"/>
              </w:rPr>
              <w:t>中的浓度限值（</w:t>
            </w:r>
            <w:r>
              <w:rPr>
                <w:color w:val="000000" w:themeColor="text1"/>
              </w:rPr>
              <w:t>NH</w:t>
            </w:r>
            <w:r>
              <w:rPr>
                <w:color w:val="000000" w:themeColor="text1"/>
                <w:vertAlign w:val="subscript"/>
              </w:rPr>
              <w:t>3</w:t>
            </w:r>
            <w:r>
              <w:rPr>
                <w:rFonts w:hint="eastAsia"/>
                <w:color w:val="000000" w:themeColor="text1"/>
              </w:rPr>
              <w:t>：</w:t>
            </w:r>
            <w:r>
              <w:rPr>
                <w:rFonts w:cs="Times New Roman"/>
                <w:color w:val="000000" w:themeColor="text1"/>
              </w:rPr>
              <w:t>200μg/ m³、H</w:t>
            </w:r>
            <w:r>
              <w:rPr>
                <w:rFonts w:cs="Times New Roman"/>
                <w:color w:val="000000" w:themeColor="text1"/>
                <w:vertAlign w:val="subscript"/>
              </w:rPr>
              <w:t>2</w:t>
            </w:r>
            <w:r>
              <w:rPr>
                <w:rFonts w:cs="Times New Roman"/>
                <w:color w:val="000000" w:themeColor="text1"/>
              </w:rPr>
              <w:t>S：10μg/ m³）</w:t>
            </w:r>
            <w:r>
              <w:rPr>
                <w:rFonts w:cs="Times New Roman"/>
                <w:color w:val="000000" w:themeColor="text1"/>
                <w:szCs w:val="21"/>
              </w:rPr>
              <w:t>。</w:t>
            </w:r>
          </w:p>
        </w:tc>
      </w:tr>
    </w:tbl>
    <w:p>
      <w:pPr>
        <w:ind w:firstLine="480"/>
        <w:rPr>
          <w:rFonts w:cs="Times New Roman"/>
          <w:bCs/>
          <w:color w:val="000000" w:themeColor="text1"/>
        </w:rPr>
      </w:pPr>
      <w:r>
        <w:rPr>
          <w:rFonts w:hint="eastAsia"/>
          <w:bCs/>
          <w:color w:val="000000" w:themeColor="text1"/>
        </w:rPr>
        <w:t>经预测可知，本项目无组织排放恶臭中</w:t>
      </w:r>
      <w:r>
        <w:rPr>
          <w:bCs/>
          <w:color w:val="000000" w:themeColor="text1"/>
        </w:rPr>
        <w:t>NH</w:t>
      </w:r>
      <w:r>
        <w:rPr>
          <w:bCs/>
          <w:color w:val="000000" w:themeColor="text1"/>
          <w:vertAlign w:val="subscript"/>
        </w:rPr>
        <w:t>3</w:t>
      </w:r>
      <w:r>
        <w:rPr>
          <w:rFonts w:hint="eastAsia"/>
          <w:bCs/>
          <w:color w:val="000000" w:themeColor="text1"/>
        </w:rPr>
        <w:t>和</w:t>
      </w:r>
      <w:r>
        <w:rPr>
          <w:bCs/>
          <w:color w:val="000000" w:themeColor="text1"/>
        </w:rPr>
        <w:t>H</w:t>
      </w:r>
      <w:r>
        <w:rPr>
          <w:bCs/>
          <w:color w:val="000000" w:themeColor="text1"/>
          <w:vertAlign w:val="subscript"/>
        </w:rPr>
        <w:t>2</w:t>
      </w:r>
      <w:r>
        <w:rPr>
          <w:bCs/>
          <w:color w:val="000000" w:themeColor="text1"/>
        </w:rPr>
        <w:t>S</w:t>
      </w:r>
      <w:r>
        <w:rPr>
          <w:rFonts w:hint="eastAsia"/>
          <w:bCs/>
          <w:color w:val="000000" w:themeColor="text1"/>
        </w:rPr>
        <w:t>最大落地浓度与背景值叠加后可满足</w:t>
      </w:r>
      <w:r>
        <w:rPr>
          <w:rFonts w:hint="eastAsia"/>
          <w:color w:val="000000" w:themeColor="text1"/>
          <w:szCs w:val="24"/>
          <w:lang w:val="zh-CN"/>
        </w:rPr>
        <w:t>《环境影响评价技术导则</w:t>
      </w:r>
      <w:r>
        <w:rPr>
          <w:color w:val="000000" w:themeColor="text1"/>
          <w:szCs w:val="24"/>
        </w:rPr>
        <w:t xml:space="preserve"> </w:t>
      </w:r>
      <w:r>
        <w:rPr>
          <w:rFonts w:hint="eastAsia"/>
          <w:color w:val="000000" w:themeColor="text1"/>
          <w:szCs w:val="24"/>
        </w:rPr>
        <w:t>大气环境</w:t>
      </w:r>
      <w:r>
        <w:rPr>
          <w:rFonts w:hint="eastAsia"/>
          <w:color w:val="000000" w:themeColor="text1"/>
          <w:szCs w:val="24"/>
          <w:lang w:val="zh-CN"/>
        </w:rPr>
        <w:t>》（</w:t>
      </w:r>
      <w:r>
        <w:rPr>
          <w:color w:val="000000" w:themeColor="text1"/>
          <w:szCs w:val="24"/>
        </w:rPr>
        <w:t>HJ2.2—2018</w:t>
      </w:r>
      <w:r>
        <w:rPr>
          <w:rFonts w:hint="eastAsia"/>
          <w:color w:val="000000" w:themeColor="text1"/>
          <w:szCs w:val="24"/>
          <w:lang w:val="zh-CN"/>
        </w:rPr>
        <w:t>）</w:t>
      </w:r>
      <w:r>
        <w:rPr>
          <w:rFonts w:hint="eastAsia"/>
          <w:color w:val="000000" w:themeColor="text1"/>
          <w:szCs w:val="24"/>
        </w:rPr>
        <w:t>附录</w:t>
      </w:r>
      <w:r>
        <w:rPr>
          <w:color w:val="000000" w:themeColor="text1"/>
          <w:szCs w:val="24"/>
        </w:rPr>
        <w:t>D</w:t>
      </w:r>
      <w:r>
        <w:rPr>
          <w:rFonts w:hint="eastAsia"/>
          <w:color w:val="000000" w:themeColor="text1"/>
          <w:szCs w:val="24"/>
        </w:rPr>
        <w:t>中的浓度限值（即</w:t>
      </w:r>
      <w:r>
        <w:rPr>
          <w:color w:val="000000" w:themeColor="text1"/>
          <w:szCs w:val="24"/>
        </w:rPr>
        <w:t>NH</w:t>
      </w:r>
      <w:r>
        <w:rPr>
          <w:color w:val="000000" w:themeColor="text1"/>
          <w:szCs w:val="24"/>
          <w:vertAlign w:val="subscript"/>
        </w:rPr>
        <w:t>3</w:t>
      </w:r>
      <w:r>
        <w:rPr>
          <w:rFonts w:hint="eastAsia"/>
          <w:color w:val="000000" w:themeColor="text1"/>
          <w:szCs w:val="24"/>
        </w:rPr>
        <w:t>：200</w:t>
      </w:r>
      <w:r>
        <w:rPr>
          <w:rFonts w:cs="Times New Roman"/>
          <w:color w:val="000000" w:themeColor="text1"/>
          <w:szCs w:val="24"/>
        </w:rPr>
        <w:t>μ</w:t>
      </w:r>
      <w:r>
        <w:rPr>
          <w:color w:val="000000" w:themeColor="text1"/>
          <w:szCs w:val="24"/>
        </w:rPr>
        <w:t>g/ m³</w:t>
      </w:r>
      <w:r>
        <w:rPr>
          <w:rFonts w:hint="eastAsia"/>
          <w:color w:val="000000" w:themeColor="text1"/>
          <w:szCs w:val="24"/>
        </w:rPr>
        <w:t>、</w:t>
      </w:r>
      <w:r>
        <w:rPr>
          <w:color w:val="000000" w:themeColor="text1"/>
          <w:szCs w:val="24"/>
        </w:rPr>
        <w:t>H</w:t>
      </w:r>
      <w:r>
        <w:rPr>
          <w:color w:val="000000" w:themeColor="text1"/>
          <w:szCs w:val="24"/>
          <w:vertAlign w:val="subscript"/>
        </w:rPr>
        <w:t>2</w:t>
      </w:r>
      <w:r>
        <w:rPr>
          <w:color w:val="000000" w:themeColor="text1"/>
          <w:szCs w:val="24"/>
        </w:rPr>
        <w:t>S</w:t>
      </w:r>
      <w:r>
        <w:rPr>
          <w:rFonts w:hint="eastAsia"/>
          <w:color w:val="000000" w:themeColor="text1"/>
          <w:szCs w:val="24"/>
        </w:rPr>
        <w:t>：10</w:t>
      </w:r>
      <w:r>
        <w:rPr>
          <w:rFonts w:cs="Times New Roman"/>
          <w:color w:val="000000" w:themeColor="text1"/>
          <w:szCs w:val="24"/>
        </w:rPr>
        <w:t>μ</w:t>
      </w:r>
      <w:r>
        <w:rPr>
          <w:color w:val="000000" w:themeColor="text1"/>
          <w:szCs w:val="24"/>
        </w:rPr>
        <w:t>g/ m³</w:t>
      </w:r>
      <w:r>
        <w:rPr>
          <w:rFonts w:hint="eastAsia"/>
          <w:color w:val="000000" w:themeColor="text1"/>
          <w:szCs w:val="24"/>
        </w:rPr>
        <w:t>）</w:t>
      </w:r>
      <w:r>
        <w:rPr>
          <w:rFonts w:hint="eastAsia"/>
          <w:bCs/>
          <w:color w:val="000000" w:themeColor="text1"/>
        </w:rPr>
        <w:t>。</w:t>
      </w:r>
    </w:p>
    <w:p>
      <w:pPr>
        <w:ind w:firstLine="482"/>
        <w:rPr>
          <w:b/>
          <w:color w:val="000000" w:themeColor="text1"/>
        </w:rPr>
      </w:pPr>
      <w:r>
        <w:rPr>
          <w:rFonts w:hint="eastAsia"/>
          <w:b/>
          <w:color w:val="000000" w:themeColor="text1"/>
        </w:rPr>
        <w:t>4、恶臭防治措施</w:t>
      </w:r>
    </w:p>
    <w:p>
      <w:pPr>
        <w:ind w:firstLine="480"/>
        <w:rPr>
          <w:bCs/>
          <w:color w:val="000000" w:themeColor="text1"/>
        </w:rPr>
      </w:pPr>
      <w:r>
        <w:rPr>
          <w:rFonts w:hint="eastAsia"/>
          <w:bCs/>
          <w:color w:val="000000" w:themeColor="text1"/>
        </w:rPr>
        <w:t>为了进一步减少恶臭环境影响，本次评价提出如下措施：</w:t>
      </w:r>
    </w:p>
    <w:p>
      <w:pPr>
        <w:ind w:firstLine="480"/>
        <w:rPr>
          <w:bCs/>
          <w:color w:val="000000" w:themeColor="text1"/>
        </w:rPr>
      </w:pPr>
      <w:r>
        <w:rPr>
          <w:rFonts w:hint="eastAsia" w:ascii="宋体" w:hAnsi="宋体" w:cs="宋体"/>
          <w:bCs/>
          <w:color w:val="000000" w:themeColor="text1"/>
        </w:rPr>
        <w:t>①</w:t>
      </w:r>
      <w:r>
        <w:rPr>
          <w:rFonts w:hint="eastAsia"/>
          <w:bCs/>
          <w:color w:val="000000" w:themeColor="text1"/>
        </w:rPr>
        <w:t>待宰间和屠宰间恶臭减缓措施：</w:t>
      </w:r>
      <w:r>
        <w:rPr>
          <w:bCs/>
          <w:color w:val="000000" w:themeColor="text1"/>
        </w:rPr>
        <w:t>a</w:t>
      </w:r>
      <w:r>
        <w:rPr>
          <w:rFonts w:hint="eastAsia"/>
          <w:bCs/>
          <w:color w:val="000000" w:themeColor="text1"/>
        </w:rPr>
        <w:t>、对待宰间和屠宰间及时清洁并定期喷洒生物除臭剂；</w:t>
      </w:r>
      <w:r>
        <w:rPr>
          <w:bCs/>
          <w:color w:val="000000" w:themeColor="text1"/>
        </w:rPr>
        <w:t>b</w:t>
      </w:r>
      <w:r>
        <w:rPr>
          <w:rFonts w:hint="eastAsia"/>
          <w:bCs/>
          <w:color w:val="000000" w:themeColor="text1"/>
        </w:rPr>
        <w:t>、</w:t>
      </w:r>
      <w:r>
        <w:rPr>
          <w:rFonts w:hint="eastAsia"/>
          <w:color w:val="000000" w:themeColor="text1"/>
        </w:rPr>
        <w:t>在待宰车间和屠宰车间分别安装风机对臭气进行通风稀释</w:t>
      </w:r>
      <w:r>
        <w:rPr>
          <w:color w:val="000000" w:themeColor="text1"/>
        </w:rPr>
        <w:t>c</w:t>
      </w:r>
      <w:r>
        <w:rPr>
          <w:rFonts w:hint="eastAsia"/>
          <w:color w:val="000000" w:themeColor="text1"/>
        </w:rPr>
        <w:t>、严格执行生猪、生鸡屠宰前一天内只进水不进食的要求，从源头上减少畜禽粪便的产生；d、及时清理屠宰间内产生的畜禽粪便、胃内容物等废物。</w:t>
      </w:r>
    </w:p>
    <w:p>
      <w:pPr>
        <w:ind w:firstLine="480"/>
        <w:rPr>
          <w:bCs/>
          <w:color w:val="000000" w:themeColor="text1"/>
        </w:rPr>
      </w:pPr>
      <w:r>
        <w:rPr>
          <w:rFonts w:hint="eastAsia" w:ascii="宋体" w:hAnsi="宋体" w:cs="宋体"/>
          <w:bCs/>
          <w:color w:val="000000" w:themeColor="text1"/>
        </w:rPr>
        <w:t>②</w:t>
      </w:r>
      <w:r>
        <w:rPr>
          <w:rFonts w:hint="eastAsia"/>
          <w:bCs/>
          <w:color w:val="000000" w:themeColor="text1"/>
        </w:rPr>
        <w:t>污水处理系统恶臭减缓措施：</w:t>
      </w:r>
      <w:r>
        <w:rPr>
          <w:bCs/>
          <w:color w:val="000000" w:themeColor="text1"/>
        </w:rPr>
        <w:t>a</w:t>
      </w:r>
      <w:r>
        <w:rPr>
          <w:rFonts w:hint="eastAsia"/>
          <w:bCs/>
          <w:color w:val="000000" w:themeColor="text1"/>
        </w:rPr>
        <w:t>、对格栅、污泥储存池等重点恶臭产生源采用密闭措施；</w:t>
      </w:r>
      <w:r>
        <w:rPr>
          <w:bCs/>
          <w:color w:val="000000" w:themeColor="text1"/>
        </w:rPr>
        <w:t>b</w:t>
      </w:r>
      <w:r>
        <w:rPr>
          <w:rFonts w:hint="eastAsia"/>
          <w:bCs/>
          <w:color w:val="000000" w:themeColor="text1"/>
        </w:rPr>
        <w:t>、加强污泥清理频次；</w:t>
      </w:r>
      <w:r>
        <w:rPr>
          <w:bCs/>
          <w:color w:val="000000" w:themeColor="text1"/>
        </w:rPr>
        <w:t>c</w:t>
      </w:r>
      <w:r>
        <w:rPr>
          <w:rFonts w:hint="eastAsia"/>
          <w:bCs/>
          <w:color w:val="000000" w:themeColor="text1"/>
        </w:rPr>
        <w:t>、在污泥储存池喷洒一些除臭剂；</w:t>
      </w:r>
      <w:r>
        <w:rPr>
          <w:bCs/>
          <w:color w:val="000000" w:themeColor="text1"/>
        </w:rPr>
        <w:t>d</w:t>
      </w:r>
      <w:r>
        <w:rPr>
          <w:rFonts w:hint="eastAsia"/>
          <w:bCs/>
          <w:color w:val="000000" w:themeColor="text1"/>
        </w:rPr>
        <w:t>、加强污水处理系统周边绿化</w:t>
      </w:r>
      <w:r>
        <w:rPr>
          <w:rFonts w:hint="eastAsia"/>
          <w:color w:val="000000" w:themeColor="text1"/>
        </w:rPr>
        <w:t>，绿化植物选用具有吸附功能的天然植物，进一步净化恶臭气体</w:t>
      </w:r>
      <w:r>
        <w:rPr>
          <w:rFonts w:hint="eastAsia"/>
          <w:bCs/>
          <w:color w:val="000000" w:themeColor="text1"/>
        </w:rPr>
        <w:t>。</w:t>
      </w:r>
    </w:p>
    <w:p>
      <w:pPr>
        <w:ind w:firstLine="480"/>
        <w:rPr>
          <w:bCs/>
          <w:color w:val="000000" w:themeColor="text1"/>
        </w:rPr>
      </w:pPr>
      <w:r>
        <w:rPr>
          <w:rFonts w:hint="eastAsia" w:ascii="宋体" w:hAnsi="宋体" w:cs="宋体"/>
          <w:bCs/>
          <w:color w:val="000000" w:themeColor="text1"/>
        </w:rPr>
        <w:t>③</w:t>
      </w:r>
      <w:r>
        <w:rPr>
          <w:rFonts w:hint="eastAsia"/>
          <w:bCs/>
          <w:color w:val="000000" w:themeColor="text1"/>
        </w:rPr>
        <w:t>粪便收集池恶臭减缓措施：</w:t>
      </w:r>
      <w:r>
        <w:rPr>
          <w:bCs/>
          <w:color w:val="000000" w:themeColor="text1"/>
        </w:rPr>
        <w:t>a</w:t>
      </w:r>
      <w:r>
        <w:rPr>
          <w:rFonts w:hint="eastAsia"/>
          <w:bCs/>
          <w:color w:val="000000" w:themeColor="text1"/>
        </w:rPr>
        <w:t>、粪便收集池</w:t>
      </w:r>
      <w:r>
        <w:rPr>
          <w:rFonts w:hint="eastAsia"/>
          <w:color w:val="000000" w:themeColor="text1"/>
        </w:rPr>
        <w:t>采用半密闭措施且做好防雨、防泄漏、防渗、防溢流、防晒等措施，减少恶臭扩散范围；</w:t>
      </w:r>
      <w:r>
        <w:rPr>
          <w:color w:val="000000" w:themeColor="text1"/>
        </w:rPr>
        <w:t>b</w:t>
      </w:r>
      <w:r>
        <w:rPr>
          <w:rFonts w:hint="eastAsia"/>
          <w:color w:val="000000" w:themeColor="text1"/>
        </w:rPr>
        <w:t>、加强</w:t>
      </w:r>
      <w:r>
        <w:rPr>
          <w:rFonts w:hint="eastAsia"/>
          <w:bCs/>
          <w:color w:val="000000" w:themeColor="text1"/>
        </w:rPr>
        <w:t>粪便收集池</w:t>
      </w:r>
      <w:r>
        <w:rPr>
          <w:rFonts w:hint="eastAsia"/>
          <w:color w:val="000000" w:themeColor="text1"/>
        </w:rPr>
        <w:t>周边绿化，绿化植物选用具有吸附功能的天然植物，进一步净化恶臭气体；</w:t>
      </w:r>
      <w:r>
        <w:rPr>
          <w:color w:val="000000" w:themeColor="text1"/>
        </w:rPr>
        <w:t>c</w:t>
      </w:r>
      <w:r>
        <w:rPr>
          <w:rFonts w:hint="eastAsia"/>
          <w:color w:val="000000" w:themeColor="text1"/>
        </w:rPr>
        <w:t>、及时清理</w:t>
      </w:r>
      <w:r>
        <w:rPr>
          <w:rFonts w:hint="eastAsia"/>
          <w:bCs/>
          <w:color w:val="000000" w:themeColor="text1"/>
        </w:rPr>
        <w:t>粪便收集池</w:t>
      </w:r>
      <w:r>
        <w:rPr>
          <w:rFonts w:hint="eastAsia"/>
          <w:color w:val="000000" w:themeColor="text1"/>
        </w:rPr>
        <w:t>，做到场内粪便日产日清。</w:t>
      </w:r>
    </w:p>
    <w:p>
      <w:pPr>
        <w:pStyle w:val="57"/>
        <w:ind w:firstLine="482"/>
        <w:rPr>
          <w:color w:val="000000" w:themeColor="text1"/>
        </w:rPr>
      </w:pPr>
      <w:bookmarkStart w:id="191" w:name="_Toc530059694"/>
      <w:r>
        <w:rPr>
          <w:color w:val="000000" w:themeColor="text1"/>
        </w:rPr>
        <w:t>6.1.2</w:t>
      </w:r>
      <w:r>
        <w:rPr>
          <w:rFonts w:hint="eastAsia"/>
          <w:color w:val="000000" w:themeColor="text1"/>
        </w:rPr>
        <w:t>.2运营期锅炉废气源强及环境影响评价</w:t>
      </w:r>
    </w:p>
    <w:p>
      <w:pPr>
        <w:ind w:firstLine="480"/>
        <w:rPr>
          <w:color w:val="000000" w:themeColor="text1"/>
        </w:rPr>
      </w:pPr>
      <w:r>
        <w:rPr>
          <w:rFonts w:hint="eastAsia"/>
          <w:color w:val="000000" w:themeColor="text1"/>
        </w:rPr>
        <w:t>本项目使用蒸汽锅炉在天气恶劣或冬季时为项目供热，锅炉采用生物质作为燃料，锅炉在运行过程中会产生</w:t>
      </w:r>
      <w:r>
        <w:rPr>
          <w:rFonts w:hint="eastAsia"/>
          <w:color w:val="000000" w:themeColor="text1"/>
          <w:szCs w:val="24"/>
        </w:rPr>
        <w:t>主要成分为颗粒物、</w:t>
      </w:r>
      <w:r>
        <w:rPr>
          <w:color w:val="000000" w:themeColor="text1"/>
          <w:szCs w:val="24"/>
        </w:rPr>
        <w:t>SO</w:t>
      </w:r>
      <w:r>
        <w:rPr>
          <w:color w:val="000000" w:themeColor="text1"/>
          <w:szCs w:val="24"/>
          <w:vertAlign w:val="subscript"/>
        </w:rPr>
        <w:t>2</w:t>
      </w:r>
      <w:r>
        <w:rPr>
          <w:rFonts w:hint="eastAsia"/>
          <w:color w:val="000000" w:themeColor="text1"/>
          <w:szCs w:val="24"/>
        </w:rPr>
        <w:t>、氮氧化物的废气，该废气经过水膜除尘系统处理后经一根15m高的排气筒排放。根据工程分析可知，本项目锅炉废气颗粒物的排放浓度为11.01</w:t>
      </w:r>
      <w:r>
        <w:rPr>
          <w:color w:val="000000" w:themeColor="text1"/>
        </w:rPr>
        <w:t>mg/m</w:t>
      </w:r>
      <w:r>
        <w:rPr>
          <w:color w:val="000000" w:themeColor="text1"/>
          <w:vertAlign w:val="superscript"/>
        </w:rPr>
        <w:t>3</w:t>
      </w:r>
      <w:r>
        <w:rPr>
          <w:rFonts w:hint="eastAsia"/>
          <w:color w:val="000000" w:themeColor="text1"/>
          <w:szCs w:val="24"/>
        </w:rPr>
        <w:t>，SO</w:t>
      </w:r>
      <w:r>
        <w:rPr>
          <w:rFonts w:hint="eastAsia"/>
          <w:color w:val="000000" w:themeColor="text1"/>
          <w:szCs w:val="24"/>
          <w:vertAlign w:val="subscript"/>
        </w:rPr>
        <w:t>2</w:t>
      </w:r>
      <w:r>
        <w:rPr>
          <w:rFonts w:hint="eastAsia"/>
          <w:color w:val="000000" w:themeColor="text1"/>
          <w:szCs w:val="24"/>
        </w:rPr>
        <w:t>的排放浓度为10.94</w:t>
      </w:r>
      <w:r>
        <w:rPr>
          <w:color w:val="000000" w:themeColor="text1"/>
        </w:rPr>
        <w:t>mg/m</w:t>
      </w:r>
      <w:r>
        <w:rPr>
          <w:color w:val="000000" w:themeColor="text1"/>
          <w:vertAlign w:val="superscript"/>
        </w:rPr>
        <w:t>3</w:t>
      </w:r>
      <w:r>
        <w:rPr>
          <w:rFonts w:hint="eastAsia"/>
          <w:color w:val="000000" w:themeColor="text1"/>
          <w:szCs w:val="24"/>
        </w:rPr>
        <w:t>，NOx的排放浓度为7.64</w:t>
      </w:r>
      <w:r>
        <w:rPr>
          <w:color w:val="000000" w:themeColor="text1"/>
        </w:rPr>
        <w:t>mg/m</w:t>
      </w:r>
      <w:r>
        <w:rPr>
          <w:color w:val="000000" w:themeColor="text1"/>
          <w:vertAlign w:val="superscript"/>
        </w:rPr>
        <w:t>3</w:t>
      </w:r>
      <w:r>
        <w:rPr>
          <w:rFonts w:hint="eastAsia"/>
          <w:color w:val="000000" w:themeColor="text1"/>
          <w:szCs w:val="24"/>
        </w:rPr>
        <w:t>，</w:t>
      </w:r>
      <w:r>
        <w:rPr>
          <w:rFonts w:hint="eastAsia"/>
          <w:color w:val="000000" w:themeColor="text1"/>
        </w:rPr>
        <w:t>锅炉废气各污染物排放浓度均满足《锅炉大气污染物排放标准》（</w:t>
      </w:r>
      <w:r>
        <w:rPr>
          <w:color w:val="000000" w:themeColor="text1"/>
        </w:rPr>
        <w:t>GB13271-2014</w:t>
      </w:r>
      <w:r>
        <w:rPr>
          <w:rFonts w:hint="eastAsia"/>
          <w:color w:val="000000" w:themeColor="text1"/>
        </w:rPr>
        <w:t>）中关于锅炉污染物排放要求，</w:t>
      </w:r>
      <w:r>
        <w:rPr>
          <w:rFonts w:hint="eastAsia" w:hAnsi="宋体"/>
          <w:color w:val="000000" w:themeColor="text1"/>
        </w:rPr>
        <w:t>（即：颗粒物</w:t>
      </w:r>
      <w:r>
        <w:rPr>
          <w:color w:val="000000" w:themeColor="text1"/>
        </w:rPr>
        <w:t>50mg/m³</w:t>
      </w:r>
      <w:r>
        <w:rPr>
          <w:rFonts w:hint="eastAsia" w:hAnsi="宋体"/>
          <w:color w:val="000000" w:themeColor="text1"/>
        </w:rPr>
        <w:t>，</w:t>
      </w:r>
      <w:r>
        <w:rPr>
          <w:color w:val="000000" w:themeColor="text1"/>
        </w:rPr>
        <w:t>SO</w:t>
      </w:r>
      <w:r>
        <w:rPr>
          <w:color w:val="000000" w:themeColor="text1"/>
          <w:vertAlign w:val="subscript"/>
        </w:rPr>
        <w:t>2</w:t>
      </w:r>
      <w:r>
        <w:rPr>
          <w:color w:val="000000" w:themeColor="text1"/>
        </w:rPr>
        <w:t>300mg/m³</w:t>
      </w:r>
      <w:r>
        <w:rPr>
          <w:rFonts w:hint="eastAsia" w:hAnsi="宋体"/>
          <w:color w:val="000000" w:themeColor="text1"/>
        </w:rPr>
        <w:t>，</w:t>
      </w:r>
      <w:r>
        <w:rPr>
          <w:color w:val="000000" w:themeColor="text1"/>
        </w:rPr>
        <w:t>NO</w:t>
      </w:r>
      <w:r>
        <w:rPr>
          <w:color w:val="000000" w:themeColor="text1"/>
          <w:vertAlign w:val="subscript"/>
        </w:rPr>
        <w:t>x</w:t>
      </w:r>
      <w:r>
        <w:rPr>
          <w:color w:val="000000" w:themeColor="text1"/>
        </w:rPr>
        <w:t>300mg/m³</w:t>
      </w:r>
      <w:r>
        <w:rPr>
          <w:rFonts w:hint="eastAsia" w:hAnsi="宋体"/>
          <w:color w:val="000000" w:themeColor="text1"/>
        </w:rPr>
        <w:t>）。正常情况下锅炉烟气中烟尘、</w:t>
      </w:r>
      <w:r>
        <w:rPr>
          <w:bCs/>
          <w:color w:val="000000" w:themeColor="text1"/>
        </w:rPr>
        <w:t>SO</w:t>
      </w:r>
      <w:r>
        <w:rPr>
          <w:bCs/>
          <w:color w:val="000000" w:themeColor="text1"/>
          <w:vertAlign w:val="subscript"/>
        </w:rPr>
        <w:t>2</w:t>
      </w:r>
      <w:r>
        <w:rPr>
          <w:rFonts w:hint="eastAsia" w:hAnsi="宋体"/>
          <w:bCs/>
          <w:color w:val="000000" w:themeColor="text1"/>
        </w:rPr>
        <w:t>、氮氧化物完全可达标排放。</w:t>
      </w:r>
    </w:p>
    <w:p>
      <w:pPr>
        <w:ind w:firstLine="482"/>
        <w:rPr>
          <w:b/>
          <w:color w:val="000000" w:themeColor="text1"/>
        </w:rPr>
      </w:pPr>
      <w:r>
        <w:rPr>
          <w:rFonts w:hint="eastAsia"/>
          <w:b/>
          <w:color w:val="000000" w:themeColor="text1"/>
        </w:rPr>
        <w:t>1、污染源排放参数</w:t>
      </w:r>
    </w:p>
    <w:p>
      <w:pPr>
        <w:ind w:firstLine="480"/>
        <w:rPr>
          <w:color w:val="000000" w:themeColor="text1"/>
        </w:rPr>
      </w:pPr>
      <w:r>
        <w:rPr>
          <w:rFonts w:hint="eastAsia"/>
          <w:color w:val="000000" w:themeColor="text1"/>
          <w:szCs w:val="24"/>
        </w:rPr>
        <w:t>本项目锅炉产生</w:t>
      </w:r>
      <w:r>
        <w:rPr>
          <w:rFonts w:hint="eastAsia"/>
          <w:color w:val="000000" w:themeColor="text1"/>
        </w:rPr>
        <w:t>污染物排放参数见表6.1.2-5。</w:t>
      </w:r>
    </w:p>
    <w:p>
      <w:pPr>
        <w:pStyle w:val="54"/>
        <w:rPr>
          <w:color w:val="000000" w:themeColor="text1"/>
        </w:rPr>
      </w:pPr>
      <w:r>
        <w:rPr>
          <w:rFonts w:hint="eastAsia"/>
          <w:color w:val="000000" w:themeColor="text1"/>
        </w:rPr>
        <w:t>表6.1.2-5  项目锅炉废气污染物排放参数一览表</w:t>
      </w:r>
    </w:p>
    <w:tbl>
      <w:tblPr>
        <w:tblStyle w:val="42"/>
        <w:tblW w:w="9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830"/>
        <w:gridCol w:w="819"/>
        <w:gridCol w:w="858"/>
        <w:gridCol w:w="709"/>
        <w:gridCol w:w="708"/>
        <w:gridCol w:w="709"/>
        <w:gridCol w:w="709"/>
        <w:gridCol w:w="709"/>
        <w:gridCol w:w="708"/>
        <w:gridCol w:w="768"/>
        <w:gridCol w:w="790"/>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550"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名称</w:t>
            </w:r>
          </w:p>
        </w:tc>
        <w:tc>
          <w:tcPr>
            <w:tcW w:w="1649"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排气筒底部中心坐标</w:t>
            </w:r>
          </w:p>
        </w:tc>
        <w:tc>
          <w:tcPr>
            <w:tcW w:w="858"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排气筒底部海拔高度</w:t>
            </w:r>
            <w:r>
              <w:rPr>
                <w:color w:val="000000" w:themeColor="text1"/>
              </w:rPr>
              <w:t>/m</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排气筒高度</w:t>
            </w:r>
            <w:r>
              <w:rPr>
                <w:color w:val="000000" w:themeColor="text1"/>
              </w:rPr>
              <w:t>/m</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排气筒出口内径</w:t>
            </w:r>
            <w:r>
              <w:rPr>
                <w:color w:val="000000" w:themeColor="text1"/>
              </w:rPr>
              <w:t>/m</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烟气流速</w:t>
            </w:r>
            <w:r>
              <w:rPr>
                <w:color w:val="000000" w:themeColor="text1"/>
              </w:rPr>
              <w:t>/</w:t>
            </w:r>
            <w:r>
              <w:rPr>
                <w:rFonts w:hint="eastAsia"/>
                <w:color w:val="000000" w:themeColor="text1"/>
              </w:rPr>
              <w:t>（</w:t>
            </w:r>
            <w:r>
              <w:rPr>
                <w:color w:val="000000" w:themeColor="text1"/>
              </w:rPr>
              <w:t>m/s</w:t>
            </w:r>
            <w:r>
              <w:rPr>
                <w:rFonts w:hint="eastAsia"/>
                <w:color w:val="000000" w:themeColor="text1"/>
              </w:rPr>
              <w:t>）</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烟气温度</w:t>
            </w:r>
            <w:r>
              <w:rPr>
                <w:color w:val="000000" w:themeColor="text1"/>
              </w:rPr>
              <w:t>/℃</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年排放小时数</w:t>
            </w:r>
            <w:r>
              <w:rPr>
                <w:color w:val="000000" w:themeColor="text1"/>
              </w:rPr>
              <w:t>/h</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排放工况</w:t>
            </w:r>
          </w:p>
        </w:tc>
        <w:tc>
          <w:tcPr>
            <w:tcW w:w="2408"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污染物排放速率</w:t>
            </w:r>
            <w:r>
              <w:rPr>
                <w:color w:val="000000" w:themeColor="text1"/>
              </w:rPr>
              <w:t>/</w:t>
            </w:r>
            <w:r>
              <w:rPr>
                <w:rFonts w:hint="eastAsia"/>
                <w:color w:val="000000" w:themeColor="text1"/>
              </w:rPr>
              <w:t>（</w:t>
            </w:r>
            <w:r>
              <w:rPr>
                <w:rFonts w:cs="Times New Roman"/>
                <w:color w:val="000000" w:themeColor="text1"/>
                <w:szCs w:val="21"/>
              </w:rPr>
              <w:t>g/s</w:t>
            </w:r>
            <w:r>
              <w:rPr>
                <w:rFonts w:hint="eastAsia"/>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50"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83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东经</w:t>
            </w:r>
          </w:p>
        </w:tc>
        <w:tc>
          <w:tcPr>
            <w:tcW w:w="81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北纬</w:t>
            </w:r>
          </w:p>
        </w:tc>
        <w:tc>
          <w:tcPr>
            <w:tcW w:w="85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76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颗粒物</w:t>
            </w:r>
          </w:p>
        </w:tc>
        <w:tc>
          <w:tcPr>
            <w:tcW w:w="790" w:type="dxa"/>
            <w:tcBorders>
              <w:top w:val="single" w:color="auto" w:sz="4" w:space="0"/>
              <w:left w:val="single" w:color="auto" w:sz="4" w:space="0"/>
              <w:right w:val="single" w:color="auto" w:sz="4" w:space="0"/>
            </w:tcBorders>
            <w:vAlign w:val="center"/>
          </w:tcPr>
          <w:p>
            <w:pPr>
              <w:pStyle w:val="55"/>
              <w:rPr>
                <w:rFonts w:cs="Times New Roman"/>
                <w:color w:val="000000" w:themeColor="text1"/>
                <w:szCs w:val="21"/>
              </w:rPr>
            </w:pPr>
            <w:r>
              <w:rPr>
                <w:rFonts w:cs="Times New Roman"/>
                <w:color w:val="000000" w:themeColor="text1"/>
                <w:szCs w:val="21"/>
              </w:rPr>
              <w:t>SO</w:t>
            </w:r>
            <w:r>
              <w:rPr>
                <w:rFonts w:cs="Times New Roman"/>
                <w:color w:val="000000" w:themeColor="text1"/>
                <w:szCs w:val="21"/>
                <w:vertAlign w:val="subscript"/>
              </w:rPr>
              <w:t>2</w:t>
            </w:r>
          </w:p>
        </w:tc>
        <w:tc>
          <w:tcPr>
            <w:tcW w:w="850" w:type="dxa"/>
            <w:tcBorders>
              <w:top w:val="single" w:color="auto" w:sz="4" w:space="0"/>
              <w:left w:val="single" w:color="auto" w:sz="4" w:space="0"/>
              <w:right w:val="single" w:color="auto" w:sz="4" w:space="0"/>
            </w:tcBorders>
            <w:vAlign w:val="center"/>
          </w:tcPr>
          <w:p>
            <w:pPr>
              <w:pStyle w:val="55"/>
              <w:rPr>
                <w:rFonts w:cs="Times New Roman"/>
                <w:color w:val="000000" w:themeColor="text1"/>
                <w:szCs w:val="21"/>
              </w:rPr>
            </w:pPr>
            <w:r>
              <w:rPr>
                <w:rFonts w:cs="Times New Roman"/>
                <w:color w:val="000000" w:themeColor="text1"/>
                <w:szCs w:val="21"/>
              </w:rPr>
              <w:t>NOx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550"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锅炉废气</w:t>
            </w:r>
          </w:p>
        </w:tc>
        <w:tc>
          <w:tcPr>
            <w:tcW w:w="830"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E</w:t>
            </w:r>
            <w:r>
              <w:rPr>
                <w:color w:val="000000" w:themeColor="text1"/>
              </w:rPr>
              <w:t>104°20'0.07"</w:t>
            </w:r>
          </w:p>
        </w:tc>
        <w:tc>
          <w:tcPr>
            <w:tcW w:w="819"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N</w:t>
            </w:r>
            <w:r>
              <w:rPr>
                <w:color w:val="000000" w:themeColor="text1"/>
              </w:rPr>
              <w:t>23°40'14.21"</w:t>
            </w:r>
          </w:p>
        </w:tc>
        <w:tc>
          <w:tcPr>
            <w:tcW w:w="858"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color w:val="000000" w:themeColor="text1"/>
              </w:rPr>
              <w:t>1</w:t>
            </w:r>
            <w:r>
              <w:rPr>
                <w:rFonts w:hint="eastAsia"/>
                <w:color w:val="000000" w:themeColor="text1"/>
              </w:rPr>
              <w:t>592</w:t>
            </w:r>
          </w:p>
        </w:tc>
        <w:tc>
          <w:tcPr>
            <w:tcW w:w="709"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color w:val="000000" w:themeColor="text1"/>
              </w:rPr>
              <w:t>15</w:t>
            </w:r>
          </w:p>
        </w:tc>
        <w:tc>
          <w:tcPr>
            <w:tcW w:w="708"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color w:val="000000" w:themeColor="text1"/>
              </w:rPr>
              <w:t>0.3</w:t>
            </w:r>
          </w:p>
        </w:tc>
        <w:tc>
          <w:tcPr>
            <w:tcW w:w="709"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3.93</w:t>
            </w:r>
          </w:p>
        </w:tc>
        <w:tc>
          <w:tcPr>
            <w:tcW w:w="709"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6</w:t>
            </w:r>
            <w:r>
              <w:rPr>
                <w:color w:val="000000" w:themeColor="text1"/>
              </w:rPr>
              <w:t>0</w:t>
            </w:r>
          </w:p>
        </w:tc>
        <w:tc>
          <w:tcPr>
            <w:tcW w:w="709"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color w:val="000000" w:themeColor="text1"/>
              </w:rPr>
              <w:t>2</w:t>
            </w:r>
            <w:r>
              <w:rPr>
                <w:rFonts w:hint="eastAsia"/>
                <w:color w:val="000000" w:themeColor="text1"/>
              </w:rPr>
              <w:t>880</w:t>
            </w:r>
          </w:p>
        </w:tc>
        <w:tc>
          <w:tcPr>
            <w:tcW w:w="70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正常</w:t>
            </w:r>
          </w:p>
        </w:tc>
        <w:tc>
          <w:tcPr>
            <w:tcW w:w="768" w:type="dxa"/>
            <w:tcBorders>
              <w:top w:val="single" w:color="auto" w:sz="4" w:space="0"/>
              <w:left w:val="single" w:color="auto" w:sz="4" w:space="0"/>
              <w:right w:val="single" w:color="auto" w:sz="4" w:space="0"/>
            </w:tcBorders>
            <w:vAlign w:val="center"/>
          </w:tcPr>
          <w:p>
            <w:pPr>
              <w:pStyle w:val="55"/>
              <w:rPr>
                <w:color w:val="000000" w:themeColor="text1"/>
              </w:rPr>
            </w:pPr>
            <w:r>
              <w:rPr>
                <w:color w:val="000000" w:themeColor="text1"/>
              </w:rPr>
              <w:t>0.0</w:t>
            </w:r>
            <w:r>
              <w:rPr>
                <w:rFonts w:hint="eastAsia"/>
                <w:color w:val="000000" w:themeColor="text1"/>
              </w:rPr>
              <w:t>0</w:t>
            </w:r>
            <w:r>
              <w:rPr>
                <w:color w:val="000000" w:themeColor="text1"/>
              </w:rPr>
              <w:t>31</w:t>
            </w:r>
          </w:p>
        </w:tc>
        <w:tc>
          <w:tcPr>
            <w:tcW w:w="790" w:type="dxa"/>
            <w:tcBorders>
              <w:left w:val="single" w:color="auto" w:sz="4" w:space="0"/>
              <w:right w:val="single" w:color="auto" w:sz="4" w:space="0"/>
            </w:tcBorders>
            <w:vAlign w:val="center"/>
          </w:tcPr>
          <w:p>
            <w:pPr>
              <w:pStyle w:val="55"/>
              <w:rPr>
                <w:color w:val="000000" w:themeColor="text1"/>
              </w:rPr>
            </w:pPr>
            <w:r>
              <w:rPr>
                <w:color w:val="000000" w:themeColor="text1"/>
              </w:rPr>
              <w:t>0.0</w:t>
            </w:r>
            <w:r>
              <w:rPr>
                <w:rFonts w:hint="eastAsia"/>
                <w:color w:val="000000" w:themeColor="text1"/>
              </w:rPr>
              <w:t>0</w:t>
            </w:r>
            <w:r>
              <w:rPr>
                <w:color w:val="000000" w:themeColor="text1"/>
              </w:rPr>
              <w:t>303</w:t>
            </w:r>
          </w:p>
        </w:tc>
        <w:tc>
          <w:tcPr>
            <w:tcW w:w="850" w:type="dxa"/>
            <w:tcBorders>
              <w:left w:val="single" w:color="auto" w:sz="4" w:space="0"/>
              <w:right w:val="single" w:color="auto" w:sz="4" w:space="0"/>
            </w:tcBorders>
            <w:vAlign w:val="center"/>
          </w:tcPr>
          <w:p>
            <w:pPr>
              <w:pStyle w:val="55"/>
              <w:rPr>
                <w:color w:val="000000" w:themeColor="text1"/>
              </w:rPr>
            </w:pPr>
            <w:r>
              <w:rPr>
                <w:color w:val="000000" w:themeColor="text1"/>
              </w:rPr>
              <w:t>0.0</w:t>
            </w:r>
            <w:r>
              <w:rPr>
                <w:rFonts w:hint="eastAsia"/>
                <w:color w:val="000000" w:themeColor="text1"/>
              </w:rPr>
              <w:t>0</w:t>
            </w:r>
            <w:r>
              <w:rPr>
                <w:color w:val="000000" w:themeColor="text1"/>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550"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830"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819"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858"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709"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708"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709"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709"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709"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70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非正常</w:t>
            </w:r>
          </w:p>
        </w:tc>
        <w:tc>
          <w:tcPr>
            <w:tcW w:w="768" w:type="dxa"/>
            <w:tcBorders>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w:t>
            </w:r>
            <w:r>
              <w:rPr>
                <w:rFonts w:hint="eastAsia"/>
                <w:color w:val="000000" w:themeColor="text1"/>
              </w:rPr>
              <w:t>0</w:t>
            </w:r>
            <w:r>
              <w:rPr>
                <w:color w:val="000000" w:themeColor="text1"/>
              </w:rPr>
              <w:t>235</w:t>
            </w:r>
          </w:p>
        </w:tc>
        <w:tc>
          <w:tcPr>
            <w:tcW w:w="790" w:type="dxa"/>
            <w:tcBorders>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0.0</w:t>
            </w:r>
            <w:r>
              <w:rPr>
                <w:rFonts w:hint="eastAsia"/>
                <w:color w:val="000000" w:themeColor="text1"/>
              </w:rPr>
              <w:t>0</w:t>
            </w:r>
            <w:r>
              <w:rPr>
                <w:color w:val="000000" w:themeColor="text1"/>
              </w:rPr>
              <w:t>357</w:t>
            </w:r>
          </w:p>
        </w:tc>
        <w:tc>
          <w:tcPr>
            <w:tcW w:w="850" w:type="dxa"/>
            <w:tcBorders>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0.0</w:t>
            </w:r>
            <w:r>
              <w:rPr>
                <w:rFonts w:hint="eastAsia"/>
                <w:color w:val="000000" w:themeColor="text1"/>
              </w:rPr>
              <w:t>0</w:t>
            </w:r>
            <w:r>
              <w:rPr>
                <w:color w:val="000000" w:themeColor="text1"/>
              </w:rPr>
              <w:t>21</w:t>
            </w:r>
          </w:p>
        </w:tc>
      </w:tr>
    </w:tbl>
    <w:p>
      <w:pPr>
        <w:ind w:firstLine="482"/>
        <w:rPr>
          <w:b/>
          <w:color w:val="000000" w:themeColor="text1"/>
        </w:rPr>
      </w:pPr>
      <w:r>
        <w:rPr>
          <w:rFonts w:hint="eastAsia"/>
          <w:b/>
          <w:color w:val="000000" w:themeColor="text1"/>
        </w:rPr>
        <w:t>2、锅炉废气环境影响预测</w:t>
      </w:r>
    </w:p>
    <w:p>
      <w:pPr>
        <w:tabs>
          <w:tab w:val="left" w:pos="5325"/>
        </w:tabs>
        <w:ind w:firstLine="480"/>
        <w:rPr>
          <w:color w:val="000000" w:themeColor="text1"/>
        </w:rPr>
      </w:pPr>
      <w:r>
        <w:rPr>
          <w:rFonts w:hint="eastAsia"/>
          <w:color w:val="000000" w:themeColor="text1"/>
        </w:rPr>
        <w:t>（1）预测模式和参数设置</w:t>
      </w:r>
      <w:r>
        <w:rPr>
          <w:color w:val="000000" w:themeColor="text1"/>
        </w:rPr>
        <w:tab/>
      </w:r>
    </w:p>
    <w:p>
      <w:pPr>
        <w:ind w:firstLine="480"/>
        <w:rPr>
          <w:color w:val="000000" w:themeColor="text1"/>
        </w:rPr>
      </w:pPr>
      <w:r>
        <w:rPr>
          <w:rFonts w:hint="eastAsia"/>
          <w:bCs/>
          <w:color w:val="000000" w:themeColor="text1"/>
        </w:rPr>
        <w:t>根据《环境影响评价技术导则</w:t>
      </w:r>
      <w:r>
        <w:rPr>
          <w:bCs/>
          <w:color w:val="000000" w:themeColor="text1"/>
        </w:rPr>
        <w:t xml:space="preserve"> </w:t>
      </w:r>
      <w:r>
        <w:rPr>
          <w:rFonts w:hint="eastAsia"/>
          <w:bCs/>
          <w:color w:val="000000" w:themeColor="text1"/>
        </w:rPr>
        <w:t>大气环境》（</w:t>
      </w:r>
      <w:r>
        <w:rPr>
          <w:bCs/>
          <w:color w:val="000000" w:themeColor="text1"/>
        </w:rPr>
        <w:t>HJ2.2—2018</w:t>
      </w:r>
      <w:r>
        <w:rPr>
          <w:rFonts w:hint="eastAsia"/>
          <w:bCs/>
          <w:color w:val="000000" w:themeColor="text1"/>
        </w:rPr>
        <w:t>）中规定，</w:t>
      </w:r>
      <w:r>
        <w:rPr>
          <w:rFonts w:hint="eastAsia"/>
          <w:color w:val="000000" w:themeColor="text1"/>
        </w:rPr>
        <w:t>选择项目锅炉废气污染物正常排放及非正常排放情况下的主要污染物及排放参数，采用导则附录</w:t>
      </w:r>
      <w:r>
        <w:rPr>
          <w:color w:val="000000" w:themeColor="text1"/>
        </w:rPr>
        <w:t>A</w:t>
      </w:r>
      <w:r>
        <w:rPr>
          <w:rFonts w:hint="eastAsia"/>
          <w:color w:val="000000" w:themeColor="text1"/>
        </w:rPr>
        <w:t>中推荐的估算模型</w:t>
      </w:r>
      <w:r>
        <w:rPr>
          <w:color w:val="000000" w:themeColor="text1"/>
        </w:rPr>
        <w:t>AERSCREEN</w:t>
      </w:r>
      <w:r>
        <w:rPr>
          <w:rFonts w:hint="eastAsia"/>
          <w:color w:val="000000" w:themeColor="text1"/>
        </w:rPr>
        <w:t>分别计算项目各污染物的最大地面空气质量浓度占标率</w:t>
      </w:r>
      <w:r>
        <w:rPr>
          <w:i/>
          <w:color w:val="000000" w:themeColor="text1"/>
        </w:rPr>
        <w:t>P</w:t>
      </w:r>
      <w:r>
        <w:rPr>
          <w:i/>
          <w:color w:val="000000" w:themeColor="text1"/>
          <w:vertAlign w:val="subscript"/>
        </w:rPr>
        <w:t>i</w:t>
      </w:r>
      <w:r>
        <w:rPr>
          <w:rFonts w:hint="eastAsia"/>
          <w:color w:val="000000" w:themeColor="text1"/>
        </w:rPr>
        <w:t>。</w:t>
      </w:r>
    </w:p>
    <w:p>
      <w:pPr>
        <w:ind w:firstLine="480"/>
        <w:rPr>
          <w:rFonts w:cs="Times New Roman"/>
          <w:color w:val="000000" w:themeColor="text1"/>
          <w:kern w:val="0"/>
        </w:rPr>
      </w:pPr>
      <w:r>
        <w:rPr>
          <w:rFonts w:hint="eastAsia"/>
          <w:color w:val="000000" w:themeColor="text1"/>
        </w:rPr>
        <w:t>（2）锅炉废气正常排放情况下的估算模式计算结果及影响分析</w:t>
      </w:r>
    </w:p>
    <w:p>
      <w:pPr>
        <w:ind w:firstLine="480"/>
        <w:rPr>
          <w:color w:val="000000" w:themeColor="text1"/>
        </w:rPr>
      </w:pPr>
      <w:r>
        <w:rPr>
          <w:rFonts w:hint="eastAsia"/>
          <w:color w:val="000000" w:themeColor="text1"/>
        </w:rPr>
        <w:t>采用估算模式，正常情况下锅炉有组织废气污染物估算结果列于表</w:t>
      </w:r>
      <w:r>
        <w:rPr>
          <w:color w:val="000000" w:themeColor="text1"/>
        </w:rPr>
        <w:t>6.1</w:t>
      </w:r>
      <w:r>
        <w:rPr>
          <w:rFonts w:hint="eastAsia"/>
          <w:color w:val="000000" w:themeColor="text1"/>
        </w:rPr>
        <w:t>.2</w:t>
      </w:r>
      <w:r>
        <w:rPr>
          <w:color w:val="000000" w:themeColor="text1"/>
        </w:rPr>
        <w:t>-</w:t>
      </w:r>
      <w:r>
        <w:rPr>
          <w:rFonts w:hint="eastAsia"/>
          <w:color w:val="000000" w:themeColor="text1"/>
        </w:rPr>
        <w:t>6。</w:t>
      </w:r>
    </w:p>
    <w:p>
      <w:pPr>
        <w:pStyle w:val="54"/>
        <w:tabs>
          <w:tab w:val="center" w:pos="4153"/>
          <w:tab w:val="right" w:pos="8306"/>
        </w:tabs>
        <w:jc w:val="left"/>
        <w:rPr>
          <w:color w:val="000000" w:themeColor="text1"/>
          <w:kern w:val="0"/>
        </w:rPr>
      </w:pPr>
      <w:r>
        <w:rPr>
          <w:color w:val="000000" w:themeColor="text1"/>
          <w:kern w:val="0"/>
        </w:rPr>
        <w:tab/>
      </w:r>
      <w:r>
        <w:rPr>
          <w:rFonts w:hint="eastAsia"/>
          <w:color w:val="000000" w:themeColor="text1"/>
          <w:kern w:val="0"/>
        </w:rPr>
        <w:t>表</w:t>
      </w:r>
      <w:r>
        <w:rPr>
          <w:color w:val="000000" w:themeColor="text1"/>
          <w:kern w:val="0"/>
        </w:rPr>
        <w:t>6.1</w:t>
      </w:r>
      <w:r>
        <w:rPr>
          <w:rFonts w:hint="eastAsia"/>
          <w:color w:val="000000" w:themeColor="text1"/>
          <w:kern w:val="0"/>
        </w:rPr>
        <w:t>.2-6</w:t>
      </w:r>
      <w:r>
        <w:rPr>
          <w:color w:val="000000" w:themeColor="text1"/>
          <w:kern w:val="0"/>
        </w:rPr>
        <w:t xml:space="preserve"> </w:t>
      </w:r>
      <w:r>
        <w:rPr>
          <w:rFonts w:hint="eastAsia"/>
          <w:color w:val="000000" w:themeColor="text1"/>
          <w:kern w:val="0"/>
        </w:rPr>
        <w:t>正常排放情况下锅炉废气污染物估算</w:t>
      </w:r>
      <w:r>
        <w:rPr>
          <w:rFonts w:hint="eastAsia"/>
          <w:color w:val="000000" w:themeColor="text1"/>
        </w:rPr>
        <w:t>模式</w:t>
      </w:r>
      <w:r>
        <w:rPr>
          <w:rFonts w:hint="eastAsia"/>
          <w:color w:val="000000" w:themeColor="text1"/>
          <w:kern w:val="0"/>
        </w:rPr>
        <w:t>计算结果表</w:t>
      </w:r>
      <w:r>
        <w:rPr>
          <w:color w:val="000000" w:themeColor="text1"/>
          <w:kern w:val="0"/>
        </w:rPr>
        <w:tab/>
      </w:r>
    </w:p>
    <w:tbl>
      <w:tblPr>
        <w:tblStyle w:val="42"/>
        <w:tblW w:w="8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1255"/>
        <w:gridCol w:w="909"/>
        <w:gridCol w:w="1401"/>
        <w:gridCol w:w="1014"/>
        <w:gridCol w:w="1286"/>
        <w:gridCol w:w="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8" w:type="dxa"/>
            <w:vMerge w:val="restart"/>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1"/>
              </w:rPr>
            </w:pPr>
            <w:r>
              <w:rPr>
                <w:rFonts w:cs="Times New Roman"/>
                <w:color w:val="000000" w:themeColor="text1"/>
                <w:szCs w:val="21"/>
              </w:rPr>
              <w:t>下风向距离/m</w:t>
            </w:r>
          </w:p>
        </w:tc>
        <w:tc>
          <w:tcPr>
            <w:tcW w:w="2164" w:type="dxa"/>
            <w:gridSpan w:val="2"/>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1"/>
              </w:rPr>
            </w:pPr>
            <w:r>
              <w:rPr>
                <w:rFonts w:cs="Times New Roman"/>
                <w:color w:val="000000" w:themeColor="text1"/>
                <w:szCs w:val="21"/>
              </w:rPr>
              <w:t>颗粒物（PM</w:t>
            </w:r>
            <w:r>
              <w:rPr>
                <w:rFonts w:cs="Times New Roman"/>
                <w:color w:val="000000" w:themeColor="text1"/>
                <w:szCs w:val="21"/>
                <w:vertAlign w:val="subscript"/>
              </w:rPr>
              <w:t>10</w:t>
            </w:r>
            <w:r>
              <w:rPr>
                <w:rFonts w:cs="Times New Roman"/>
                <w:color w:val="000000" w:themeColor="text1"/>
                <w:szCs w:val="21"/>
              </w:rPr>
              <w:t>）</w:t>
            </w:r>
          </w:p>
        </w:tc>
        <w:tc>
          <w:tcPr>
            <w:tcW w:w="2415" w:type="dxa"/>
            <w:gridSpan w:val="2"/>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1"/>
              </w:rPr>
            </w:pPr>
            <w:r>
              <w:rPr>
                <w:rFonts w:cs="Times New Roman"/>
                <w:color w:val="000000" w:themeColor="text1"/>
                <w:szCs w:val="21"/>
              </w:rPr>
              <w:t>SO</w:t>
            </w:r>
            <w:r>
              <w:rPr>
                <w:rFonts w:cs="Times New Roman"/>
                <w:color w:val="000000" w:themeColor="text1"/>
                <w:szCs w:val="21"/>
                <w:vertAlign w:val="subscript"/>
              </w:rPr>
              <w:t>2</w:t>
            </w:r>
          </w:p>
        </w:tc>
        <w:tc>
          <w:tcPr>
            <w:tcW w:w="2263" w:type="dxa"/>
            <w:gridSpan w:val="2"/>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1"/>
              </w:rPr>
            </w:pPr>
            <w:r>
              <w:rPr>
                <w:rFonts w:cs="Times New Roman"/>
                <w:color w:val="000000" w:themeColor="text1"/>
                <w:szCs w:val="21"/>
              </w:rPr>
              <w:t>NOx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1"/>
              </w:rPr>
            </w:pPr>
          </w:p>
        </w:tc>
        <w:tc>
          <w:tcPr>
            <w:tcW w:w="1255"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1"/>
              </w:rPr>
            </w:pPr>
            <w:r>
              <w:rPr>
                <w:rFonts w:cs="Times New Roman"/>
                <w:color w:val="000000" w:themeColor="text1"/>
                <w:szCs w:val="21"/>
              </w:rPr>
              <w:t>预测质量浓度/（μg/m</w:t>
            </w:r>
            <w:r>
              <w:rPr>
                <w:rFonts w:cs="Times New Roman"/>
                <w:color w:val="000000" w:themeColor="text1"/>
                <w:szCs w:val="21"/>
                <w:vertAlign w:val="superscript"/>
              </w:rPr>
              <w:t>3</w:t>
            </w:r>
            <w:r>
              <w:rPr>
                <w:rFonts w:cs="Times New Roman"/>
                <w:color w:val="000000" w:themeColor="text1"/>
                <w:szCs w:val="21"/>
              </w:rPr>
              <w:t>）</w:t>
            </w:r>
          </w:p>
        </w:tc>
        <w:tc>
          <w:tcPr>
            <w:tcW w:w="909"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1"/>
              </w:rPr>
            </w:pPr>
            <w:r>
              <w:rPr>
                <w:rFonts w:cs="Times New Roman"/>
                <w:color w:val="000000" w:themeColor="text1"/>
                <w:szCs w:val="21"/>
              </w:rPr>
              <w:t>占标率%</w:t>
            </w:r>
          </w:p>
        </w:tc>
        <w:tc>
          <w:tcPr>
            <w:tcW w:w="1401"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1"/>
              </w:rPr>
            </w:pPr>
            <w:r>
              <w:rPr>
                <w:rFonts w:cs="Times New Roman"/>
                <w:color w:val="000000" w:themeColor="text1"/>
                <w:szCs w:val="21"/>
              </w:rPr>
              <w:t>预测质量浓度/（μg/m</w:t>
            </w:r>
            <w:r>
              <w:rPr>
                <w:rFonts w:cs="Times New Roman"/>
                <w:color w:val="000000" w:themeColor="text1"/>
                <w:szCs w:val="21"/>
                <w:vertAlign w:val="superscript"/>
              </w:rPr>
              <w:t>3</w:t>
            </w:r>
            <w:r>
              <w:rPr>
                <w:rFonts w:cs="Times New Roman"/>
                <w:color w:val="000000" w:themeColor="text1"/>
                <w:szCs w:val="21"/>
              </w:rPr>
              <w:t>）</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1"/>
              </w:rPr>
            </w:pPr>
            <w:r>
              <w:rPr>
                <w:rFonts w:cs="Times New Roman"/>
                <w:color w:val="000000" w:themeColor="text1"/>
                <w:szCs w:val="21"/>
              </w:rPr>
              <w:t>占标率%</w:t>
            </w:r>
          </w:p>
        </w:tc>
        <w:tc>
          <w:tcPr>
            <w:tcW w:w="1286"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1"/>
              </w:rPr>
            </w:pPr>
            <w:r>
              <w:rPr>
                <w:rFonts w:cs="Times New Roman"/>
                <w:color w:val="000000" w:themeColor="text1"/>
                <w:szCs w:val="21"/>
              </w:rPr>
              <w:t>预测质量浓度/（μg/m</w:t>
            </w:r>
            <w:r>
              <w:rPr>
                <w:rFonts w:cs="Times New Roman"/>
                <w:color w:val="000000" w:themeColor="text1"/>
                <w:szCs w:val="21"/>
                <w:vertAlign w:val="superscript"/>
              </w:rPr>
              <w:t>3</w:t>
            </w:r>
            <w:r>
              <w:rPr>
                <w:rFonts w:cs="Times New Roman"/>
                <w:color w:val="000000" w:themeColor="text1"/>
                <w:szCs w:val="21"/>
              </w:rPr>
              <w:t>）</w:t>
            </w:r>
          </w:p>
        </w:tc>
        <w:tc>
          <w:tcPr>
            <w:tcW w:w="977"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1"/>
              </w:rPr>
            </w:pPr>
            <w:r>
              <w:rPr>
                <w:rFonts w:cs="Times New Roman"/>
                <w:color w:val="000000" w:themeColor="text1"/>
                <w:szCs w:val="21"/>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1"/>
              </w:rPr>
            </w:pPr>
            <w:r>
              <w:rPr>
                <w:rFonts w:cs="Times New Roman"/>
                <w:color w:val="000000" w:themeColor="text1"/>
                <w:szCs w:val="21"/>
              </w:rPr>
              <w:t>25</w:t>
            </w:r>
          </w:p>
        </w:tc>
        <w:tc>
          <w:tcPr>
            <w:tcW w:w="125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0.00190</w:t>
            </w:r>
          </w:p>
        </w:tc>
        <w:tc>
          <w:tcPr>
            <w:tcW w:w="90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w:t>
            </w:r>
          </w:p>
        </w:tc>
        <w:tc>
          <w:tcPr>
            <w:tcW w:w="1401"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0.00186</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w:t>
            </w:r>
          </w:p>
        </w:tc>
        <w:tc>
          <w:tcPr>
            <w:tcW w:w="128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0.01286</w:t>
            </w:r>
          </w:p>
        </w:tc>
        <w:tc>
          <w:tcPr>
            <w:tcW w:w="97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1"/>
              </w:rPr>
            </w:pPr>
            <w:r>
              <w:rPr>
                <w:rFonts w:cs="Times New Roman"/>
                <w:color w:val="000000" w:themeColor="text1"/>
                <w:szCs w:val="21"/>
              </w:rPr>
              <w:t>50</w:t>
            </w:r>
          </w:p>
        </w:tc>
        <w:tc>
          <w:tcPr>
            <w:tcW w:w="125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0.22606</w:t>
            </w:r>
          </w:p>
        </w:tc>
        <w:tc>
          <w:tcPr>
            <w:tcW w:w="90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w:t>
            </w:r>
          </w:p>
        </w:tc>
        <w:tc>
          <w:tcPr>
            <w:tcW w:w="1401"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0.22095</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0.04</w:t>
            </w:r>
          </w:p>
        </w:tc>
        <w:tc>
          <w:tcPr>
            <w:tcW w:w="128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1.53134</w:t>
            </w:r>
          </w:p>
        </w:tc>
        <w:tc>
          <w:tcPr>
            <w:tcW w:w="97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cs="Times New Roman"/>
                <w:color w:val="000000" w:themeColor="text1"/>
                <w:szCs w:val="21"/>
              </w:rPr>
            </w:pPr>
            <w:r>
              <w:rPr>
                <w:rFonts w:cs="Times New Roman"/>
                <w:color w:val="000000" w:themeColor="text1"/>
                <w:szCs w:val="21"/>
              </w:rPr>
              <w:t>63</w:t>
            </w:r>
          </w:p>
        </w:tc>
        <w:tc>
          <w:tcPr>
            <w:tcW w:w="1255"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rPr>
            </w:pPr>
            <w:r>
              <w:rPr>
                <w:rFonts w:hint="eastAsia"/>
                <w:color w:val="000000" w:themeColor="text1"/>
              </w:rPr>
              <w:t>0.31933</w:t>
            </w:r>
          </w:p>
        </w:tc>
        <w:tc>
          <w:tcPr>
            <w:tcW w:w="909"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rPr>
            </w:pPr>
            <w:r>
              <w:rPr>
                <w:rFonts w:hint="eastAsia"/>
                <w:color w:val="000000" w:themeColor="text1"/>
              </w:rPr>
              <w:t>0</w:t>
            </w:r>
          </w:p>
        </w:tc>
        <w:tc>
          <w:tcPr>
            <w:tcW w:w="1401"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rPr>
            </w:pPr>
            <w:r>
              <w:rPr>
                <w:rFonts w:hint="eastAsia"/>
                <w:color w:val="000000" w:themeColor="text1"/>
              </w:rPr>
              <w:t>0.31212</w:t>
            </w:r>
          </w:p>
        </w:tc>
        <w:tc>
          <w:tcPr>
            <w:tcW w:w="1014"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rPr>
            </w:pPr>
            <w:r>
              <w:rPr>
                <w:rFonts w:hint="eastAsia"/>
                <w:color w:val="000000" w:themeColor="text1"/>
              </w:rPr>
              <w:t>0.06</w:t>
            </w:r>
          </w:p>
        </w:tc>
        <w:tc>
          <w:tcPr>
            <w:tcW w:w="1286"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rPr>
            </w:pPr>
            <w:r>
              <w:rPr>
                <w:rFonts w:hint="eastAsia"/>
                <w:color w:val="000000" w:themeColor="text1"/>
              </w:rPr>
              <w:t>2.16321</w:t>
            </w:r>
          </w:p>
        </w:tc>
        <w:tc>
          <w:tcPr>
            <w:tcW w:w="977"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rPr>
            </w:pPr>
            <w:r>
              <w:rPr>
                <w:rFonts w:hint="eastAsia"/>
                <w:color w:val="000000" w:themeColor="text1"/>
              </w:rPr>
              <w:t>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1"/>
              </w:rPr>
            </w:pPr>
            <w:r>
              <w:rPr>
                <w:rFonts w:cs="Times New Roman"/>
                <w:color w:val="000000" w:themeColor="text1"/>
                <w:szCs w:val="21"/>
              </w:rPr>
              <w:t>75</w:t>
            </w:r>
          </w:p>
        </w:tc>
        <w:tc>
          <w:tcPr>
            <w:tcW w:w="125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0.31189</w:t>
            </w:r>
          </w:p>
        </w:tc>
        <w:tc>
          <w:tcPr>
            <w:tcW w:w="90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w:t>
            </w:r>
          </w:p>
        </w:tc>
        <w:tc>
          <w:tcPr>
            <w:tcW w:w="1401"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0.30485</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0.06</w:t>
            </w:r>
          </w:p>
        </w:tc>
        <w:tc>
          <w:tcPr>
            <w:tcW w:w="128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2.11282</w:t>
            </w:r>
          </w:p>
        </w:tc>
        <w:tc>
          <w:tcPr>
            <w:tcW w:w="97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1"/>
              </w:rPr>
            </w:pPr>
            <w:r>
              <w:rPr>
                <w:rFonts w:cs="Times New Roman"/>
                <w:color w:val="000000" w:themeColor="text1"/>
                <w:szCs w:val="21"/>
              </w:rPr>
              <w:t>100</w:t>
            </w:r>
          </w:p>
        </w:tc>
        <w:tc>
          <w:tcPr>
            <w:tcW w:w="125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0.25479</w:t>
            </w:r>
          </w:p>
        </w:tc>
        <w:tc>
          <w:tcPr>
            <w:tcW w:w="90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w:t>
            </w:r>
          </w:p>
        </w:tc>
        <w:tc>
          <w:tcPr>
            <w:tcW w:w="1401"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0.24904</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0.05</w:t>
            </w:r>
          </w:p>
        </w:tc>
        <w:tc>
          <w:tcPr>
            <w:tcW w:w="128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1.72602</w:t>
            </w:r>
          </w:p>
        </w:tc>
        <w:tc>
          <w:tcPr>
            <w:tcW w:w="97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1"/>
              </w:rPr>
            </w:pPr>
            <w:r>
              <w:rPr>
                <w:rFonts w:cs="Times New Roman"/>
                <w:color w:val="000000" w:themeColor="text1"/>
                <w:szCs w:val="21"/>
              </w:rPr>
              <w:t>200</w:t>
            </w:r>
          </w:p>
        </w:tc>
        <w:tc>
          <w:tcPr>
            <w:tcW w:w="125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0.10204</w:t>
            </w:r>
          </w:p>
        </w:tc>
        <w:tc>
          <w:tcPr>
            <w:tcW w:w="90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w:t>
            </w:r>
          </w:p>
        </w:tc>
        <w:tc>
          <w:tcPr>
            <w:tcW w:w="1401"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0.09973</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0.02</w:t>
            </w:r>
          </w:p>
        </w:tc>
        <w:tc>
          <w:tcPr>
            <w:tcW w:w="128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0.69121</w:t>
            </w:r>
          </w:p>
        </w:tc>
        <w:tc>
          <w:tcPr>
            <w:tcW w:w="97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1"/>
              </w:rPr>
            </w:pPr>
            <w:r>
              <w:rPr>
                <w:rFonts w:cs="Times New Roman"/>
                <w:color w:val="000000" w:themeColor="text1"/>
                <w:szCs w:val="21"/>
              </w:rPr>
              <w:t>300</w:t>
            </w:r>
          </w:p>
        </w:tc>
        <w:tc>
          <w:tcPr>
            <w:tcW w:w="125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0.05249</w:t>
            </w:r>
          </w:p>
        </w:tc>
        <w:tc>
          <w:tcPr>
            <w:tcW w:w="90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w:t>
            </w:r>
          </w:p>
        </w:tc>
        <w:tc>
          <w:tcPr>
            <w:tcW w:w="1401"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0.05130</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0.01</w:t>
            </w:r>
          </w:p>
        </w:tc>
        <w:tc>
          <w:tcPr>
            <w:tcW w:w="128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0.35555</w:t>
            </w:r>
          </w:p>
        </w:tc>
        <w:tc>
          <w:tcPr>
            <w:tcW w:w="97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1"/>
              </w:rPr>
            </w:pPr>
            <w:r>
              <w:rPr>
                <w:rFonts w:cs="Times New Roman"/>
                <w:color w:val="000000" w:themeColor="text1"/>
                <w:szCs w:val="21"/>
              </w:rPr>
              <w:t>400</w:t>
            </w:r>
          </w:p>
        </w:tc>
        <w:tc>
          <w:tcPr>
            <w:tcW w:w="125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0.03228</w:t>
            </w:r>
          </w:p>
        </w:tc>
        <w:tc>
          <w:tcPr>
            <w:tcW w:w="90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w:t>
            </w:r>
          </w:p>
        </w:tc>
        <w:tc>
          <w:tcPr>
            <w:tcW w:w="1401"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0.03155</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0.01</w:t>
            </w:r>
          </w:p>
        </w:tc>
        <w:tc>
          <w:tcPr>
            <w:tcW w:w="128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0.21866</w:t>
            </w:r>
          </w:p>
        </w:tc>
        <w:tc>
          <w:tcPr>
            <w:tcW w:w="97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1"/>
              </w:rPr>
            </w:pPr>
            <w:r>
              <w:rPr>
                <w:rFonts w:cs="Times New Roman"/>
                <w:color w:val="000000" w:themeColor="text1"/>
                <w:szCs w:val="21"/>
              </w:rPr>
              <w:t>500</w:t>
            </w:r>
          </w:p>
        </w:tc>
        <w:tc>
          <w:tcPr>
            <w:tcW w:w="125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0.02212</w:t>
            </w:r>
          </w:p>
        </w:tc>
        <w:tc>
          <w:tcPr>
            <w:tcW w:w="90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w:t>
            </w:r>
          </w:p>
        </w:tc>
        <w:tc>
          <w:tcPr>
            <w:tcW w:w="1401"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0.02162</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w:t>
            </w:r>
          </w:p>
        </w:tc>
        <w:tc>
          <w:tcPr>
            <w:tcW w:w="128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0.14984</w:t>
            </w:r>
          </w:p>
        </w:tc>
        <w:tc>
          <w:tcPr>
            <w:tcW w:w="97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1"/>
              </w:rPr>
            </w:pPr>
            <w:r>
              <w:rPr>
                <w:rFonts w:cs="Times New Roman"/>
                <w:color w:val="000000" w:themeColor="text1"/>
                <w:szCs w:val="21"/>
              </w:rPr>
              <w:t>600</w:t>
            </w:r>
          </w:p>
        </w:tc>
        <w:tc>
          <w:tcPr>
            <w:tcW w:w="125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0.01627</w:t>
            </w:r>
          </w:p>
        </w:tc>
        <w:tc>
          <w:tcPr>
            <w:tcW w:w="90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w:t>
            </w:r>
          </w:p>
        </w:tc>
        <w:tc>
          <w:tcPr>
            <w:tcW w:w="1401"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0.01590</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w:t>
            </w:r>
          </w:p>
        </w:tc>
        <w:tc>
          <w:tcPr>
            <w:tcW w:w="128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0.11021</w:t>
            </w:r>
          </w:p>
        </w:tc>
        <w:tc>
          <w:tcPr>
            <w:tcW w:w="97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1"/>
              </w:rPr>
            </w:pPr>
            <w:r>
              <w:rPr>
                <w:rFonts w:cs="Times New Roman"/>
                <w:color w:val="000000" w:themeColor="text1"/>
                <w:szCs w:val="21"/>
              </w:rPr>
              <w:t>700</w:t>
            </w:r>
          </w:p>
        </w:tc>
        <w:tc>
          <w:tcPr>
            <w:tcW w:w="125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0.01257</w:t>
            </w:r>
          </w:p>
        </w:tc>
        <w:tc>
          <w:tcPr>
            <w:tcW w:w="90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w:t>
            </w:r>
          </w:p>
        </w:tc>
        <w:tc>
          <w:tcPr>
            <w:tcW w:w="1401"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0.01229</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w:t>
            </w:r>
          </w:p>
        </w:tc>
        <w:tc>
          <w:tcPr>
            <w:tcW w:w="128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0.08516</w:t>
            </w:r>
          </w:p>
        </w:tc>
        <w:tc>
          <w:tcPr>
            <w:tcW w:w="97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1"/>
              </w:rPr>
            </w:pPr>
            <w:r>
              <w:rPr>
                <w:rFonts w:cs="Times New Roman"/>
                <w:color w:val="000000" w:themeColor="text1"/>
                <w:szCs w:val="21"/>
              </w:rPr>
              <w:t>800</w:t>
            </w:r>
          </w:p>
        </w:tc>
        <w:tc>
          <w:tcPr>
            <w:tcW w:w="125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0.01007</w:t>
            </w:r>
          </w:p>
        </w:tc>
        <w:tc>
          <w:tcPr>
            <w:tcW w:w="90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w:t>
            </w:r>
          </w:p>
        </w:tc>
        <w:tc>
          <w:tcPr>
            <w:tcW w:w="1401"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0.00985</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w:t>
            </w:r>
          </w:p>
        </w:tc>
        <w:tc>
          <w:tcPr>
            <w:tcW w:w="128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0.06823</w:t>
            </w:r>
          </w:p>
        </w:tc>
        <w:tc>
          <w:tcPr>
            <w:tcW w:w="97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1"/>
              </w:rPr>
            </w:pPr>
            <w:r>
              <w:rPr>
                <w:rFonts w:cs="Times New Roman"/>
                <w:color w:val="000000" w:themeColor="text1"/>
                <w:szCs w:val="21"/>
              </w:rPr>
              <w:t>900</w:t>
            </w:r>
          </w:p>
        </w:tc>
        <w:tc>
          <w:tcPr>
            <w:tcW w:w="125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0.00830</w:t>
            </w:r>
          </w:p>
        </w:tc>
        <w:tc>
          <w:tcPr>
            <w:tcW w:w="90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w:t>
            </w:r>
          </w:p>
        </w:tc>
        <w:tc>
          <w:tcPr>
            <w:tcW w:w="1401"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0.00811</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w:t>
            </w:r>
          </w:p>
        </w:tc>
        <w:tc>
          <w:tcPr>
            <w:tcW w:w="128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0.05620</w:t>
            </w:r>
          </w:p>
        </w:tc>
        <w:tc>
          <w:tcPr>
            <w:tcW w:w="97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1"/>
              </w:rPr>
            </w:pPr>
            <w:r>
              <w:rPr>
                <w:rFonts w:cs="Times New Roman"/>
                <w:color w:val="000000" w:themeColor="text1"/>
                <w:szCs w:val="21"/>
              </w:rPr>
              <w:t>1000</w:t>
            </w:r>
          </w:p>
        </w:tc>
        <w:tc>
          <w:tcPr>
            <w:tcW w:w="125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0.00698</w:t>
            </w:r>
          </w:p>
        </w:tc>
        <w:tc>
          <w:tcPr>
            <w:tcW w:w="90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w:t>
            </w:r>
          </w:p>
        </w:tc>
        <w:tc>
          <w:tcPr>
            <w:tcW w:w="1401"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0.00683</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w:t>
            </w:r>
          </w:p>
        </w:tc>
        <w:tc>
          <w:tcPr>
            <w:tcW w:w="128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0.04731</w:t>
            </w:r>
          </w:p>
        </w:tc>
        <w:tc>
          <w:tcPr>
            <w:tcW w:w="97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1"/>
              </w:rPr>
            </w:pPr>
            <w:r>
              <w:rPr>
                <w:rFonts w:cs="Times New Roman"/>
                <w:color w:val="000000" w:themeColor="text1"/>
                <w:szCs w:val="21"/>
              </w:rPr>
              <w:t>1100</w:t>
            </w:r>
          </w:p>
        </w:tc>
        <w:tc>
          <w:tcPr>
            <w:tcW w:w="125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0.00598</w:t>
            </w:r>
          </w:p>
        </w:tc>
        <w:tc>
          <w:tcPr>
            <w:tcW w:w="90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w:t>
            </w:r>
          </w:p>
        </w:tc>
        <w:tc>
          <w:tcPr>
            <w:tcW w:w="1401"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0.00585</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w:t>
            </w:r>
          </w:p>
        </w:tc>
        <w:tc>
          <w:tcPr>
            <w:tcW w:w="128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0.04052</w:t>
            </w:r>
          </w:p>
        </w:tc>
        <w:tc>
          <w:tcPr>
            <w:tcW w:w="97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1"/>
              </w:rPr>
            </w:pPr>
            <w:r>
              <w:rPr>
                <w:rFonts w:cs="Times New Roman"/>
                <w:color w:val="000000" w:themeColor="text1"/>
                <w:szCs w:val="21"/>
              </w:rPr>
              <w:t>1200</w:t>
            </w:r>
          </w:p>
        </w:tc>
        <w:tc>
          <w:tcPr>
            <w:tcW w:w="125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0.00520</w:t>
            </w:r>
          </w:p>
        </w:tc>
        <w:tc>
          <w:tcPr>
            <w:tcW w:w="90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w:t>
            </w:r>
          </w:p>
        </w:tc>
        <w:tc>
          <w:tcPr>
            <w:tcW w:w="1401"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0.00508</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w:t>
            </w:r>
          </w:p>
        </w:tc>
        <w:tc>
          <w:tcPr>
            <w:tcW w:w="128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0.03521</w:t>
            </w:r>
          </w:p>
        </w:tc>
        <w:tc>
          <w:tcPr>
            <w:tcW w:w="97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1"/>
              </w:rPr>
            </w:pPr>
            <w:r>
              <w:rPr>
                <w:rFonts w:cs="Times New Roman"/>
                <w:color w:val="000000" w:themeColor="text1"/>
                <w:szCs w:val="21"/>
              </w:rPr>
              <w:t>1300</w:t>
            </w:r>
          </w:p>
        </w:tc>
        <w:tc>
          <w:tcPr>
            <w:tcW w:w="125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0.00457</w:t>
            </w:r>
          </w:p>
        </w:tc>
        <w:tc>
          <w:tcPr>
            <w:tcW w:w="90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w:t>
            </w:r>
          </w:p>
        </w:tc>
        <w:tc>
          <w:tcPr>
            <w:tcW w:w="1401"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0.00447</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w:t>
            </w:r>
          </w:p>
        </w:tc>
        <w:tc>
          <w:tcPr>
            <w:tcW w:w="128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0.03097</w:t>
            </w:r>
          </w:p>
        </w:tc>
        <w:tc>
          <w:tcPr>
            <w:tcW w:w="97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1"/>
              </w:rPr>
            </w:pPr>
            <w:r>
              <w:rPr>
                <w:rFonts w:cs="Times New Roman"/>
                <w:color w:val="000000" w:themeColor="text1"/>
                <w:szCs w:val="21"/>
              </w:rPr>
              <w:t>1400</w:t>
            </w:r>
          </w:p>
        </w:tc>
        <w:tc>
          <w:tcPr>
            <w:tcW w:w="125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0.00406</w:t>
            </w:r>
          </w:p>
        </w:tc>
        <w:tc>
          <w:tcPr>
            <w:tcW w:w="90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w:t>
            </w:r>
          </w:p>
        </w:tc>
        <w:tc>
          <w:tcPr>
            <w:tcW w:w="1401"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0.00397</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w:t>
            </w:r>
          </w:p>
        </w:tc>
        <w:tc>
          <w:tcPr>
            <w:tcW w:w="128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0.02752</w:t>
            </w:r>
          </w:p>
        </w:tc>
        <w:tc>
          <w:tcPr>
            <w:tcW w:w="97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1"/>
              </w:rPr>
            </w:pPr>
            <w:r>
              <w:rPr>
                <w:rFonts w:cs="Times New Roman"/>
                <w:color w:val="000000" w:themeColor="text1"/>
                <w:szCs w:val="21"/>
              </w:rPr>
              <w:t>1500</w:t>
            </w:r>
          </w:p>
        </w:tc>
        <w:tc>
          <w:tcPr>
            <w:tcW w:w="125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0.00364</w:t>
            </w:r>
          </w:p>
        </w:tc>
        <w:tc>
          <w:tcPr>
            <w:tcW w:w="90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w:t>
            </w:r>
          </w:p>
        </w:tc>
        <w:tc>
          <w:tcPr>
            <w:tcW w:w="1401"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0.00356</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w:t>
            </w:r>
          </w:p>
        </w:tc>
        <w:tc>
          <w:tcPr>
            <w:tcW w:w="128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0.02466</w:t>
            </w:r>
          </w:p>
        </w:tc>
        <w:tc>
          <w:tcPr>
            <w:tcW w:w="97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1"/>
              </w:rPr>
            </w:pPr>
            <w:r>
              <w:rPr>
                <w:rFonts w:cs="Times New Roman"/>
                <w:color w:val="000000" w:themeColor="text1"/>
                <w:szCs w:val="21"/>
              </w:rPr>
              <w:t>1600</w:t>
            </w:r>
          </w:p>
        </w:tc>
        <w:tc>
          <w:tcPr>
            <w:tcW w:w="125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0.00329</w:t>
            </w:r>
          </w:p>
        </w:tc>
        <w:tc>
          <w:tcPr>
            <w:tcW w:w="90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w:t>
            </w:r>
          </w:p>
        </w:tc>
        <w:tc>
          <w:tcPr>
            <w:tcW w:w="1401"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0.00321</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w:t>
            </w:r>
          </w:p>
        </w:tc>
        <w:tc>
          <w:tcPr>
            <w:tcW w:w="128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0.02227</w:t>
            </w:r>
          </w:p>
        </w:tc>
        <w:tc>
          <w:tcPr>
            <w:tcW w:w="97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cs="Times New Roman"/>
                <w:color w:val="000000" w:themeColor="text1"/>
                <w:szCs w:val="21"/>
              </w:rPr>
            </w:pPr>
            <w:r>
              <w:rPr>
                <w:rFonts w:cs="Times New Roman"/>
                <w:color w:val="000000" w:themeColor="text1"/>
                <w:szCs w:val="21"/>
              </w:rPr>
              <w:t>1644</w:t>
            </w:r>
          </w:p>
          <w:p>
            <w:pPr>
              <w:pStyle w:val="55"/>
              <w:rPr>
                <w:rFonts w:cs="Times New Roman"/>
                <w:color w:val="000000" w:themeColor="text1"/>
                <w:szCs w:val="21"/>
              </w:rPr>
            </w:pPr>
            <w:r>
              <w:rPr>
                <w:rFonts w:cs="Times New Roman"/>
                <w:color w:val="000000" w:themeColor="text1"/>
                <w:szCs w:val="21"/>
              </w:rPr>
              <w:t>（小舍克村）</w:t>
            </w:r>
          </w:p>
        </w:tc>
        <w:tc>
          <w:tcPr>
            <w:tcW w:w="1255"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rPr>
            </w:pPr>
            <w:r>
              <w:rPr>
                <w:rFonts w:hint="eastAsia"/>
                <w:color w:val="000000" w:themeColor="text1"/>
              </w:rPr>
              <w:t>0.00315</w:t>
            </w:r>
          </w:p>
        </w:tc>
        <w:tc>
          <w:tcPr>
            <w:tcW w:w="909"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rPr>
            </w:pPr>
            <w:r>
              <w:rPr>
                <w:rFonts w:hint="eastAsia"/>
                <w:color w:val="000000" w:themeColor="text1"/>
              </w:rPr>
              <w:t>0</w:t>
            </w:r>
          </w:p>
        </w:tc>
        <w:tc>
          <w:tcPr>
            <w:tcW w:w="1401"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rPr>
            </w:pPr>
            <w:r>
              <w:rPr>
                <w:rFonts w:hint="eastAsia"/>
                <w:color w:val="000000" w:themeColor="text1"/>
              </w:rPr>
              <w:t>0.00308</w:t>
            </w:r>
          </w:p>
        </w:tc>
        <w:tc>
          <w:tcPr>
            <w:tcW w:w="1014"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rPr>
            </w:pPr>
            <w:r>
              <w:rPr>
                <w:rFonts w:hint="eastAsia"/>
                <w:color w:val="000000" w:themeColor="text1"/>
              </w:rPr>
              <w:t>0.00</w:t>
            </w:r>
          </w:p>
        </w:tc>
        <w:tc>
          <w:tcPr>
            <w:tcW w:w="1286"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rPr>
            </w:pPr>
            <w:r>
              <w:rPr>
                <w:rFonts w:hint="eastAsia"/>
                <w:color w:val="000000" w:themeColor="text1"/>
              </w:rPr>
              <w:t>0.02134</w:t>
            </w:r>
          </w:p>
        </w:tc>
        <w:tc>
          <w:tcPr>
            <w:tcW w:w="977"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rPr>
            </w:pPr>
            <w:r>
              <w:rPr>
                <w:rFonts w:hint="eastAsia"/>
                <w:color w:val="000000" w:themeColor="text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1"/>
              </w:rPr>
            </w:pPr>
            <w:r>
              <w:rPr>
                <w:rFonts w:cs="Times New Roman"/>
                <w:color w:val="000000" w:themeColor="text1"/>
                <w:szCs w:val="21"/>
              </w:rPr>
              <w:t>1700</w:t>
            </w:r>
          </w:p>
        </w:tc>
        <w:tc>
          <w:tcPr>
            <w:tcW w:w="125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0.00299</w:t>
            </w:r>
          </w:p>
        </w:tc>
        <w:tc>
          <w:tcPr>
            <w:tcW w:w="90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w:t>
            </w:r>
          </w:p>
        </w:tc>
        <w:tc>
          <w:tcPr>
            <w:tcW w:w="1401"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0.00292</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w:t>
            </w:r>
          </w:p>
        </w:tc>
        <w:tc>
          <w:tcPr>
            <w:tcW w:w="128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0.02025</w:t>
            </w:r>
          </w:p>
        </w:tc>
        <w:tc>
          <w:tcPr>
            <w:tcW w:w="97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1"/>
              </w:rPr>
            </w:pPr>
            <w:r>
              <w:rPr>
                <w:rFonts w:cs="Times New Roman"/>
                <w:color w:val="000000" w:themeColor="text1"/>
                <w:szCs w:val="21"/>
              </w:rPr>
              <w:t>1800</w:t>
            </w:r>
          </w:p>
        </w:tc>
        <w:tc>
          <w:tcPr>
            <w:tcW w:w="125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0.00273</w:t>
            </w:r>
          </w:p>
        </w:tc>
        <w:tc>
          <w:tcPr>
            <w:tcW w:w="90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w:t>
            </w:r>
          </w:p>
        </w:tc>
        <w:tc>
          <w:tcPr>
            <w:tcW w:w="1401"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0.00267</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w:t>
            </w:r>
          </w:p>
        </w:tc>
        <w:tc>
          <w:tcPr>
            <w:tcW w:w="128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0.01851</w:t>
            </w:r>
          </w:p>
        </w:tc>
        <w:tc>
          <w:tcPr>
            <w:tcW w:w="97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1"/>
              </w:rPr>
            </w:pPr>
            <w:r>
              <w:rPr>
                <w:rFonts w:cs="Times New Roman"/>
                <w:color w:val="000000" w:themeColor="text1"/>
                <w:szCs w:val="21"/>
              </w:rPr>
              <w:t>1900</w:t>
            </w:r>
          </w:p>
        </w:tc>
        <w:tc>
          <w:tcPr>
            <w:tcW w:w="125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0.00251</w:t>
            </w:r>
          </w:p>
        </w:tc>
        <w:tc>
          <w:tcPr>
            <w:tcW w:w="90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w:t>
            </w:r>
          </w:p>
        </w:tc>
        <w:tc>
          <w:tcPr>
            <w:tcW w:w="1401"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0.00246</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w:t>
            </w:r>
          </w:p>
        </w:tc>
        <w:tc>
          <w:tcPr>
            <w:tcW w:w="128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0.01702</w:t>
            </w:r>
          </w:p>
        </w:tc>
        <w:tc>
          <w:tcPr>
            <w:tcW w:w="97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1"/>
              </w:rPr>
            </w:pPr>
            <w:r>
              <w:rPr>
                <w:rFonts w:cs="Times New Roman"/>
                <w:color w:val="000000" w:themeColor="text1"/>
                <w:szCs w:val="21"/>
              </w:rPr>
              <w:t>2000</w:t>
            </w:r>
          </w:p>
        </w:tc>
        <w:tc>
          <w:tcPr>
            <w:tcW w:w="125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0.00232</w:t>
            </w:r>
          </w:p>
        </w:tc>
        <w:tc>
          <w:tcPr>
            <w:tcW w:w="90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w:t>
            </w:r>
          </w:p>
        </w:tc>
        <w:tc>
          <w:tcPr>
            <w:tcW w:w="1401"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0.00227</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w:t>
            </w:r>
          </w:p>
        </w:tc>
        <w:tc>
          <w:tcPr>
            <w:tcW w:w="128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0.01571</w:t>
            </w:r>
          </w:p>
        </w:tc>
        <w:tc>
          <w:tcPr>
            <w:tcW w:w="97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1"/>
              </w:rPr>
            </w:pPr>
            <w:r>
              <w:rPr>
                <w:rFonts w:cs="Times New Roman"/>
                <w:color w:val="000000" w:themeColor="text1"/>
                <w:szCs w:val="21"/>
              </w:rPr>
              <w:t>2100</w:t>
            </w:r>
          </w:p>
        </w:tc>
        <w:tc>
          <w:tcPr>
            <w:tcW w:w="125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0.00215</w:t>
            </w:r>
          </w:p>
        </w:tc>
        <w:tc>
          <w:tcPr>
            <w:tcW w:w="90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w:t>
            </w:r>
          </w:p>
        </w:tc>
        <w:tc>
          <w:tcPr>
            <w:tcW w:w="1401"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0.00210</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w:t>
            </w:r>
          </w:p>
        </w:tc>
        <w:tc>
          <w:tcPr>
            <w:tcW w:w="128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0.01457</w:t>
            </w:r>
          </w:p>
        </w:tc>
        <w:tc>
          <w:tcPr>
            <w:tcW w:w="97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1"/>
              </w:rPr>
            </w:pPr>
            <w:r>
              <w:rPr>
                <w:rFonts w:cs="Times New Roman"/>
                <w:color w:val="000000" w:themeColor="text1"/>
                <w:szCs w:val="21"/>
              </w:rPr>
              <w:t>2200</w:t>
            </w:r>
          </w:p>
        </w:tc>
        <w:tc>
          <w:tcPr>
            <w:tcW w:w="125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0.00200</w:t>
            </w:r>
          </w:p>
        </w:tc>
        <w:tc>
          <w:tcPr>
            <w:tcW w:w="90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w:t>
            </w:r>
          </w:p>
        </w:tc>
        <w:tc>
          <w:tcPr>
            <w:tcW w:w="1401"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0.00196</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w:t>
            </w:r>
          </w:p>
        </w:tc>
        <w:tc>
          <w:tcPr>
            <w:tcW w:w="128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0.01356</w:t>
            </w:r>
          </w:p>
        </w:tc>
        <w:tc>
          <w:tcPr>
            <w:tcW w:w="97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1"/>
              </w:rPr>
            </w:pPr>
            <w:r>
              <w:rPr>
                <w:rFonts w:cs="Times New Roman"/>
                <w:color w:val="000000" w:themeColor="text1"/>
                <w:szCs w:val="21"/>
              </w:rPr>
              <w:t>2300</w:t>
            </w:r>
          </w:p>
        </w:tc>
        <w:tc>
          <w:tcPr>
            <w:tcW w:w="125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0.00187</w:t>
            </w:r>
          </w:p>
        </w:tc>
        <w:tc>
          <w:tcPr>
            <w:tcW w:w="90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w:t>
            </w:r>
          </w:p>
        </w:tc>
        <w:tc>
          <w:tcPr>
            <w:tcW w:w="1401"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0.00183</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w:t>
            </w:r>
          </w:p>
        </w:tc>
        <w:tc>
          <w:tcPr>
            <w:tcW w:w="128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0.01266</w:t>
            </w:r>
          </w:p>
        </w:tc>
        <w:tc>
          <w:tcPr>
            <w:tcW w:w="97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1"/>
              </w:rPr>
            </w:pPr>
            <w:r>
              <w:rPr>
                <w:rFonts w:cs="Times New Roman"/>
                <w:color w:val="000000" w:themeColor="text1"/>
                <w:szCs w:val="21"/>
              </w:rPr>
              <w:t>2400</w:t>
            </w:r>
          </w:p>
        </w:tc>
        <w:tc>
          <w:tcPr>
            <w:tcW w:w="125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0.00175</w:t>
            </w:r>
          </w:p>
        </w:tc>
        <w:tc>
          <w:tcPr>
            <w:tcW w:w="90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w:t>
            </w:r>
          </w:p>
        </w:tc>
        <w:tc>
          <w:tcPr>
            <w:tcW w:w="1401"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0.00171</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w:t>
            </w:r>
          </w:p>
        </w:tc>
        <w:tc>
          <w:tcPr>
            <w:tcW w:w="128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0.01186</w:t>
            </w:r>
          </w:p>
        </w:tc>
        <w:tc>
          <w:tcPr>
            <w:tcW w:w="97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1"/>
              </w:rPr>
            </w:pPr>
            <w:r>
              <w:rPr>
                <w:rFonts w:cs="Times New Roman"/>
                <w:color w:val="000000" w:themeColor="text1"/>
                <w:szCs w:val="21"/>
              </w:rPr>
              <w:t>2500</w:t>
            </w:r>
          </w:p>
        </w:tc>
        <w:tc>
          <w:tcPr>
            <w:tcW w:w="125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0.00164</w:t>
            </w:r>
          </w:p>
        </w:tc>
        <w:tc>
          <w:tcPr>
            <w:tcW w:w="90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w:t>
            </w:r>
          </w:p>
        </w:tc>
        <w:tc>
          <w:tcPr>
            <w:tcW w:w="1401"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0.00161</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w:t>
            </w:r>
          </w:p>
        </w:tc>
        <w:tc>
          <w:tcPr>
            <w:tcW w:w="128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0.01114</w:t>
            </w:r>
          </w:p>
        </w:tc>
        <w:tc>
          <w:tcPr>
            <w:tcW w:w="97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w:t>
            </w:r>
          </w:p>
        </w:tc>
      </w:tr>
    </w:tbl>
    <w:p>
      <w:pPr>
        <w:ind w:firstLine="480"/>
        <w:rPr>
          <w:bCs/>
          <w:color w:val="000000" w:themeColor="text1"/>
        </w:rPr>
      </w:pPr>
      <w:r>
        <w:rPr>
          <w:rFonts w:hint="eastAsia"/>
          <w:bCs/>
          <w:color w:val="000000" w:themeColor="text1"/>
        </w:rPr>
        <w:t>根据表</w:t>
      </w:r>
      <w:r>
        <w:rPr>
          <w:bCs/>
          <w:color w:val="000000" w:themeColor="text1"/>
        </w:rPr>
        <w:t>6.1</w:t>
      </w:r>
      <w:r>
        <w:rPr>
          <w:rFonts w:hint="eastAsia"/>
          <w:bCs/>
          <w:color w:val="000000" w:themeColor="text1"/>
        </w:rPr>
        <w:t>.2-6的计算结果，</w:t>
      </w:r>
      <w:r>
        <w:rPr>
          <w:rFonts w:hint="eastAsia"/>
          <w:color w:val="000000" w:themeColor="text1"/>
          <w:szCs w:val="24"/>
        </w:rPr>
        <w:t>正常排放情况下，颗粒物排放源最大落地浓度值为</w:t>
      </w:r>
      <w:r>
        <w:rPr>
          <w:rFonts w:hint="eastAsia"/>
          <w:color w:val="000000" w:themeColor="text1"/>
        </w:rPr>
        <w:t>0.31933</w:t>
      </w:r>
      <w:r>
        <w:rPr>
          <w:rFonts w:cs="Times New Roman"/>
          <w:color w:val="000000" w:themeColor="text1"/>
          <w:szCs w:val="24"/>
        </w:rPr>
        <w:t>μg</w:t>
      </w:r>
      <w:r>
        <w:rPr>
          <w:color w:val="000000" w:themeColor="text1"/>
          <w:szCs w:val="24"/>
        </w:rPr>
        <w:t>/m</w:t>
      </w:r>
      <w:r>
        <w:rPr>
          <w:color w:val="000000" w:themeColor="text1"/>
          <w:szCs w:val="24"/>
          <w:vertAlign w:val="superscript"/>
        </w:rPr>
        <w:t>3</w:t>
      </w:r>
      <w:r>
        <w:rPr>
          <w:rFonts w:hint="eastAsia"/>
          <w:color w:val="000000" w:themeColor="text1"/>
          <w:szCs w:val="24"/>
        </w:rPr>
        <w:t>，最大浓度占标率为0</w:t>
      </w:r>
      <w:r>
        <w:rPr>
          <w:color w:val="000000" w:themeColor="text1"/>
          <w:szCs w:val="24"/>
        </w:rPr>
        <w:t>%</w:t>
      </w:r>
      <w:r>
        <w:rPr>
          <w:rFonts w:hint="eastAsia"/>
          <w:color w:val="000000" w:themeColor="text1"/>
          <w:szCs w:val="24"/>
        </w:rPr>
        <w:t>，</w:t>
      </w:r>
      <w:r>
        <w:rPr>
          <w:rFonts w:hint="eastAsia"/>
          <w:bCs/>
          <w:color w:val="000000" w:themeColor="text1"/>
        </w:rPr>
        <w:t>满足</w:t>
      </w:r>
      <w:r>
        <w:rPr>
          <w:rFonts w:hint="eastAsia"/>
          <w:bCs/>
          <w:snapToGrid w:val="0"/>
          <w:color w:val="000000" w:themeColor="text1"/>
        </w:rPr>
        <w:t>《环境空气质量标准》（</w:t>
      </w:r>
      <w:r>
        <w:rPr>
          <w:bCs/>
          <w:snapToGrid w:val="0"/>
          <w:color w:val="000000" w:themeColor="text1"/>
        </w:rPr>
        <w:t>GB3095-2012</w:t>
      </w:r>
      <w:r>
        <w:rPr>
          <w:rFonts w:hint="eastAsia"/>
          <w:bCs/>
          <w:snapToGrid w:val="0"/>
          <w:color w:val="000000" w:themeColor="text1"/>
        </w:rPr>
        <w:t>）二级标准</w:t>
      </w:r>
      <w:r>
        <w:rPr>
          <w:rFonts w:hint="eastAsia"/>
          <w:color w:val="000000" w:themeColor="text1"/>
        </w:rPr>
        <w:t>中PM</w:t>
      </w:r>
      <w:r>
        <w:rPr>
          <w:rFonts w:hint="eastAsia"/>
          <w:color w:val="000000" w:themeColor="text1"/>
          <w:vertAlign w:val="subscript"/>
        </w:rPr>
        <w:t>10</w:t>
      </w:r>
      <w:r>
        <w:rPr>
          <w:rFonts w:hint="eastAsia"/>
          <w:color w:val="000000" w:themeColor="text1"/>
        </w:rPr>
        <w:t>＜45</w:t>
      </w:r>
      <w:r>
        <w:rPr>
          <w:color w:val="000000" w:themeColor="text1"/>
        </w:rPr>
        <w:t>0μg/m</w:t>
      </w:r>
      <w:r>
        <w:rPr>
          <w:color w:val="000000" w:themeColor="text1"/>
          <w:vertAlign w:val="superscript"/>
        </w:rPr>
        <w:t>3</w:t>
      </w:r>
      <w:r>
        <w:rPr>
          <w:rFonts w:hint="eastAsia"/>
          <w:color w:val="000000" w:themeColor="text1"/>
        </w:rPr>
        <w:t>的要求</w:t>
      </w:r>
      <w:r>
        <w:rPr>
          <w:rFonts w:hint="eastAsia"/>
          <w:color w:val="000000" w:themeColor="text1"/>
          <w:szCs w:val="24"/>
        </w:rPr>
        <w:t>；</w:t>
      </w:r>
      <w:r>
        <w:rPr>
          <w:color w:val="000000" w:themeColor="text1"/>
          <w:szCs w:val="24"/>
        </w:rPr>
        <w:t>SO</w:t>
      </w:r>
      <w:r>
        <w:rPr>
          <w:color w:val="000000" w:themeColor="text1"/>
          <w:szCs w:val="24"/>
          <w:vertAlign w:val="subscript"/>
        </w:rPr>
        <w:t>2</w:t>
      </w:r>
      <w:r>
        <w:rPr>
          <w:rFonts w:hint="eastAsia"/>
          <w:color w:val="000000" w:themeColor="text1"/>
          <w:szCs w:val="24"/>
        </w:rPr>
        <w:t>排放源最大落地浓度值为0.31212</w:t>
      </w:r>
      <w:r>
        <w:rPr>
          <w:rFonts w:cs="Times New Roman"/>
          <w:color w:val="000000" w:themeColor="text1"/>
          <w:szCs w:val="24"/>
        </w:rPr>
        <w:t>μ</w:t>
      </w:r>
      <w:r>
        <w:rPr>
          <w:color w:val="000000" w:themeColor="text1"/>
          <w:szCs w:val="24"/>
        </w:rPr>
        <w:t>g/m</w:t>
      </w:r>
      <w:r>
        <w:rPr>
          <w:color w:val="000000" w:themeColor="text1"/>
          <w:szCs w:val="24"/>
          <w:vertAlign w:val="superscript"/>
        </w:rPr>
        <w:t>3</w:t>
      </w:r>
      <w:r>
        <w:rPr>
          <w:rFonts w:hint="eastAsia"/>
          <w:color w:val="000000" w:themeColor="text1"/>
          <w:szCs w:val="24"/>
        </w:rPr>
        <w:t>，最大浓度占标率为0.06</w:t>
      </w:r>
      <w:r>
        <w:rPr>
          <w:color w:val="000000" w:themeColor="text1"/>
          <w:szCs w:val="24"/>
        </w:rPr>
        <w:t>%</w:t>
      </w:r>
      <w:r>
        <w:rPr>
          <w:rFonts w:hint="eastAsia"/>
          <w:color w:val="000000" w:themeColor="text1"/>
          <w:szCs w:val="24"/>
        </w:rPr>
        <w:t>，</w:t>
      </w:r>
      <w:r>
        <w:rPr>
          <w:rFonts w:hint="eastAsia"/>
          <w:bCs/>
          <w:color w:val="000000" w:themeColor="text1"/>
        </w:rPr>
        <w:t>满足</w:t>
      </w:r>
      <w:r>
        <w:rPr>
          <w:rFonts w:hint="eastAsia"/>
          <w:bCs/>
          <w:snapToGrid w:val="0"/>
          <w:color w:val="000000" w:themeColor="text1"/>
        </w:rPr>
        <w:t>《环境空气质量标准》（</w:t>
      </w:r>
      <w:r>
        <w:rPr>
          <w:bCs/>
          <w:snapToGrid w:val="0"/>
          <w:color w:val="000000" w:themeColor="text1"/>
        </w:rPr>
        <w:t>GB3095-2012</w:t>
      </w:r>
      <w:r>
        <w:rPr>
          <w:rFonts w:hint="eastAsia"/>
          <w:bCs/>
          <w:snapToGrid w:val="0"/>
          <w:color w:val="000000" w:themeColor="text1"/>
        </w:rPr>
        <w:t>）二级标准</w:t>
      </w:r>
      <w:r>
        <w:rPr>
          <w:rFonts w:hint="eastAsia"/>
          <w:color w:val="000000" w:themeColor="text1"/>
        </w:rPr>
        <w:t>中</w:t>
      </w:r>
      <w:r>
        <w:rPr>
          <w:bCs/>
          <w:color w:val="000000" w:themeColor="text1"/>
        </w:rPr>
        <w:t>SO</w:t>
      </w:r>
      <w:r>
        <w:rPr>
          <w:bCs/>
          <w:color w:val="000000" w:themeColor="text1"/>
          <w:vertAlign w:val="subscript"/>
        </w:rPr>
        <w:t>2</w:t>
      </w:r>
      <w:r>
        <w:rPr>
          <w:rFonts w:hint="eastAsia"/>
          <w:color w:val="000000" w:themeColor="text1"/>
        </w:rPr>
        <w:t>＜</w:t>
      </w:r>
      <w:r>
        <w:rPr>
          <w:color w:val="000000" w:themeColor="text1"/>
        </w:rPr>
        <w:t>500μg/m</w:t>
      </w:r>
      <w:r>
        <w:rPr>
          <w:color w:val="000000" w:themeColor="text1"/>
          <w:vertAlign w:val="superscript"/>
        </w:rPr>
        <w:t>3</w:t>
      </w:r>
      <w:r>
        <w:rPr>
          <w:rFonts w:hint="eastAsia"/>
          <w:color w:val="000000" w:themeColor="text1"/>
        </w:rPr>
        <w:t>的要求</w:t>
      </w:r>
      <w:r>
        <w:rPr>
          <w:rFonts w:hint="eastAsia"/>
          <w:color w:val="000000" w:themeColor="text1"/>
          <w:szCs w:val="24"/>
        </w:rPr>
        <w:t>；</w:t>
      </w:r>
      <w:r>
        <w:rPr>
          <w:color w:val="000000" w:themeColor="text1"/>
          <w:szCs w:val="24"/>
        </w:rPr>
        <w:t>NOx</w:t>
      </w:r>
      <w:r>
        <w:rPr>
          <w:rFonts w:hint="eastAsia"/>
          <w:color w:val="000000" w:themeColor="text1"/>
          <w:szCs w:val="24"/>
        </w:rPr>
        <w:t>排放源最大落地浓度值为2.16321</w:t>
      </w:r>
      <w:r>
        <w:rPr>
          <w:color w:val="000000" w:themeColor="text1"/>
          <w:szCs w:val="24"/>
        </w:rPr>
        <w:t>μg/m</w:t>
      </w:r>
      <w:r>
        <w:rPr>
          <w:color w:val="000000" w:themeColor="text1"/>
          <w:szCs w:val="24"/>
          <w:vertAlign w:val="superscript"/>
        </w:rPr>
        <w:t>3</w:t>
      </w:r>
      <w:r>
        <w:rPr>
          <w:rFonts w:hint="eastAsia"/>
          <w:color w:val="000000" w:themeColor="text1"/>
          <w:szCs w:val="24"/>
        </w:rPr>
        <w:t>，最大浓度占标率为0.87</w:t>
      </w:r>
      <w:r>
        <w:rPr>
          <w:color w:val="000000" w:themeColor="text1"/>
          <w:szCs w:val="24"/>
        </w:rPr>
        <w:t>%</w:t>
      </w:r>
      <w:r>
        <w:rPr>
          <w:rFonts w:hint="eastAsia"/>
          <w:color w:val="000000" w:themeColor="text1"/>
          <w:szCs w:val="24"/>
        </w:rPr>
        <w:t>，</w:t>
      </w:r>
      <w:r>
        <w:rPr>
          <w:rFonts w:hint="eastAsia"/>
          <w:bCs/>
          <w:color w:val="000000" w:themeColor="text1"/>
        </w:rPr>
        <w:t>满足</w:t>
      </w:r>
      <w:r>
        <w:rPr>
          <w:rFonts w:hint="eastAsia"/>
          <w:bCs/>
          <w:snapToGrid w:val="0"/>
          <w:color w:val="000000" w:themeColor="text1"/>
        </w:rPr>
        <w:t>《环境空气质量标准》（</w:t>
      </w:r>
      <w:r>
        <w:rPr>
          <w:bCs/>
          <w:snapToGrid w:val="0"/>
          <w:color w:val="000000" w:themeColor="text1"/>
        </w:rPr>
        <w:t>GB3095-2012</w:t>
      </w:r>
      <w:r>
        <w:rPr>
          <w:rFonts w:hint="eastAsia"/>
          <w:bCs/>
          <w:snapToGrid w:val="0"/>
          <w:color w:val="000000" w:themeColor="text1"/>
        </w:rPr>
        <w:t>）二级标准</w:t>
      </w:r>
      <w:r>
        <w:rPr>
          <w:rFonts w:hint="eastAsia"/>
          <w:color w:val="000000" w:themeColor="text1"/>
        </w:rPr>
        <w:t>中</w:t>
      </w:r>
      <w:r>
        <w:rPr>
          <w:bCs/>
          <w:color w:val="000000" w:themeColor="text1"/>
        </w:rPr>
        <w:t>NO</w:t>
      </w:r>
      <w:r>
        <w:rPr>
          <w:bCs/>
          <w:color w:val="000000" w:themeColor="text1"/>
          <w:vertAlign w:val="subscript"/>
        </w:rPr>
        <w:t>X</w:t>
      </w:r>
      <w:r>
        <w:rPr>
          <w:rFonts w:hint="eastAsia"/>
          <w:color w:val="000000" w:themeColor="text1"/>
        </w:rPr>
        <w:t>＜</w:t>
      </w:r>
      <w:r>
        <w:rPr>
          <w:color w:val="000000" w:themeColor="text1"/>
        </w:rPr>
        <w:t>2</w:t>
      </w:r>
      <w:r>
        <w:rPr>
          <w:rFonts w:hint="eastAsia"/>
          <w:color w:val="000000" w:themeColor="text1"/>
        </w:rPr>
        <w:t>5</w:t>
      </w:r>
      <w:r>
        <w:rPr>
          <w:color w:val="000000" w:themeColor="text1"/>
        </w:rPr>
        <w:t>0μg/m</w:t>
      </w:r>
      <w:r>
        <w:rPr>
          <w:color w:val="000000" w:themeColor="text1"/>
          <w:vertAlign w:val="superscript"/>
        </w:rPr>
        <w:t>3</w:t>
      </w:r>
      <w:r>
        <w:rPr>
          <w:rFonts w:hint="eastAsia"/>
          <w:color w:val="000000" w:themeColor="text1"/>
        </w:rPr>
        <w:t>的要求；</w:t>
      </w:r>
      <w:r>
        <w:rPr>
          <w:rFonts w:hint="eastAsia"/>
          <w:color w:val="000000" w:themeColor="text1"/>
          <w:szCs w:val="24"/>
        </w:rPr>
        <w:t>污染物最大地面浓度均出现在污染源下风向63</w:t>
      </w:r>
      <w:r>
        <w:rPr>
          <w:color w:val="000000" w:themeColor="text1"/>
          <w:szCs w:val="24"/>
        </w:rPr>
        <w:t>m</w:t>
      </w:r>
      <w:r>
        <w:rPr>
          <w:rFonts w:hint="eastAsia"/>
          <w:color w:val="000000" w:themeColor="text1"/>
          <w:szCs w:val="24"/>
        </w:rPr>
        <w:t>处。项目下风向最近的敏感点为北侧1644m的小舍克村，小舍克村的颗粒物、</w:t>
      </w:r>
      <w:r>
        <w:rPr>
          <w:color w:val="000000" w:themeColor="text1"/>
          <w:szCs w:val="24"/>
        </w:rPr>
        <w:t>SO</w:t>
      </w:r>
      <w:r>
        <w:rPr>
          <w:color w:val="000000" w:themeColor="text1"/>
          <w:szCs w:val="24"/>
          <w:vertAlign w:val="subscript"/>
        </w:rPr>
        <w:t>2</w:t>
      </w:r>
      <w:r>
        <w:rPr>
          <w:rFonts w:hint="eastAsia"/>
          <w:color w:val="000000" w:themeColor="text1"/>
          <w:szCs w:val="24"/>
        </w:rPr>
        <w:t>、氮氧化物落地浓度均能</w:t>
      </w:r>
      <w:r>
        <w:rPr>
          <w:rFonts w:hint="eastAsia"/>
          <w:bCs/>
          <w:color w:val="000000" w:themeColor="text1"/>
        </w:rPr>
        <w:t>满足</w:t>
      </w:r>
      <w:r>
        <w:rPr>
          <w:rFonts w:hint="eastAsia" w:hAnsi="宋体"/>
          <w:color w:val="000000" w:themeColor="text1"/>
        </w:rPr>
        <w:t>《环境空气质量标准》（</w:t>
      </w:r>
      <w:r>
        <w:rPr>
          <w:color w:val="000000" w:themeColor="text1"/>
        </w:rPr>
        <w:t>GB3095-2012</w:t>
      </w:r>
      <w:r>
        <w:rPr>
          <w:rFonts w:hint="eastAsia" w:hAnsi="宋体"/>
          <w:color w:val="000000" w:themeColor="text1"/>
        </w:rPr>
        <w:t>）中二级标准</w:t>
      </w:r>
      <w:r>
        <w:rPr>
          <w:rFonts w:hint="eastAsia"/>
          <w:color w:val="000000" w:themeColor="text1"/>
        </w:rPr>
        <w:t>的要求。</w:t>
      </w:r>
      <w:r>
        <w:rPr>
          <w:rFonts w:hint="eastAsia"/>
          <w:bCs/>
          <w:color w:val="000000" w:themeColor="text1"/>
        </w:rPr>
        <w:t>正常排放情况下项目锅炉有组织废气最大落地浓度以及周围敏感目标处落地浓度对应占标率较小，对周围环境现状改变较小。</w:t>
      </w:r>
    </w:p>
    <w:p>
      <w:pPr>
        <w:ind w:firstLine="480"/>
        <w:rPr>
          <w:bCs/>
          <w:color w:val="000000" w:themeColor="text1"/>
        </w:rPr>
      </w:pPr>
      <w:r>
        <w:rPr>
          <w:rFonts w:hint="eastAsia"/>
          <w:color w:val="000000" w:themeColor="text1"/>
          <w:szCs w:val="24"/>
        </w:rPr>
        <w:t>锅炉废气正常排放情况下颗粒物、</w:t>
      </w:r>
      <w:r>
        <w:rPr>
          <w:color w:val="000000" w:themeColor="text1"/>
          <w:szCs w:val="24"/>
        </w:rPr>
        <w:t>SO</w:t>
      </w:r>
      <w:r>
        <w:rPr>
          <w:color w:val="000000" w:themeColor="text1"/>
          <w:szCs w:val="24"/>
          <w:vertAlign w:val="subscript"/>
        </w:rPr>
        <w:t>2</w:t>
      </w:r>
      <w:r>
        <w:rPr>
          <w:rFonts w:hint="eastAsia"/>
          <w:color w:val="000000" w:themeColor="text1"/>
          <w:szCs w:val="24"/>
        </w:rPr>
        <w:t>、NOx</w:t>
      </w:r>
      <w:r>
        <w:rPr>
          <w:rFonts w:hint="eastAsia"/>
          <w:bCs/>
          <w:color w:val="000000" w:themeColor="text1"/>
        </w:rPr>
        <w:t>三种污染物的最大地面浓度占标率</w:t>
      </w:r>
      <w:r>
        <w:rPr>
          <w:bCs/>
          <w:color w:val="000000" w:themeColor="text1"/>
        </w:rPr>
        <w:t>P</w:t>
      </w:r>
      <w:r>
        <w:rPr>
          <w:bCs/>
          <w:color w:val="000000" w:themeColor="text1"/>
          <w:vertAlign w:val="subscript"/>
        </w:rPr>
        <w:t>max</w:t>
      </w:r>
      <w:r>
        <w:rPr>
          <w:bCs/>
          <w:color w:val="000000" w:themeColor="text1"/>
        </w:rPr>
        <w:t>=Max</w:t>
      </w:r>
      <w:r>
        <w:rPr>
          <w:rFonts w:hint="eastAsia"/>
          <w:bCs/>
          <w:color w:val="000000" w:themeColor="text1"/>
        </w:rPr>
        <w:t>（</w:t>
      </w:r>
      <w:r>
        <w:rPr>
          <w:bCs/>
          <w:color w:val="000000" w:themeColor="text1"/>
        </w:rPr>
        <w:t>P</w:t>
      </w:r>
      <w:r>
        <w:rPr>
          <w:rFonts w:hint="eastAsia"/>
          <w:color w:val="000000" w:themeColor="text1"/>
          <w:vertAlign w:val="subscript"/>
        </w:rPr>
        <w:t>PM10</w:t>
      </w:r>
      <w:r>
        <w:rPr>
          <w:rFonts w:hint="eastAsia"/>
          <w:bCs/>
          <w:color w:val="000000" w:themeColor="text1"/>
        </w:rPr>
        <w:t>，</w:t>
      </w:r>
      <w:r>
        <w:rPr>
          <w:bCs/>
          <w:color w:val="000000" w:themeColor="text1"/>
        </w:rPr>
        <w:t>P</w:t>
      </w:r>
      <w:r>
        <w:rPr>
          <w:rFonts w:hint="eastAsia"/>
          <w:bCs/>
          <w:color w:val="000000" w:themeColor="text1"/>
          <w:vertAlign w:val="subscript"/>
        </w:rPr>
        <w:t>SO2</w:t>
      </w:r>
      <w:r>
        <w:rPr>
          <w:rFonts w:hint="eastAsia"/>
          <w:bCs/>
          <w:color w:val="000000" w:themeColor="text1"/>
        </w:rPr>
        <w:t>，P</w:t>
      </w:r>
      <w:r>
        <w:rPr>
          <w:rFonts w:hint="eastAsia"/>
          <w:bCs/>
          <w:color w:val="000000" w:themeColor="text1"/>
          <w:vertAlign w:val="subscript"/>
        </w:rPr>
        <w:t>NOx</w:t>
      </w:r>
      <w:r>
        <w:rPr>
          <w:rFonts w:hint="eastAsia"/>
          <w:bCs/>
          <w:color w:val="000000" w:themeColor="text1"/>
        </w:rPr>
        <w:t>）</w:t>
      </w:r>
      <w:r>
        <w:rPr>
          <w:bCs/>
          <w:color w:val="000000" w:themeColor="text1"/>
        </w:rPr>
        <w:t>=</w:t>
      </w:r>
      <w:r>
        <w:rPr>
          <w:rFonts w:hint="eastAsia"/>
          <w:bCs/>
          <w:color w:val="000000" w:themeColor="text1"/>
        </w:rPr>
        <w:t>0.74</w:t>
      </w:r>
      <w:r>
        <w:rPr>
          <w:bCs/>
          <w:color w:val="000000" w:themeColor="text1"/>
        </w:rPr>
        <w:t>%</w:t>
      </w:r>
      <w:r>
        <w:rPr>
          <w:rFonts w:hint="eastAsia"/>
          <w:bCs/>
          <w:color w:val="000000" w:themeColor="text1"/>
        </w:rPr>
        <w:t>，</w:t>
      </w:r>
      <w:r>
        <w:rPr>
          <w:rFonts w:hint="eastAsia"/>
          <w:color w:val="000000" w:themeColor="text1"/>
        </w:rPr>
        <w:t>三</w:t>
      </w:r>
      <w:r>
        <w:rPr>
          <w:color w:val="000000" w:themeColor="text1"/>
        </w:rPr>
        <w:t>种污染物的最大地面浓度占标率</w:t>
      </w:r>
      <w:r>
        <w:rPr>
          <w:i/>
          <w:iCs/>
          <w:color w:val="000000" w:themeColor="text1"/>
        </w:rPr>
        <w:t>P</w:t>
      </w:r>
      <w:r>
        <w:rPr>
          <w:color w:val="000000" w:themeColor="text1"/>
          <w:vertAlign w:val="subscript"/>
        </w:rPr>
        <w:t>max</w:t>
      </w:r>
      <w:r>
        <w:rPr>
          <w:color w:val="000000" w:themeColor="text1"/>
        </w:rPr>
        <w:t>=</w:t>
      </w:r>
      <w:r>
        <w:rPr>
          <w:rFonts w:hint="eastAsia" w:hAnsi="Calibri"/>
          <w:color w:val="000000" w:themeColor="text1"/>
        </w:rPr>
        <w:t>0.87%</w:t>
      </w:r>
      <w:r>
        <w:rPr>
          <w:color w:val="000000" w:themeColor="text1"/>
        </w:rPr>
        <w:t>&lt;</w:t>
      </w:r>
      <w:r>
        <w:rPr>
          <w:rFonts w:hint="eastAsia"/>
          <w:color w:val="000000" w:themeColor="text1"/>
        </w:rPr>
        <w:t>1</w:t>
      </w:r>
      <w:r>
        <w:rPr>
          <w:color w:val="000000" w:themeColor="text1"/>
        </w:rPr>
        <w:t>%</w:t>
      </w:r>
      <w:r>
        <w:rPr>
          <w:rFonts w:hAnsi="Calibri"/>
          <w:color w:val="000000" w:themeColor="text1"/>
        </w:rPr>
        <w:t>，即计算过程中污染因子</w:t>
      </w:r>
      <w:r>
        <w:rPr>
          <w:rFonts w:hint="eastAsia"/>
          <w:color w:val="000000" w:themeColor="text1"/>
          <w:szCs w:val="24"/>
        </w:rPr>
        <w:t>颗粒物、</w:t>
      </w:r>
      <w:r>
        <w:rPr>
          <w:color w:val="000000" w:themeColor="text1"/>
          <w:szCs w:val="24"/>
        </w:rPr>
        <w:t>SO</w:t>
      </w:r>
      <w:r>
        <w:rPr>
          <w:color w:val="000000" w:themeColor="text1"/>
          <w:szCs w:val="24"/>
          <w:vertAlign w:val="subscript"/>
        </w:rPr>
        <w:t>2</w:t>
      </w:r>
      <w:r>
        <w:rPr>
          <w:rFonts w:hint="eastAsia"/>
          <w:color w:val="000000" w:themeColor="text1"/>
          <w:szCs w:val="24"/>
        </w:rPr>
        <w:t>、NOx</w:t>
      </w:r>
      <w:r>
        <w:rPr>
          <w:rFonts w:hAnsi="Calibri"/>
          <w:color w:val="000000" w:themeColor="text1"/>
        </w:rPr>
        <w:t>在筛选点占标率</w:t>
      </w:r>
      <w:r>
        <w:rPr>
          <w:rFonts w:hint="eastAsia" w:hAnsi="Calibri"/>
          <w:color w:val="000000" w:themeColor="text1"/>
        </w:rPr>
        <w:t>小于1</w:t>
      </w:r>
      <w:r>
        <w:rPr>
          <w:color w:val="000000" w:themeColor="text1"/>
        </w:rPr>
        <w:t>%</w:t>
      </w:r>
      <w:r>
        <w:rPr>
          <w:rFonts w:hAnsi="Calibri"/>
          <w:color w:val="000000" w:themeColor="text1"/>
        </w:rPr>
        <w:t>。</w:t>
      </w:r>
    </w:p>
    <w:p>
      <w:pPr>
        <w:ind w:firstLine="480"/>
        <w:rPr>
          <w:rFonts w:cs="Times New Roman"/>
          <w:color w:val="000000" w:themeColor="text1"/>
          <w:kern w:val="0"/>
        </w:rPr>
      </w:pPr>
      <w:r>
        <w:rPr>
          <w:rFonts w:hint="eastAsia"/>
          <w:color w:val="000000" w:themeColor="text1"/>
        </w:rPr>
        <w:t>（3）锅炉废气非正常排放情况下的估算模式计算结果及影响分析</w:t>
      </w:r>
    </w:p>
    <w:p>
      <w:pPr>
        <w:ind w:firstLine="480"/>
        <w:rPr>
          <w:color w:val="000000" w:themeColor="text1"/>
        </w:rPr>
      </w:pPr>
      <w:r>
        <w:rPr>
          <w:rFonts w:hint="eastAsia"/>
          <w:color w:val="000000" w:themeColor="text1"/>
        </w:rPr>
        <w:t>锅炉废气采用水膜除尘设施进行处理后排放，若水膜除尘设施出现故障，将会导致锅炉废气未经处理直接排放。采用估算模式，非正常排放情况下锅炉有组织废气污染物估算结果列于表</w:t>
      </w:r>
      <w:r>
        <w:rPr>
          <w:color w:val="000000" w:themeColor="text1"/>
        </w:rPr>
        <w:t>6.1</w:t>
      </w:r>
      <w:r>
        <w:rPr>
          <w:rFonts w:hint="eastAsia"/>
          <w:color w:val="000000" w:themeColor="text1"/>
        </w:rPr>
        <w:t>.2</w:t>
      </w:r>
      <w:r>
        <w:rPr>
          <w:color w:val="000000" w:themeColor="text1"/>
        </w:rPr>
        <w:t>-</w:t>
      </w:r>
      <w:r>
        <w:rPr>
          <w:rFonts w:hint="eastAsia"/>
          <w:color w:val="000000" w:themeColor="text1"/>
        </w:rPr>
        <w:t>7。</w:t>
      </w:r>
    </w:p>
    <w:p>
      <w:pPr>
        <w:pStyle w:val="54"/>
        <w:rPr>
          <w:color w:val="000000" w:themeColor="text1"/>
          <w:kern w:val="0"/>
        </w:rPr>
      </w:pPr>
      <w:r>
        <w:rPr>
          <w:color w:val="000000" w:themeColor="text1"/>
          <w:kern w:val="0"/>
        </w:rPr>
        <w:tab/>
      </w:r>
      <w:r>
        <w:rPr>
          <w:rFonts w:hint="eastAsia"/>
          <w:color w:val="000000" w:themeColor="text1"/>
          <w:kern w:val="0"/>
        </w:rPr>
        <w:t>表</w:t>
      </w:r>
      <w:r>
        <w:rPr>
          <w:color w:val="000000" w:themeColor="text1"/>
          <w:kern w:val="0"/>
        </w:rPr>
        <w:t>6.1</w:t>
      </w:r>
      <w:r>
        <w:rPr>
          <w:rFonts w:hint="eastAsia"/>
          <w:color w:val="000000" w:themeColor="text1"/>
          <w:kern w:val="0"/>
        </w:rPr>
        <w:t>.2-7</w:t>
      </w:r>
      <w:r>
        <w:rPr>
          <w:color w:val="000000" w:themeColor="text1"/>
          <w:kern w:val="0"/>
        </w:rPr>
        <w:t xml:space="preserve"> </w:t>
      </w:r>
      <w:r>
        <w:rPr>
          <w:rFonts w:hint="eastAsia"/>
          <w:color w:val="000000" w:themeColor="text1"/>
          <w:kern w:val="0"/>
        </w:rPr>
        <w:t xml:space="preserve"> </w:t>
      </w:r>
      <w:r>
        <w:rPr>
          <w:color w:val="000000" w:themeColor="text1"/>
          <w:kern w:val="0"/>
        </w:rPr>
        <w:t>非</w:t>
      </w:r>
      <w:r>
        <w:rPr>
          <w:rFonts w:hint="eastAsia"/>
          <w:color w:val="000000" w:themeColor="text1"/>
          <w:kern w:val="0"/>
        </w:rPr>
        <w:t>正常排放情况下锅炉废气污染物估算</w:t>
      </w:r>
      <w:r>
        <w:rPr>
          <w:rFonts w:hint="eastAsia"/>
          <w:color w:val="000000" w:themeColor="text1"/>
        </w:rPr>
        <w:t>模式</w:t>
      </w:r>
      <w:r>
        <w:rPr>
          <w:rFonts w:hint="eastAsia"/>
          <w:color w:val="000000" w:themeColor="text1"/>
          <w:kern w:val="0"/>
        </w:rPr>
        <w:t>计算结果表</w:t>
      </w:r>
      <w:r>
        <w:rPr>
          <w:color w:val="000000" w:themeColor="text1"/>
          <w:kern w:val="0"/>
        </w:rPr>
        <w:tab/>
      </w:r>
    </w:p>
    <w:tbl>
      <w:tblPr>
        <w:tblStyle w:val="42"/>
        <w:tblW w:w="79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6"/>
        <w:gridCol w:w="1566"/>
        <w:gridCol w:w="1559"/>
        <w:gridCol w:w="1843"/>
        <w:gridCol w:w="1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6"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下风向距离/m</w:t>
            </w:r>
          </w:p>
        </w:tc>
        <w:tc>
          <w:tcPr>
            <w:tcW w:w="3125"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颗粒物（PM</w:t>
            </w:r>
            <w:r>
              <w:rPr>
                <w:color w:val="000000" w:themeColor="text1"/>
                <w:szCs w:val="21"/>
                <w:vertAlign w:val="subscript"/>
              </w:rPr>
              <w:t>10</w:t>
            </w:r>
            <w:r>
              <w:rPr>
                <w:color w:val="000000" w:themeColor="text1"/>
                <w:szCs w:val="21"/>
              </w:rPr>
              <w:t>）</w:t>
            </w:r>
          </w:p>
        </w:tc>
        <w:tc>
          <w:tcPr>
            <w:tcW w:w="3326"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SO</w:t>
            </w:r>
            <w:r>
              <w:rPr>
                <w:color w:val="000000" w:themeColor="text1"/>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p>
        </w:tc>
        <w:tc>
          <w:tcPr>
            <w:tcW w:w="156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预测质量浓度/（μg/m</w:t>
            </w:r>
            <w:r>
              <w:rPr>
                <w:color w:val="000000" w:themeColor="text1"/>
                <w:szCs w:val="21"/>
                <w:vertAlign w:val="superscript"/>
              </w:rPr>
              <w:t>3</w:t>
            </w:r>
            <w:r>
              <w:rPr>
                <w:color w:val="000000" w:themeColor="text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占标率%</w:t>
            </w:r>
          </w:p>
        </w:tc>
        <w:tc>
          <w:tcPr>
            <w:tcW w:w="184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预测质量浓度/（μg/m</w:t>
            </w:r>
            <w:r>
              <w:rPr>
                <w:color w:val="000000" w:themeColor="text1"/>
                <w:szCs w:val="21"/>
                <w:vertAlign w:val="superscript"/>
              </w:rPr>
              <w:t>3</w:t>
            </w:r>
            <w:r>
              <w:rPr>
                <w:color w:val="000000" w:themeColor="text1"/>
                <w:szCs w:val="21"/>
              </w:rPr>
              <w:t>）</w:t>
            </w:r>
          </w:p>
        </w:tc>
        <w:tc>
          <w:tcPr>
            <w:tcW w:w="148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25</w:t>
            </w:r>
          </w:p>
        </w:tc>
        <w:tc>
          <w:tcPr>
            <w:tcW w:w="156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0.014386</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84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0.002186</w:t>
            </w:r>
          </w:p>
        </w:tc>
        <w:tc>
          <w:tcPr>
            <w:tcW w:w="148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50</w:t>
            </w:r>
          </w:p>
        </w:tc>
        <w:tc>
          <w:tcPr>
            <w:tcW w:w="156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1.713591</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0.38</w:t>
            </w:r>
          </w:p>
        </w:tc>
        <w:tc>
          <w:tcPr>
            <w:tcW w:w="184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0.26032</w:t>
            </w:r>
          </w:p>
        </w:tc>
        <w:tc>
          <w:tcPr>
            <w:tcW w:w="148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color w:val="000000" w:themeColor="text1"/>
                <w:szCs w:val="21"/>
              </w:rPr>
            </w:pPr>
            <w:r>
              <w:rPr>
                <w:color w:val="000000" w:themeColor="text1"/>
                <w:szCs w:val="21"/>
              </w:rPr>
              <w:t>63</w:t>
            </w:r>
          </w:p>
        </w:tc>
        <w:tc>
          <w:tcPr>
            <w:tcW w:w="1566"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szCs w:val="21"/>
              </w:rPr>
            </w:pPr>
            <w:r>
              <w:rPr>
                <w:rFonts w:hint="eastAsia"/>
                <w:color w:val="000000" w:themeColor="text1"/>
                <w:szCs w:val="21"/>
              </w:rPr>
              <w:t>2.420697</w:t>
            </w:r>
          </w:p>
        </w:tc>
        <w:tc>
          <w:tcPr>
            <w:tcW w:w="1559"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szCs w:val="21"/>
              </w:rPr>
            </w:pPr>
            <w:r>
              <w:rPr>
                <w:rFonts w:hint="eastAsia"/>
                <w:color w:val="000000" w:themeColor="text1"/>
                <w:szCs w:val="21"/>
              </w:rPr>
              <w:t>0.54</w:t>
            </w:r>
          </w:p>
        </w:tc>
        <w:tc>
          <w:tcPr>
            <w:tcW w:w="1843"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szCs w:val="21"/>
              </w:rPr>
            </w:pPr>
            <w:r>
              <w:rPr>
                <w:rFonts w:hint="eastAsia"/>
                <w:color w:val="000000" w:themeColor="text1"/>
                <w:szCs w:val="21"/>
              </w:rPr>
              <w:t>0.36774</w:t>
            </w:r>
          </w:p>
        </w:tc>
        <w:tc>
          <w:tcPr>
            <w:tcW w:w="1483"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szCs w:val="21"/>
              </w:rPr>
            </w:pPr>
            <w:r>
              <w:rPr>
                <w:rFonts w:hint="eastAsia"/>
                <w:color w:val="000000" w:themeColor="text1"/>
                <w:szCs w:val="21"/>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75</w:t>
            </w:r>
          </w:p>
        </w:tc>
        <w:tc>
          <w:tcPr>
            <w:tcW w:w="156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2.36435</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0.53</w:t>
            </w:r>
          </w:p>
        </w:tc>
        <w:tc>
          <w:tcPr>
            <w:tcW w:w="184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0.35918</w:t>
            </w:r>
          </w:p>
        </w:tc>
        <w:tc>
          <w:tcPr>
            <w:tcW w:w="148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100</w:t>
            </w:r>
          </w:p>
        </w:tc>
        <w:tc>
          <w:tcPr>
            <w:tcW w:w="156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1.931476</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0.43</w:t>
            </w:r>
          </w:p>
        </w:tc>
        <w:tc>
          <w:tcPr>
            <w:tcW w:w="184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0.29342</w:t>
            </w:r>
          </w:p>
        </w:tc>
        <w:tc>
          <w:tcPr>
            <w:tcW w:w="148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200</w:t>
            </w:r>
          </w:p>
        </w:tc>
        <w:tc>
          <w:tcPr>
            <w:tcW w:w="156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0.773525</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0.17</w:t>
            </w:r>
          </w:p>
        </w:tc>
        <w:tc>
          <w:tcPr>
            <w:tcW w:w="184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0.11751</w:t>
            </w:r>
          </w:p>
        </w:tc>
        <w:tc>
          <w:tcPr>
            <w:tcW w:w="148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300</w:t>
            </w:r>
          </w:p>
        </w:tc>
        <w:tc>
          <w:tcPr>
            <w:tcW w:w="156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0.397868</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0.09</w:t>
            </w:r>
          </w:p>
        </w:tc>
        <w:tc>
          <w:tcPr>
            <w:tcW w:w="184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0.060442</w:t>
            </w:r>
          </w:p>
        </w:tc>
        <w:tc>
          <w:tcPr>
            <w:tcW w:w="148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400</w:t>
            </w:r>
          </w:p>
        </w:tc>
        <w:tc>
          <w:tcPr>
            <w:tcW w:w="156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0.24469</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0.05</w:t>
            </w:r>
          </w:p>
        </w:tc>
        <w:tc>
          <w:tcPr>
            <w:tcW w:w="184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0.037172</w:t>
            </w:r>
          </w:p>
        </w:tc>
        <w:tc>
          <w:tcPr>
            <w:tcW w:w="148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500</w:t>
            </w:r>
          </w:p>
        </w:tc>
        <w:tc>
          <w:tcPr>
            <w:tcW w:w="156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0.167679</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0.04</w:t>
            </w:r>
          </w:p>
        </w:tc>
        <w:tc>
          <w:tcPr>
            <w:tcW w:w="184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0.025473</w:t>
            </w:r>
          </w:p>
        </w:tc>
        <w:tc>
          <w:tcPr>
            <w:tcW w:w="148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600</w:t>
            </w:r>
          </w:p>
        </w:tc>
        <w:tc>
          <w:tcPr>
            <w:tcW w:w="156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0.123326</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0.03</w:t>
            </w:r>
          </w:p>
        </w:tc>
        <w:tc>
          <w:tcPr>
            <w:tcW w:w="184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0.018735</w:t>
            </w:r>
          </w:p>
        </w:tc>
        <w:tc>
          <w:tcPr>
            <w:tcW w:w="148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700</w:t>
            </w:r>
          </w:p>
        </w:tc>
        <w:tc>
          <w:tcPr>
            <w:tcW w:w="156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0.095297</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0.02</w:t>
            </w:r>
          </w:p>
        </w:tc>
        <w:tc>
          <w:tcPr>
            <w:tcW w:w="184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0.014477</w:t>
            </w:r>
          </w:p>
        </w:tc>
        <w:tc>
          <w:tcPr>
            <w:tcW w:w="148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800</w:t>
            </w:r>
          </w:p>
        </w:tc>
        <w:tc>
          <w:tcPr>
            <w:tcW w:w="156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0.076352</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0.02</w:t>
            </w:r>
          </w:p>
        </w:tc>
        <w:tc>
          <w:tcPr>
            <w:tcW w:w="184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0.011599</w:t>
            </w:r>
          </w:p>
        </w:tc>
        <w:tc>
          <w:tcPr>
            <w:tcW w:w="148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900</w:t>
            </w:r>
          </w:p>
        </w:tc>
        <w:tc>
          <w:tcPr>
            <w:tcW w:w="156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0.062888</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c>
          <w:tcPr>
            <w:tcW w:w="184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0.009554</w:t>
            </w:r>
          </w:p>
        </w:tc>
        <w:tc>
          <w:tcPr>
            <w:tcW w:w="148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1000</w:t>
            </w:r>
          </w:p>
        </w:tc>
        <w:tc>
          <w:tcPr>
            <w:tcW w:w="156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0.052936</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c>
          <w:tcPr>
            <w:tcW w:w="184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0.008042</w:t>
            </w:r>
          </w:p>
        </w:tc>
        <w:tc>
          <w:tcPr>
            <w:tcW w:w="148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1100</w:t>
            </w:r>
          </w:p>
        </w:tc>
        <w:tc>
          <w:tcPr>
            <w:tcW w:w="156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0.045346</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c>
          <w:tcPr>
            <w:tcW w:w="184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0.006889</w:t>
            </w:r>
          </w:p>
        </w:tc>
        <w:tc>
          <w:tcPr>
            <w:tcW w:w="148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1200</w:t>
            </w:r>
          </w:p>
        </w:tc>
        <w:tc>
          <w:tcPr>
            <w:tcW w:w="156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0.039406</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c>
          <w:tcPr>
            <w:tcW w:w="184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0.005986</w:t>
            </w:r>
          </w:p>
        </w:tc>
        <w:tc>
          <w:tcPr>
            <w:tcW w:w="148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1300</w:t>
            </w:r>
          </w:p>
        </w:tc>
        <w:tc>
          <w:tcPr>
            <w:tcW w:w="156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0.034658</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c>
          <w:tcPr>
            <w:tcW w:w="184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0.005265</w:t>
            </w:r>
          </w:p>
        </w:tc>
        <w:tc>
          <w:tcPr>
            <w:tcW w:w="148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1400</w:t>
            </w:r>
          </w:p>
        </w:tc>
        <w:tc>
          <w:tcPr>
            <w:tcW w:w="156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0.030794</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c>
          <w:tcPr>
            <w:tcW w:w="184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0.004678</w:t>
            </w:r>
          </w:p>
        </w:tc>
        <w:tc>
          <w:tcPr>
            <w:tcW w:w="148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1500</w:t>
            </w:r>
          </w:p>
        </w:tc>
        <w:tc>
          <w:tcPr>
            <w:tcW w:w="156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0.027599</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c>
          <w:tcPr>
            <w:tcW w:w="184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0.004193</w:t>
            </w:r>
          </w:p>
        </w:tc>
        <w:tc>
          <w:tcPr>
            <w:tcW w:w="148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1600</w:t>
            </w:r>
          </w:p>
        </w:tc>
        <w:tc>
          <w:tcPr>
            <w:tcW w:w="156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0.024924</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c>
          <w:tcPr>
            <w:tcW w:w="184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0.003786</w:t>
            </w:r>
          </w:p>
        </w:tc>
        <w:tc>
          <w:tcPr>
            <w:tcW w:w="148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color w:val="000000" w:themeColor="text1"/>
                <w:szCs w:val="21"/>
              </w:rPr>
            </w:pPr>
            <w:r>
              <w:rPr>
                <w:color w:val="000000" w:themeColor="text1"/>
                <w:szCs w:val="21"/>
              </w:rPr>
              <w:t>1644</w:t>
            </w:r>
          </w:p>
          <w:p>
            <w:pPr>
              <w:pStyle w:val="55"/>
              <w:rPr>
                <w:color w:val="000000" w:themeColor="text1"/>
                <w:szCs w:val="21"/>
              </w:rPr>
            </w:pPr>
            <w:r>
              <w:rPr>
                <w:color w:val="000000" w:themeColor="text1"/>
                <w:szCs w:val="21"/>
              </w:rPr>
              <w:t>（小舍克村）</w:t>
            </w:r>
          </w:p>
        </w:tc>
        <w:tc>
          <w:tcPr>
            <w:tcW w:w="1566"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szCs w:val="21"/>
              </w:rPr>
            </w:pPr>
            <w:r>
              <w:rPr>
                <w:rFonts w:hint="eastAsia"/>
                <w:color w:val="000000" w:themeColor="text1"/>
                <w:szCs w:val="21"/>
              </w:rPr>
              <w:t>0.023882</w:t>
            </w:r>
          </w:p>
        </w:tc>
        <w:tc>
          <w:tcPr>
            <w:tcW w:w="1559"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szCs w:val="21"/>
              </w:rPr>
            </w:pPr>
            <w:r>
              <w:rPr>
                <w:rFonts w:hint="eastAsia"/>
                <w:color w:val="000000" w:themeColor="text1"/>
                <w:szCs w:val="21"/>
              </w:rPr>
              <w:t>0.01</w:t>
            </w:r>
          </w:p>
        </w:tc>
        <w:tc>
          <w:tcPr>
            <w:tcW w:w="1843"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szCs w:val="21"/>
              </w:rPr>
            </w:pPr>
            <w:r>
              <w:rPr>
                <w:rFonts w:hint="eastAsia"/>
                <w:color w:val="000000" w:themeColor="text1"/>
                <w:szCs w:val="21"/>
              </w:rPr>
              <w:t>0.003628</w:t>
            </w:r>
          </w:p>
        </w:tc>
        <w:tc>
          <w:tcPr>
            <w:tcW w:w="1483"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szCs w:val="21"/>
              </w:rPr>
            </w:pPr>
            <w:r>
              <w:rPr>
                <w:rFonts w:hint="eastAsia"/>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1700</w:t>
            </w:r>
          </w:p>
        </w:tc>
        <w:tc>
          <w:tcPr>
            <w:tcW w:w="156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0.022657</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c>
          <w:tcPr>
            <w:tcW w:w="184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0.003442</w:t>
            </w:r>
          </w:p>
        </w:tc>
        <w:tc>
          <w:tcPr>
            <w:tcW w:w="148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1800</w:t>
            </w:r>
          </w:p>
        </w:tc>
        <w:tc>
          <w:tcPr>
            <w:tcW w:w="156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0.020717</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84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0.003147</w:t>
            </w:r>
          </w:p>
        </w:tc>
        <w:tc>
          <w:tcPr>
            <w:tcW w:w="148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1900</w:t>
            </w:r>
          </w:p>
        </w:tc>
        <w:tc>
          <w:tcPr>
            <w:tcW w:w="156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0.01904</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84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0.002893</w:t>
            </w:r>
          </w:p>
        </w:tc>
        <w:tc>
          <w:tcPr>
            <w:tcW w:w="148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2000</w:t>
            </w:r>
          </w:p>
        </w:tc>
        <w:tc>
          <w:tcPr>
            <w:tcW w:w="156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0.017581</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84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0.002671</w:t>
            </w:r>
          </w:p>
        </w:tc>
        <w:tc>
          <w:tcPr>
            <w:tcW w:w="148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2100</w:t>
            </w:r>
          </w:p>
        </w:tc>
        <w:tc>
          <w:tcPr>
            <w:tcW w:w="156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0.016301</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84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0.002476</w:t>
            </w:r>
          </w:p>
        </w:tc>
        <w:tc>
          <w:tcPr>
            <w:tcW w:w="148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2200</w:t>
            </w:r>
          </w:p>
        </w:tc>
        <w:tc>
          <w:tcPr>
            <w:tcW w:w="156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0.01517</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84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0.002305</w:t>
            </w:r>
          </w:p>
        </w:tc>
        <w:tc>
          <w:tcPr>
            <w:tcW w:w="148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2300</w:t>
            </w:r>
          </w:p>
        </w:tc>
        <w:tc>
          <w:tcPr>
            <w:tcW w:w="156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0.014166</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84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0.002152</w:t>
            </w:r>
          </w:p>
        </w:tc>
        <w:tc>
          <w:tcPr>
            <w:tcW w:w="148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2400</w:t>
            </w:r>
          </w:p>
        </w:tc>
        <w:tc>
          <w:tcPr>
            <w:tcW w:w="156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0.01327</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84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0.002016</w:t>
            </w:r>
          </w:p>
        </w:tc>
        <w:tc>
          <w:tcPr>
            <w:tcW w:w="148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2500</w:t>
            </w:r>
          </w:p>
        </w:tc>
        <w:tc>
          <w:tcPr>
            <w:tcW w:w="156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0.012465</w:t>
            </w:r>
          </w:p>
        </w:tc>
        <w:tc>
          <w:tcPr>
            <w:tcW w:w="155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84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0.001894</w:t>
            </w:r>
          </w:p>
        </w:tc>
        <w:tc>
          <w:tcPr>
            <w:tcW w:w="148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r>
    </w:tbl>
    <w:p>
      <w:pPr>
        <w:ind w:firstLine="480"/>
        <w:rPr>
          <w:rFonts w:cs="Times New Roman"/>
          <w:bCs/>
          <w:color w:val="000000" w:themeColor="text1"/>
        </w:rPr>
      </w:pPr>
      <w:r>
        <w:rPr>
          <w:rFonts w:cs="Times New Roman"/>
          <w:bCs/>
          <w:color w:val="000000" w:themeColor="text1"/>
        </w:rPr>
        <w:t>根据表6.1.2-</w:t>
      </w:r>
      <w:r>
        <w:rPr>
          <w:rFonts w:hint="eastAsia" w:cs="Times New Roman"/>
          <w:bCs/>
          <w:color w:val="000000" w:themeColor="text1"/>
        </w:rPr>
        <w:t>7</w:t>
      </w:r>
      <w:r>
        <w:rPr>
          <w:rFonts w:cs="Times New Roman"/>
          <w:bCs/>
          <w:color w:val="000000" w:themeColor="text1"/>
        </w:rPr>
        <w:t>的计算结果，非</w:t>
      </w:r>
      <w:r>
        <w:rPr>
          <w:rFonts w:cs="Times New Roman"/>
          <w:color w:val="000000" w:themeColor="text1"/>
          <w:szCs w:val="24"/>
        </w:rPr>
        <w:t>正常排放情况下，锅炉废气中的颗粒物</w:t>
      </w:r>
      <w:r>
        <w:rPr>
          <w:rFonts w:hint="eastAsia" w:cs="Times New Roman"/>
          <w:color w:val="000000" w:themeColor="text1"/>
          <w:szCs w:val="24"/>
        </w:rPr>
        <w:t>、SO</w:t>
      </w:r>
      <w:r>
        <w:rPr>
          <w:rFonts w:hint="eastAsia" w:cs="Times New Roman"/>
          <w:color w:val="000000" w:themeColor="text1"/>
          <w:szCs w:val="24"/>
          <w:vertAlign w:val="subscript"/>
        </w:rPr>
        <w:t>2</w:t>
      </w:r>
      <w:r>
        <w:rPr>
          <w:rFonts w:cs="Times New Roman"/>
          <w:color w:val="000000" w:themeColor="text1"/>
          <w:szCs w:val="24"/>
        </w:rPr>
        <w:t>未经处理直接外排</w:t>
      </w:r>
      <w:r>
        <w:rPr>
          <w:rFonts w:hint="eastAsia" w:cs="Times New Roman"/>
          <w:color w:val="000000" w:themeColor="text1"/>
          <w:szCs w:val="24"/>
        </w:rPr>
        <w:t>，</w:t>
      </w:r>
      <w:r>
        <w:rPr>
          <w:rFonts w:cs="Times New Roman"/>
          <w:color w:val="000000" w:themeColor="text1"/>
          <w:szCs w:val="24"/>
        </w:rPr>
        <w:t>颗粒物排放源最大</w:t>
      </w:r>
      <w:r>
        <w:rPr>
          <w:color w:val="000000" w:themeColor="text1"/>
        </w:rPr>
        <w:t>落地浓度值为</w:t>
      </w:r>
      <w:r>
        <w:rPr>
          <w:rFonts w:hint="eastAsia"/>
          <w:color w:val="000000" w:themeColor="text1"/>
        </w:rPr>
        <w:t>2.420697</w:t>
      </w:r>
      <w:r>
        <w:rPr>
          <w:color w:val="000000" w:themeColor="text1"/>
        </w:rPr>
        <w:t>mg/m</w:t>
      </w:r>
      <w:r>
        <w:rPr>
          <w:color w:val="000000" w:themeColor="text1"/>
          <w:vertAlign w:val="superscript"/>
        </w:rPr>
        <w:t>3</w:t>
      </w:r>
      <w:r>
        <w:rPr>
          <w:color w:val="000000" w:themeColor="text1"/>
        </w:rPr>
        <w:t>，最大浓度占标率增长至</w:t>
      </w:r>
      <w:r>
        <w:rPr>
          <w:rFonts w:hint="eastAsia"/>
          <w:color w:val="000000" w:themeColor="text1"/>
        </w:rPr>
        <w:t>0.54</w:t>
      </w:r>
      <w:r>
        <w:rPr>
          <w:color w:val="000000" w:themeColor="text1"/>
        </w:rPr>
        <w:t>%，最大落地浓度依然满</w:t>
      </w:r>
      <w:r>
        <w:rPr>
          <w:rFonts w:cs="Times New Roman"/>
          <w:bCs/>
          <w:color w:val="000000" w:themeColor="text1"/>
        </w:rPr>
        <w:t>足</w:t>
      </w:r>
      <w:r>
        <w:rPr>
          <w:rFonts w:cs="Times New Roman"/>
          <w:bCs/>
          <w:snapToGrid w:val="0"/>
          <w:color w:val="000000" w:themeColor="text1"/>
        </w:rPr>
        <w:t>《环境空气质量标准》（GB3095-2012）二级标准</w:t>
      </w:r>
      <w:r>
        <w:rPr>
          <w:rFonts w:cs="Times New Roman"/>
          <w:color w:val="000000" w:themeColor="text1"/>
        </w:rPr>
        <w:t>中</w:t>
      </w:r>
      <w:r>
        <w:rPr>
          <w:rFonts w:hint="eastAsia"/>
          <w:color w:val="000000" w:themeColor="text1"/>
        </w:rPr>
        <w:t>PM</w:t>
      </w:r>
      <w:r>
        <w:rPr>
          <w:rFonts w:hint="eastAsia"/>
          <w:color w:val="000000" w:themeColor="text1"/>
          <w:vertAlign w:val="subscript"/>
        </w:rPr>
        <w:t>10</w:t>
      </w:r>
      <w:r>
        <w:rPr>
          <w:rFonts w:hint="eastAsia"/>
          <w:color w:val="000000" w:themeColor="text1"/>
        </w:rPr>
        <w:t>＜45</w:t>
      </w:r>
      <w:r>
        <w:rPr>
          <w:color w:val="000000" w:themeColor="text1"/>
        </w:rPr>
        <w:t>0</w:t>
      </w:r>
      <w:r>
        <w:rPr>
          <w:rFonts w:cs="Times New Roman"/>
          <w:color w:val="000000" w:themeColor="text1"/>
        </w:rPr>
        <w:t>μg/m</w:t>
      </w:r>
      <w:r>
        <w:rPr>
          <w:rFonts w:cs="Times New Roman"/>
          <w:color w:val="000000" w:themeColor="text1"/>
          <w:vertAlign w:val="superscript"/>
        </w:rPr>
        <w:t>3</w:t>
      </w:r>
      <w:r>
        <w:rPr>
          <w:rFonts w:cs="Times New Roman"/>
          <w:color w:val="000000" w:themeColor="text1"/>
        </w:rPr>
        <w:t>的要求</w:t>
      </w:r>
      <w:r>
        <w:rPr>
          <w:rFonts w:hint="eastAsia" w:cs="Times New Roman"/>
          <w:color w:val="000000" w:themeColor="text1"/>
        </w:rPr>
        <w:t>；</w:t>
      </w:r>
      <w:r>
        <w:rPr>
          <w:rFonts w:cs="Times New Roman"/>
          <w:color w:val="000000" w:themeColor="text1"/>
          <w:szCs w:val="24"/>
        </w:rPr>
        <w:t>SO</w:t>
      </w:r>
      <w:r>
        <w:rPr>
          <w:rFonts w:cs="Times New Roman"/>
          <w:color w:val="000000" w:themeColor="text1"/>
          <w:szCs w:val="24"/>
          <w:vertAlign w:val="subscript"/>
        </w:rPr>
        <w:t>2</w:t>
      </w:r>
      <w:r>
        <w:rPr>
          <w:rFonts w:cs="Times New Roman"/>
          <w:color w:val="000000" w:themeColor="text1"/>
          <w:szCs w:val="24"/>
        </w:rPr>
        <w:t>排放源最大落地浓度值为</w:t>
      </w:r>
      <w:r>
        <w:rPr>
          <w:rFonts w:hint="eastAsia" w:cs="Times New Roman"/>
          <w:color w:val="000000" w:themeColor="text1"/>
          <w:szCs w:val="24"/>
        </w:rPr>
        <w:t>0.36774</w:t>
      </w:r>
      <w:r>
        <w:rPr>
          <w:rFonts w:cs="Times New Roman"/>
          <w:color w:val="000000" w:themeColor="text1"/>
          <w:szCs w:val="24"/>
        </w:rPr>
        <w:t>mg/m</w:t>
      </w:r>
      <w:r>
        <w:rPr>
          <w:rFonts w:cs="Times New Roman"/>
          <w:color w:val="000000" w:themeColor="text1"/>
          <w:szCs w:val="24"/>
          <w:vertAlign w:val="superscript"/>
        </w:rPr>
        <w:t>3</w:t>
      </w:r>
      <w:r>
        <w:rPr>
          <w:rFonts w:cs="Times New Roman"/>
          <w:color w:val="000000" w:themeColor="text1"/>
          <w:szCs w:val="24"/>
        </w:rPr>
        <w:t>，最大浓度占标率为</w:t>
      </w:r>
      <w:r>
        <w:rPr>
          <w:rFonts w:hint="eastAsia" w:cs="Times New Roman"/>
          <w:color w:val="000000" w:themeColor="text1"/>
          <w:szCs w:val="24"/>
        </w:rPr>
        <w:t>0.07</w:t>
      </w:r>
      <w:r>
        <w:rPr>
          <w:rFonts w:cs="Times New Roman"/>
          <w:color w:val="000000" w:themeColor="text1"/>
          <w:szCs w:val="24"/>
        </w:rPr>
        <w:t>%，依然</w:t>
      </w:r>
      <w:r>
        <w:rPr>
          <w:rFonts w:cs="Times New Roman"/>
          <w:bCs/>
          <w:color w:val="000000" w:themeColor="text1"/>
        </w:rPr>
        <w:t>满足</w:t>
      </w:r>
      <w:r>
        <w:rPr>
          <w:rFonts w:cs="Times New Roman"/>
          <w:bCs/>
          <w:snapToGrid w:val="0"/>
          <w:color w:val="000000" w:themeColor="text1"/>
        </w:rPr>
        <w:t>《环境空气质量标准》（GB3095-2012）二级标准</w:t>
      </w:r>
      <w:r>
        <w:rPr>
          <w:rFonts w:cs="Times New Roman"/>
          <w:color w:val="000000" w:themeColor="text1"/>
        </w:rPr>
        <w:t>中</w:t>
      </w:r>
      <w:r>
        <w:rPr>
          <w:rFonts w:cs="Times New Roman"/>
          <w:bCs/>
          <w:color w:val="000000" w:themeColor="text1"/>
        </w:rPr>
        <w:t>SO</w:t>
      </w:r>
      <w:r>
        <w:rPr>
          <w:rFonts w:cs="Times New Roman"/>
          <w:bCs/>
          <w:color w:val="000000" w:themeColor="text1"/>
          <w:vertAlign w:val="subscript"/>
        </w:rPr>
        <w:t>2</w:t>
      </w:r>
      <w:r>
        <w:rPr>
          <w:rFonts w:cs="Times New Roman"/>
          <w:color w:val="000000" w:themeColor="text1"/>
        </w:rPr>
        <w:t>＜500μg/m</w:t>
      </w:r>
      <w:r>
        <w:rPr>
          <w:rFonts w:cs="Times New Roman"/>
          <w:color w:val="000000" w:themeColor="text1"/>
          <w:vertAlign w:val="superscript"/>
        </w:rPr>
        <w:t>3</w:t>
      </w:r>
      <w:r>
        <w:rPr>
          <w:rFonts w:cs="Times New Roman"/>
          <w:color w:val="000000" w:themeColor="text1"/>
        </w:rPr>
        <w:t>的要求</w:t>
      </w:r>
      <w:r>
        <w:rPr>
          <w:rFonts w:hint="eastAsia" w:cs="Times New Roman"/>
          <w:color w:val="000000" w:themeColor="text1"/>
        </w:rPr>
        <w:t>；</w:t>
      </w:r>
      <w:r>
        <w:rPr>
          <w:rFonts w:cs="Times New Roman"/>
          <w:color w:val="000000" w:themeColor="text1"/>
          <w:szCs w:val="24"/>
        </w:rPr>
        <w:t>污染物最大地面浓度均出现在污染源下风向</w:t>
      </w:r>
      <w:r>
        <w:rPr>
          <w:rFonts w:hint="eastAsia" w:cs="Times New Roman"/>
          <w:color w:val="000000" w:themeColor="text1"/>
          <w:szCs w:val="24"/>
        </w:rPr>
        <w:t>63m处</w:t>
      </w:r>
      <w:r>
        <w:rPr>
          <w:rFonts w:cs="Times New Roman"/>
          <w:color w:val="000000" w:themeColor="text1"/>
        </w:rPr>
        <w:t>，且</w:t>
      </w:r>
      <w:r>
        <w:rPr>
          <w:rFonts w:cs="Times New Roman"/>
          <w:bCs/>
          <w:color w:val="000000" w:themeColor="text1"/>
        </w:rPr>
        <w:t>两种污染物的最大地面浓度占标率P</w:t>
      </w:r>
      <w:r>
        <w:rPr>
          <w:rFonts w:cs="Times New Roman"/>
          <w:bCs/>
          <w:color w:val="000000" w:themeColor="text1"/>
          <w:vertAlign w:val="subscript"/>
        </w:rPr>
        <w:t>max</w:t>
      </w:r>
      <w:r>
        <w:rPr>
          <w:rFonts w:cs="Times New Roman"/>
          <w:bCs/>
          <w:color w:val="000000" w:themeColor="text1"/>
        </w:rPr>
        <w:t>=Max（P</w:t>
      </w:r>
      <w:r>
        <w:rPr>
          <w:rFonts w:hint="eastAsia"/>
          <w:color w:val="000000" w:themeColor="text1"/>
          <w:vertAlign w:val="subscript"/>
        </w:rPr>
        <w:t>PM10</w:t>
      </w:r>
      <w:r>
        <w:rPr>
          <w:rFonts w:cs="Times New Roman"/>
          <w:bCs/>
          <w:color w:val="000000" w:themeColor="text1"/>
        </w:rPr>
        <w:t>，P</w:t>
      </w:r>
      <w:r>
        <w:rPr>
          <w:rFonts w:cs="Times New Roman"/>
          <w:bCs/>
          <w:color w:val="000000" w:themeColor="text1"/>
          <w:vertAlign w:val="subscript"/>
        </w:rPr>
        <w:t>SO2</w:t>
      </w:r>
      <w:r>
        <w:rPr>
          <w:rFonts w:cs="Times New Roman"/>
          <w:bCs/>
          <w:color w:val="000000" w:themeColor="text1"/>
        </w:rPr>
        <w:t>）=</w:t>
      </w:r>
      <w:r>
        <w:rPr>
          <w:rFonts w:hint="eastAsia" w:cs="Times New Roman"/>
          <w:bCs/>
          <w:color w:val="000000" w:themeColor="text1"/>
        </w:rPr>
        <w:t>0.54</w:t>
      </w:r>
      <w:r>
        <w:rPr>
          <w:rFonts w:cs="Times New Roman"/>
          <w:bCs/>
          <w:color w:val="000000" w:themeColor="text1"/>
        </w:rPr>
        <w:t>%，</w:t>
      </w:r>
      <w:r>
        <w:rPr>
          <w:rFonts w:cs="Times New Roman"/>
          <w:color w:val="000000" w:themeColor="text1"/>
          <w:lang w:val="en-GB"/>
        </w:rPr>
        <w:t>占标率小，但非正常排放情况下，</w:t>
      </w:r>
      <w:r>
        <w:rPr>
          <w:rFonts w:cs="Times New Roman"/>
          <w:color w:val="000000" w:themeColor="text1"/>
        </w:rPr>
        <w:t>颗粒物</w:t>
      </w:r>
      <w:r>
        <w:rPr>
          <w:rFonts w:hint="eastAsia" w:cs="Times New Roman"/>
          <w:color w:val="000000" w:themeColor="text1"/>
        </w:rPr>
        <w:t>、SO</w:t>
      </w:r>
      <w:r>
        <w:rPr>
          <w:rFonts w:hint="eastAsia" w:cs="Times New Roman"/>
          <w:color w:val="000000" w:themeColor="text1"/>
          <w:vertAlign w:val="subscript"/>
        </w:rPr>
        <w:t>2</w:t>
      </w:r>
      <w:r>
        <w:rPr>
          <w:rFonts w:cs="Times New Roman"/>
          <w:color w:val="000000" w:themeColor="text1"/>
        </w:rPr>
        <w:t>的落地浓度相对正常排放情况下增加较多，</w:t>
      </w:r>
      <w:r>
        <w:rPr>
          <w:rFonts w:cs="Times New Roman"/>
          <w:color w:val="000000" w:themeColor="text1"/>
          <w:lang w:val="en-GB"/>
        </w:rPr>
        <w:t>若使锅炉烟气长期直接排入大气环境中，会对周边环境敏感点有较大影响，因此必须采取相应措施保障正常排放</w:t>
      </w:r>
      <w:r>
        <w:rPr>
          <w:rFonts w:cs="Times New Roman"/>
          <w:bCs/>
          <w:color w:val="000000" w:themeColor="text1"/>
        </w:rPr>
        <w:t>。</w:t>
      </w:r>
    </w:p>
    <w:p>
      <w:pPr>
        <w:ind w:firstLine="482"/>
        <w:rPr>
          <w:b/>
          <w:color w:val="000000" w:themeColor="text1"/>
        </w:rPr>
      </w:pPr>
      <w:r>
        <w:rPr>
          <w:rFonts w:hint="eastAsia"/>
          <w:b/>
          <w:color w:val="000000" w:themeColor="text1"/>
        </w:rPr>
        <w:t>3、锅炉废气非正常排放防治措施</w:t>
      </w:r>
    </w:p>
    <w:p>
      <w:pPr>
        <w:ind w:firstLine="480"/>
        <w:rPr>
          <w:color w:val="000000" w:themeColor="text1"/>
        </w:rPr>
      </w:pPr>
      <w:r>
        <w:rPr>
          <w:rFonts w:hint="eastAsia" w:ascii="宋体" w:hAnsi="宋体" w:cs="宋体"/>
          <w:color w:val="000000" w:themeColor="text1"/>
        </w:rPr>
        <w:t>①</w:t>
      </w:r>
      <w:r>
        <w:rPr>
          <w:rFonts w:hint="eastAsia"/>
          <w:color w:val="000000" w:themeColor="text1"/>
        </w:rPr>
        <w:t>锅炉废气经配套建设的</w:t>
      </w:r>
      <w:r>
        <w:rPr>
          <w:rFonts w:hint="eastAsia"/>
          <w:bCs/>
          <w:color w:val="000000" w:themeColor="text1"/>
        </w:rPr>
        <w:t>水膜除尘系统</w:t>
      </w:r>
      <w:r>
        <w:rPr>
          <w:rFonts w:hint="eastAsia"/>
          <w:color w:val="000000" w:themeColor="text1"/>
        </w:rPr>
        <w:t>处理后经</w:t>
      </w:r>
      <w:r>
        <w:rPr>
          <w:color w:val="000000" w:themeColor="text1"/>
        </w:rPr>
        <w:t>15m</w:t>
      </w:r>
      <w:r>
        <w:rPr>
          <w:rFonts w:hint="eastAsia"/>
          <w:color w:val="000000" w:themeColor="text1"/>
        </w:rPr>
        <w:t>高排气筒排出；</w:t>
      </w:r>
    </w:p>
    <w:p>
      <w:pPr>
        <w:ind w:firstLine="480"/>
        <w:rPr>
          <w:color w:val="000000" w:themeColor="text1"/>
        </w:rPr>
      </w:pPr>
      <w:r>
        <w:rPr>
          <w:rFonts w:hint="eastAsia" w:ascii="宋体" w:hAnsi="宋体" w:cs="宋体"/>
          <w:color w:val="000000" w:themeColor="text1"/>
        </w:rPr>
        <w:t>②</w:t>
      </w:r>
      <w:r>
        <w:rPr>
          <w:rFonts w:hint="eastAsia"/>
          <w:color w:val="000000" w:themeColor="text1"/>
        </w:rPr>
        <w:t>环评要求建设单位重视环保设施的维护，加强</w:t>
      </w:r>
      <w:r>
        <w:rPr>
          <w:rFonts w:hint="eastAsia"/>
          <w:bCs/>
          <w:color w:val="000000" w:themeColor="text1"/>
        </w:rPr>
        <w:t>水膜除尘系统</w:t>
      </w:r>
      <w:r>
        <w:rPr>
          <w:rFonts w:hint="eastAsia"/>
          <w:color w:val="000000" w:themeColor="text1"/>
        </w:rPr>
        <w:t>的日常维护管理，若发生非正常排放时，应及时排除故障隐患，待设备维修完善后，确保</w:t>
      </w:r>
      <w:r>
        <w:rPr>
          <w:rFonts w:hint="eastAsia"/>
          <w:bCs/>
          <w:color w:val="000000" w:themeColor="text1"/>
        </w:rPr>
        <w:t>水膜除尘系统</w:t>
      </w:r>
      <w:r>
        <w:rPr>
          <w:rFonts w:hint="eastAsia"/>
          <w:color w:val="000000" w:themeColor="text1"/>
        </w:rPr>
        <w:t>的正常运行（达标排放），杜绝发生事故排放；</w:t>
      </w:r>
    </w:p>
    <w:p>
      <w:pPr>
        <w:ind w:firstLine="480"/>
        <w:rPr>
          <w:bCs/>
          <w:color w:val="000000" w:themeColor="text1"/>
        </w:rPr>
      </w:pPr>
      <w:r>
        <w:rPr>
          <w:rFonts w:hint="eastAsia" w:ascii="宋体" w:hAnsi="宋体" w:cs="宋体"/>
          <w:color w:val="000000" w:themeColor="text1"/>
        </w:rPr>
        <w:t>③</w:t>
      </w:r>
      <w:r>
        <w:rPr>
          <w:rFonts w:hint="eastAsia"/>
          <w:bCs/>
          <w:color w:val="000000" w:themeColor="text1"/>
        </w:rPr>
        <w:t>水膜除尘系统涉及的除尘器、收集管等需配备两套，一备一用；</w:t>
      </w:r>
    </w:p>
    <w:p>
      <w:pPr>
        <w:ind w:firstLine="480"/>
        <w:rPr>
          <w:color w:val="000000" w:themeColor="text1"/>
        </w:rPr>
      </w:pPr>
      <w:r>
        <w:rPr>
          <w:rFonts w:hint="eastAsia" w:ascii="宋体" w:hAnsi="宋体" w:cs="宋体"/>
          <w:color w:val="000000" w:themeColor="text1"/>
        </w:rPr>
        <w:t>④</w:t>
      </w:r>
      <w:r>
        <w:rPr>
          <w:rFonts w:hint="eastAsia"/>
          <w:color w:val="000000" w:themeColor="text1"/>
        </w:rPr>
        <w:t>排气筒排气口处应设置监测孔，定期进行年度监测，保证达标排放</w:t>
      </w:r>
      <w:r>
        <w:rPr>
          <w:rFonts w:hint="eastAsia"/>
          <w:bCs/>
          <w:color w:val="000000" w:themeColor="text1"/>
        </w:rPr>
        <w:t>。</w:t>
      </w:r>
    </w:p>
    <w:p>
      <w:pPr>
        <w:pStyle w:val="57"/>
        <w:ind w:firstLine="482"/>
        <w:rPr>
          <w:color w:val="000000" w:themeColor="text1"/>
        </w:rPr>
      </w:pPr>
      <w:r>
        <w:rPr>
          <w:rFonts w:hint="eastAsia"/>
          <w:color w:val="000000" w:themeColor="text1"/>
        </w:rPr>
        <w:t>6.1.2.3运营期焚烧炉烟气环境影响分析及评价</w:t>
      </w:r>
      <w:bookmarkEnd w:id="191"/>
    </w:p>
    <w:p>
      <w:pPr>
        <w:ind w:firstLine="480"/>
        <w:rPr>
          <w:b/>
          <w:color w:val="000000" w:themeColor="text1"/>
        </w:rPr>
      </w:pPr>
      <w:r>
        <w:rPr>
          <w:rFonts w:hint="eastAsia"/>
          <w:color w:val="000000" w:themeColor="text1"/>
        </w:rPr>
        <w:t>本屠宰场生产过程中产生的病死猪（鸡）尸体、不合格产品、碎骨肉等废物采用一体化无害化焚烧炉处理。焚烧炉会产生焚烧尾气，</w:t>
      </w:r>
      <w:r>
        <w:rPr>
          <w:rFonts w:hint="eastAsia"/>
          <w:color w:val="000000" w:themeColor="text1"/>
          <w:szCs w:val="24"/>
        </w:rPr>
        <w:t>主要成分为颗粒物、</w:t>
      </w:r>
      <w:r>
        <w:rPr>
          <w:color w:val="000000" w:themeColor="text1"/>
          <w:szCs w:val="24"/>
        </w:rPr>
        <w:t>SO</w:t>
      </w:r>
      <w:r>
        <w:rPr>
          <w:color w:val="000000" w:themeColor="text1"/>
          <w:szCs w:val="24"/>
          <w:vertAlign w:val="subscript"/>
        </w:rPr>
        <w:t>2</w:t>
      </w:r>
      <w:r>
        <w:rPr>
          <w:rFonts w:hint="eastAsia"/>
          <w:color w:val="000000" w:themeColor="text1"/>
          <w:szCs w:val="24"/>
        </w:rPr>
        <w:t>、氮氧化物，该废气经过布袋除尘器处理后经一根25m高的排气筒排放。根据工程分析可知，本项目焚烧炉尾气颗粒物的排放浓度为7.65</w:t>
      </w:r>
      <w:r>
        <w:rPr>
          <w:color w:val="000000" w:themeColor="text1"/>
        </w:rPr>
        <w:t>mg/m</w:t>
      </w:r>
      <w:r>
        <w:rPr>
          <w:color w:val="000000" w:themeColor="text1"/>
          <w:vertAlign w:val="superscript"/>
        </w:rPr>
        <w:t>3</w:t>
      </w:r>
      <w:r>
        <w:rPr>
          <w:rFonts w:hint="eastAsia"/>
          <w:color w:val="000000" w:themeColor="text1"/>
          <w:szCs w:val="24"/>
        </w:rPr>
        <w:t>，SO</w:t>
      </w:r>
      <w:r>
        <w:rPr>
          <w:rFonts w:hint="eastAsia"/>
          <w:color w:val="000000" w:themeColor="text1"/>
          <w:szCs w:val="24"/>
          <w:vertAlign w:val="subscript"/>
        </w:rPr>
        <w:t>2</w:t>
      </w:r>
      <w:r>
        <w:rPr>
          <w:rFonts w:hint="eastAsia"/>
          <w:color w:val="000000" w:themeColor="text1"/>
          <w:szCs w:val="24"/>
        </w:rPr>
        <w:t>的排放浓度为7.78</w:t>
      </w:r>
      <w:r>
        <w:rPr>
          <w:color w:val="000000" w:themeColor="text1"/>
        </w:rPr>
        <w:t>mg/m</w:t>
      </w:r>
      <w:r>
        <w:rPr>
          <w:color w:val="000000" w:themeColor="text1"/>
          <w:vertAlign w:val="superscript"/>
        </w:rPr>
        <w:t>3</w:t>
      </w:r>
      <w:r>
        <w:rPr>
          <w:rFonts w:hint="eastAsia"/>
          <w:color w:val="000000" w:themeColor="text1"/>
          <w:szCs w:val="24"/>
        </w:rPr>
        <w:t>，NOx的排放浓度为251.67</w:t>
      </w:r>
      <w:r>
        <w:rPr>
          <w:color w:val="000000" w:themeColor="text1"/>
        </w:rPr>
        <w:t>mg/m</w:t>
      </w:r>
      <w:r>
        <w:rPr>
          <w:color w:val="000000" w:themeColor="text1"/>
          <w:vertAlign w:val="superscript"/>
        </w:rPr>
        <w:t>3</w:t>
      </w:r>
      <w:r>
        <w:rPr>
          <w:rFonts w:hint="eastAsia"/>
          <w:color w:val="000000" w:themeColor="text1"/>
          <w:szCs w:val="24"/>
        </w:rPr>
        <w:t>，焚烧炉尾气</w:t>
      </w:r>
      <w:r>
        <w:rPr>
          <w:rFonts w:hint="eastAsia"/>
          <w:color w:val="000000" w:themeColor="text1"/>
        </w:rPr>
        <w:t>各污染物排放浓度均满足《危险废物焚烧污染控制标准》（GB18484-2001）表 3 中标准限值要求，</w:t>
      </w:r>
      <w:r>
        <w:rPr>
          <w:rFonts w:hint="eastAsia" w:hAnsi="宋体"/>
          <w:color w:val="000000" w:themeColor="text1"/>
        </w:rPr>
        <w:t>（即：颗粒物</w:t>
      </w:r>
      <w:r>
        <w:rPr>
          <w:rFonts w:hint="eastAsia"/>
          <w:color w:val="000000" w:themeColor="text1"/>
        </w:rPr>
        <w:t>100</w:t>
      </w:r>
      <w:r>
        <w:rPr>
          <w:color w:val="000000" w:themeColor="text1"/>
        </w:rPr>
        <w:t>mg/m³</w:t>
      </w:r>
      <w:r>
        <w:rPr>
          <w:rFonts w:hint="eastAsia" w:hAnsi="宋体"/>
          <w:color w:val="000000" w:themeColor="text1"/>
        </w:rPr>
        <w:t>，</w:t>
      </w:r>
      <w:r>
        <w:rPr>
          <w:color w:val="000000" w:themeColor="text1"/>
        </w:rPr>
        <w:t>SO</w:t>
      </w:r>
      <w:r>
        <w:rPr>
          <w:color w:val="000000" w:themeColor="text1"/>
          <w:vertAlign w:val="subscript"/>
        </w:rPr>
        <w:t>2</w:t>
      </w:r>
      <w:r>
        <w:rPr>
          <w:rFonts w:hint="eastAsia"/>
          <w:color w:val="000000" w:themeColor="text1"/>
        </w:rPr>
        <w:t>40</w:t>
      </w:r>
      <w:r>
        <w:rPr>
          <w:color w:val="000000" w:themeColor="text1"/>
        </w:rPr>
        <w:t>0mg/m³</w:t>
      </w:r>
      <w:r>
        <w:rPr>
          <w:rFonts w:hint="eastAsia" w:hAnsi="宋体"/>
          <w:color w:val="000000" w:themeColor="text1"/>
        </w:rPr>
        <w:t>，</w:t>
      </w:r>
      <w:r>
        <w:rPr>
          <w:color w:val="000000" w:themeColor="text1"/>
        </w:rPr>
        <w:t>NO</w:t>
      </w:r>
      <w:r>
        <w:rPr>
          <w:color w:val="000000" w:themeColor="text1"/>
          <w:vertAlign w:val="subscript"/>
        </w:rPr>
        <w:t>x</w:t>
      </w:r>
      <w:r>
        <w:rPr>
          <w:rFonts w:hint="eastAsia"/>
          <w:color w:val="000000" w:themeColor="text1"/>
        </w:rPr>
        <w:t>5</w:t>
      </w:r>
      <w:r>
        <w:rPr>
          <w:color w:val="000000" w:themeColor="text1"/>
        </w:rPr>
        <w:t>00mg/m³</w:t>
      </w:r>
      <w:r>
        <w:rPr>
          <w:rFonts w:hint="eastAsia" w:hAnsi="宋体"/>
          <w:color w:val="000000" w:themeColor="text1"/>
        </w:rPr>
        <w:t>）。正常情况下焚烧炉尾气中烟尘、</w:t>
      </w:r>
      <w:r>
        <w:rPr>
          <w:bCs/>
          <w:color w:val="000000" w:themeColor="text1"/>
        </w:rPr>
        <w:t>SO</w:t>
      </w:r>
      <w:r>
        <w:rPr>
          <w:bCs/>
          <w:color w:val="000000" w:themeColor="text1"/>
          <w:vertAlign w:val="subscript"/>
        </w:rPr>
        <w:t>2</w:t>
      </w:r>
      <w:r>
        <w:rPr>
          <w:rFonts w:hint="eastAsia" w:hAnsi="宋体"/>
          <w:bCs/>
          <w:color w:val="000000" w:themeColor="text1"/>
        </w:rPr>
        <w:t>、氮氧化物完全可达标排放。</w:t>
      </w:r>
    </w:p>
    <w:p>
      <w:pPr>
        <w:ind w:firstLine="482"/>
        <w:rPr>
          <w:b/>
          <w:color w:val="000000" w:themeColor="text1"/>
        </w:rPr>
      </w:pPr>
      <w:r>
        <w:rPr>
          <w:rFonts w:hint="eastAsia"/>
          <w:b/>
          <w:color w:val="000000" w:themeColor="text1"/>
        </w:rPr>
        <w:t>1、污染源排放参数</w:t>
      </w:r>
    </w:p>
    <w:p>
      <w:pPr>
        <w:ind w:firstLine="480"/>
        <w:rPr>
          <w:color w:val="000000" w:themeColor="text1"/>
        </w:rPr>
      </w:pPr>
      <w:r>
        <w:rPr>
          <w:rFonts w:hint="eastAsia"/>
          <w:color w:val="000000" w:themeColor="text1"/>
          <w:szCs w:val="24"/>
        </w:rPr>
        <w:t>本项目焚烧炉产生</w:t>
      </w:r>
      <w:r>
        <w:rPr>
          <w:rFonts w:hint="eastAsia"/>
          <w:color w:val="000000" w:themeColor="text1"/>
        </w:rPr>
        <w:t>污染物排放参数见表6.1.2-8。</w:t>
      </w:r>
    </w:p>
    <w:p>
      <w:pPr>
        <w:pStyle w:val="54"/>
        <w:rPr>
          <w:color w:val="000000" w:themeColor="text1"/>
        </w:rPr>
      </w:pPr>
      <w:r>
        <w:rPr>
          <w:rFonts w:hint="eastAsia"/>
          <w:color w:val="000000" w:themeColor="text1"/>
        </w:rPr>
        <w:t>表6.1.2-8</w:t>
      </w:r>
      <w:r>
        <w:rPr>
          <w:color w:val="000000" w:themeColor="text1"/>
        </w:rPr>
        <w:t xml:space="preserve"> </w:t>
      </w:r>
      <w:r>
        <w:rPr>
          <w:rFonts w:hint="eastAsia"/>
          <w:color w:val="000000" w:themeColor="text1"/>
        </w:rPr>
        <w:t xml:space="preserve"> 项目焚烧炉废气污染物排放参数一览表</w:t>
      </w:r>
    </w:p>
    <w:tbl>
      <w:tblPr>
        <w:tblStyle w:val="42"/>
        <w:tblW w:w="9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830"/>
        <w:gridCol w:w="819"/>
        <w:gridCol w:w="858"/>
        <w:gridCol w:w="709"/>
        <w:gridCol w:w="708"/>
        <w:gridCol w:w="709"/>
        <w:gridCol w:w="709"/>
        <w:gridCol w:w="709"/>
        <w:gridCol w:w="708"/>
        <w:gridCol w:w="910"/>
        <w:gridCol w:w="851"/>
        <w:gridCol w:w="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550"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名称</w:t>
            </w:r>
          </w:p>
        </w:tc>
        <w:tc>
          <w:tcPr>
            <w:tcW w:w="1649"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排气筒底部中心坐标</w:t>
            </w:r>
          </w:p>
        </w:tc>
        <w:tc>
          <w:tcPr>
            <w:tcW w:w="858"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排气筒底部海拔高度</w:t>
            </w:r>
            <w:r>
              <w:rPr>
                <w:color w:val="000000" w:themeColor="text1"/>
              </w:rPr>
              <w:t>/m</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排气筒高度</w:t>
            </w:r>
            <w:r>
              <w:rPr>
                <w:color w:val="000000" w:themeColor="text1"/>
              </w:rPr>
              <w:t>/m</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排气筒出口内径</w:t>
            </w:r>
            <w:r>
              <w:rPr>
                <w:color w:val="000000" w:themeColor="text1"/>
              </w:rPr>
              <w:t>/m</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烟气流速</w:t>
            </w:r>
            <w:r>
              <w:rPr>
                <w:color w:val="000000" w:themeColor="text1"/>
              </w:rPr>
              <w:t>/</w:t>
            </w:r>
            <w:r>
              <w:rPr>
                <w:rFonts w:hint="eastAsia"/>
                <w:color w:val="000000" w:themeColor="text1"/>
              </w:rPr>
              <w:t>（</w:t>
            </w:r>
            <w:r>
              <w:rPr>
                <w:color w:val="000000" w:themeColor="text1"/>
              </w:rPr>
              <w:t>m/s</w:t>
            </w:r>
            <w:r>
              <w:rPr>
                <w:rFonts w:hint="eastAsia"/>
                <w:color w:val="000000" w:themeColor="text1"/>
              </w:rPr>
              <w:t>）</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烟气温度</w:t>
            </w:r>
            <w:r>
              <w:rPr>
                <w:color w:val="000000" w:themeColor="text1"/>
              </w:rPr>
              <w:t>/℃</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年排放小时数</w:t>
            </w:r>
            <w:r>
              <w:rPr>
                <w:color w:val="000000" w:themeColor="text1"/>
              </w:rPr>
              <w:t>/h</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排放工况</w:t>
            </w:r>
          </w:p>
        </w:tc>
        <w:tc>
          <w:tcPr>
            <w:tcW w:w="2408"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污染物排放速率</w:t>
            </w:r>
            <w:r>
              <w:rPr>
                <w:color w:val="000000" w:themeColor="text1"/>
              </w:rPr>
              <w:t>/</w:t>
            </w:r>
            <w:r>
              <w:rPr>
                <w:rFonts w:hint="eastAsia"/>
                <w:color w:val="000000" w:themeColor="text1"/>
              </w:rPr>
              <w:t>（</w:t>
            </w:r>
            <w:r>
              <w:rPr>
                <w:rFonts w:cs="Times New Roman"/>
                <w:color w:val="000000" w:themeColor="text1"/>
                <w:szCs w:val="21"/>
              </w:rPr>
              <w:t>g/s</w:t>
            </w:r>
            <w:r>
              <w:rPr>
                <w:rFonts w:hint="eastAsia"/>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50"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83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东经</w:t>
            </w:r>
          </w:p>
        </w:tc>
        <w:tc>
          <w:tcPr>
            <w:tcW w:w="81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北纬</w:t>
            </w:r>
          </w:p>
        </w:tc>
        <w:tc>
          <w:tcPr>
            <w:tcW w:w="85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91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颗粒物</w:t>
            </w:r>
          </w:p>
        </w:tc>
        <w:tc>
          <w:tcPr>
            <w:tcW w:w="851" w:type="dxa"/>
            <w:tcBorders>
              <w:top w:val="single" w:color="auto" w:sz="4" w:space="0"/>
              <w:left w:val="single" w:color="auto" w:sz="4" w:space="0"/>
              <w:right w:val="single" w:color="auto" w:sz="4" w:space="0"/>
            </w:tcBorders>
            <w:vAlign w:val="center"/>
          </w:tcPr>
          <w:p>
            <w:pPr>
              <w:pStyle w:val="55"/>
              <w:rPr>
                <w:rFonts w:cs="Times New Roman"/>
                <w:color w:val="000000" w:themeColor="text1"/>
                <w:szCs w:val="21"/>
              </w:rPr>
            </w:pPr>
            <w:r>
              <w:rPr>
                <w:rFonts w:cs="Times New Roman"/>
                <w:color w:val="000000" w:themeColor="text1"/>
                <w:szCs w:val="21"/>
              </w:rPr>
              <w:t>SO</w:t>
            </w:r>
            <w:r>
              <w:rPr>
                <w:rFonts w:cs="Times New Roman"/>
                <w:color w:val="000000" w:themeColor="text1"/>
                <w:szCs w:val="21"/>
                <w:vertAlign w:val="subscript"/>
              </w:rPr>
              <w:t>2</w:t>
            </w:r>
          </w:p>
        </w:tc>
        <w:tc>
          <w:tcPr>
            <w:tcW w:w="647" w:type="dxa"/>
            <w:tcBorders>
              <w:top w:val="single" w:color="auto" w:sz="4" w:space="0"/>
              <w:left w:val="single" w:color="auto" w:sz="4" w:space="0"/>
              <w:right w:val="single" w:color="auto" w:sz="4" w:space="0"/>
            </w:tcBorders>
            <w:vAlign w:val="center"/>
          </w:tcPr>
          <w:p>
            <w:pPr>
              <w:pStyle w:val="55"/>
              <w:rPr>
                <w:rFonts w:cs="Times New Roman"/>
                <w:color w:val="000000" w:themeColor="text1"/>
                <w:szCs w:val="21"/>
              </w:rPr>
            </w:pPr>
            <w:r>
              <w:rPr>
                <w:rFonts w:cs="Times New Roman"/>
                <w:color w:val="000000" w:themeColor="text1"/>
                <w:szCs w:val="21"/>
              </w:rPr>
              <w:t>NOx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550"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焚烧炉尾气</w:t>
            </w:r>
          </w:p>
        </w:tc>
        <w:tc>
          <w:tcPr>
            <w:tcW w:w="830"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E</w:t>
            </w:r>
            <w:r>
              <w:rPr>
                <w:color w:val="000000" w:themeColor="text1"/>
              </w:rPr>
              <w:t>104°19'59.62"</w:t>
            </w:r>
          </w:p>
        </w:tc>
        <w:tc>
          <w:tcPr>
            <w:tcW w:w="819"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N</w:t>
            </w:r>
            <w:r>
              <w:rPr>
                <w:color w:val="000000" w:themeColor="text1"/>
              </w:rPr>
              <w:t>23°40'16.56"</w:t>
            </w:r>
          </w:p>
        </w:tc>
        <w:tc>
          <w:tcPr>
            <w:tcW w:w="858"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color w:val="000000" w:themeColor="text1"/>
              </w:rPr>
              <w:t>1</w:t>
            </w:r>
            <w:r>
              <w:rPr>
                <w:rFonts w:hint="eastAsia"/>
                <w:color w:val="000000" w:themeColor="text1"/>
              </w:rPr>
              <w:t>590</w:t>
            </w:r>
          </w:p>
        </w:tc>
        <w:tc>
          <w:tcPr>
            <w:tcW w:w="709"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25</w:t>
            </w:r>
          </w:p>
        </w:tc>
        <w:tc>
          <w:tcPr>
            <w:tcW w:w="708"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color w:val="000000" w:themeColor="text1"/>
              </w:rPr>
              <w:t>0.3</w:t>
            </w:r>
          </w:p>
        </w:tc>
        <w:tc>
          <w:tcPr>
            <w:tcW w:w="709"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11.8</w:t>
            </w:r>
          </w:p>
        </w:tc>
        <w:tc>
          <w:tcPr>
            <w:tcW w:w="709"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160</w:t>
            </w:r>
          </w:p>
        </w:tc>
        <w:tc>
          <w:tcPr>
            <w:tcW w:w="709"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600</w:t>
            </w:r>
          </w:p>
        </w:tc>
        <w:tc>
          <w:tcPr>
            <w:tcW w:w="70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正常</w:t>
            </w:r>
          </w:p>
        </w:tc>
        <w:tc>
          <w:tcPr>
            <w:tcW w:w="910" w:type="dxa"/>
            <w:tcBorders>
              <w:top w:val="single" w:color="auto" w:sz="4" w:space="0"/>
              <w:left w:val="single" w:color="auto" w:sz="4" w:space="0"/>
              <w:right w:val="single" w:color="auto" w:sz="4" w:space="0"/>
            </w:tcBorders>
            <w:vAlign w:val="center"/>
          </w:tcPr>
          <w:p>
            <w:pPr>
              <w:pStyle w:val="55"/>
              <w:rPr>
                <w:rFonts w:cs="Times New Roman"/>
                <w:color w:val="000000" w:themeColor="text1"/>
                <w:szCs w:val="21"/>
              </w:rPr>
            </w:pPr>
            <w:r>
              <w:rPr>
                <w:rFonts w:hint="eastAsia" w:cs="Times New Roman"/>
                <w:color w:val="000000" w:themeColor="text1"/>
                <w:szCs w:val="21"/>
              </w:rPr>
              <w:t>0.0064</w:t>
            </w:r>
          </w:p>
        </w:tc>
        <w:tc>
          <w:tcPr>
            <w:tcW w:w="851" w:type="dxa"/>
            <w:tcBorders>
              <w:left w:val="single" w:color="auto" w:sz="4" w:space="0"/>
              <w:right w:val="single" w:color="auto" w:sz="4" w:space="0"/>
            </w:tcBorders>
            <w:vAlign w:val="center"/>
          </w:tcPr>
          <w:p>
            <w:pPr>
              <w:pStyle w:val="55"/>
              <w:rPr>
                <w:rFonts w:cs="Times New Roman"/>
                <w:color w:val="000000" w:themeColor="text1"/>
                <w:szCs w:val="21"/>
              </w:rPr>
            </w:pPr>
            <w:r>
              <w:rPr>
                <w:rFonts w:hint="eastAsia" w:cs="Times New Roman"/>
                <w:color w:val="000000" w:themeColor="text1"/>
                <w:szCs w:val="21"/>
              </w:rPr>
              <w:t>0.0065</w:t>
            </w:r>
          </w:p>
        </w:tc>
        <w:tc>
          <w:tcPr>
            <w:tcW w:w="647" w:type="dxa"/>
            <w:tcBorders>
              <w:left w:val="single" w:color="auto" w:sz="4" w:space="0"/>
              <w:right w:val="single" w:color="auto" w:sz="4" w:space="0"/>
            </w:tcBorders>
            <w:vAlign w:val="center"/>
          </w:tcPr>
          <w:p>
            <w:pPr>
              <w:pStyle w:val="55"/>
              <w:rPr>
                <w:rFonts w:cs="Times New Roman"/>
                <w:color w:val="000000" w:themeColor="text1"/>
                <w:szCs w:val="21"/>
              </w:rPr>
            </w:pPr>
            <w:r>
              <w:rPr>
                <w:rFonts w:hint="eastAsia" w:cs="Times New Roman"/>
                <w:color w:val="000000" w:themeColor="text1"/>
                <w:szCs w:val="21"/>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550"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830"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819"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858"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709"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708"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709"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709"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709"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70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非正常</w:t>
            </w:r>
          </w:p>
        </w:tc>
        <w:tc>
          <w:tcPr>
            <w:tcW w:w="910" w:type="dxa"/>
            <w:tcBorders>
              <w:left w:val="single" w:color="auto" w:sz="4" w:space="0"/>
              <w:bottom w:val="single" w:color="auto" w:sz="4" w:space="0"/>
              <w:right w:val="single" w:color="auto" w:sz="4" w:space="0"/>
            </w:tcBorders>
            <w:vAlign w:val="center"/>
          </w:tcPr>
          <w:p>
            <w:pPr>
              <w:pStyle w:val="55"/>
              <w:rPr>
                <w:rFonts w:cs="Times New Roman"/>
                <w:color w:val="000000" w:themeColor="text1"/>
                <w:szCs w:val="21"/>
              </w:rPr>
            </w:pPr>
            <w:r>
              <w:rPr>
                <w:rFonts w:hint="eastAsia" w:cs="Times New Roman"/>
                <w:color w:val="000000" w:themeColor="text1"/>
                <w:szCs w:val="21"/>
              </w:rPr>
              <w:t>0.128</w:t>
            </w:r>
          </w:p>
        </w:tc>
        <w:tc>
          <w:tcPr>
            <w:tcW w:w="851" w:type="dxa"/>
            <w:tcBorders>
              <w:left w:val="single" w:color="auto" w:sz="4" w:space="0"/>
              <w:bottom w:val="single" w:color="auto" w:sz="4" w:space="0"/>
              <w:right w:val="single" w:color="auto" w:sz="4" w:space="0"/>
            </w:tcBorders>
            <w:vAlign w:val="center"/>
          </w:tcPr>
          <w:p>
            <w:pPr>
              <w:pStyle w:val="55"/>
              <w:rPr>
                <w:rFonts w:cs="Times New Roman"/>
                <w:color w:val="000000" w:themeColor="text1"/>
                <w:szCs w:val="21"/>
              </w:rPr>
            </w:pPr>
            <w:r>
              <w:rPr>
                <w:rFonts w:hint="eastAsia" w:cs="Times New Roman"/>
                <w:color w:val="000000" w:themeColor="text1"/>
                <w:szCs w:val="21"/>
              </w:rPr>
              <w:t>0.0065</w:t>
            </w:r>
          </w:p>
        </w:tc>
        <w:tc>
          <w:tcPr>
            <w:tcW w:w="647" w:type="dxa"/>
            <w:tcBorders>
              <w:left w:val="single" w:color="auto" w:sz="4" w:space="0"/>
              <w:bottom w:val="single" w:color="auto" w:sz="4" w:space="0"/>
              <w:right w:val="single" w:color="auto" w:sz="4" w:space="0"/>
            </w:tcBorders>
            <w:vAlign w:val="center"/>
          </w:tcPr>
          <w:p>
            <w:pPr>
              <w:pStyle w:val="55"/>
              <w:rPr>
                <w:rFonts w:cs="Times New Roman"/>
                <w:color w:val="000000" w:themeColor="text1"/>
                <w:szCs w:val="21"/>
              </w:rPr>
            </w:pPr>
            <w:r>
              <w:rPr>
                <w:rFonts w:hint="eastAsia" w:cs="Times New Roman"/>
                <w:color w:val="000000" w:themeColor="text1"/>
                <w:szCs w:val="21"/>
              </w:rPr>
              <w:t>0.21</w:t>
            </w:r>
          </w:p>
        </w:tc>
      </w:tr>
    </w:tbl>
    <w:p>
      <w:pPr>
        <w:ind w:firstLine="482"/>
        <w:rPr>
          <w:b/>
          <w:color w:val="000000" w:themeColor="text1"/>
        </w:rPr>
      </w:pPr>
      <w:r>
        <w:rPr>
          <w:rFonts w:hint="eastAsia"/>
          <w:b/>
          <w:color w:val="000000" w:themeColor="text1"/>
        </w:rPr>
        <w:t>2、焚烧炉尾气环境影响预测</w:t>
      </w:r>
    </w:p>
    <w:p>
      <w:pPr>
        <w:tabs>
          <w:tab w:val="left" w:pos="5325"/>
        </w:tabs>
        <w:ind w:firstLine="480"/>
        <w:rPr>
          <w:color w:val="000000" w:themeColor="text1"/>
        </w:rPr>
      </w:pPr>
      <w:r>
        <w:rPr>
          <w:rFonts w:hint="eastAsia"/>
          <w:color w:val="000000" w:themeColor="text1"/>
        </w:rPr>
        <w:t>（1）预测模式和参数设置</w:t>
      </w:r>
      <w:r>
        <w:rPr>
          <w:color w:val="000000" w:themeColor="text1"/>
        </w:rPr>
        <w:tab/>
      </w:r>
    </w:p>
    <w:p>
      <w:pPr>
        <w:ind w:firstLine="480"/>
        <w:rPr>
          <w:color w:val="000000" w:themeColor="text1"/>
          <w:kern w:val="24"/>
          <w:szCs w:val="20"/>
        </w:rPr>
      </w:pPr>
      <w:r>
        <w:rPr>
          <w:rFonts w:hint="eastAsia"/>
          <w:bCs/>
          <w:color w:val="000000" w:themeColor="text1"/>
        </w:rPr>
        <w:t>根据《环境影响评价技术导则</w:t>
      </w:r>
      <w:r>
        <w:rPr>
          <w:bCs/>
          <w:color w:val="000000" w:themeColor="text1"/>
        </w:rPr>
        <w:t xml:space="preserve"> </w:t>
      </w:r>
      <w:r>
        <w:rPr>
          <w:rFonts w:hint="eastAsia"/>
          <w:bCs/>
          <w:color w:val="000000" w:themeColor="text1"/>
        </w:rPr>
        <w:t>大气环境》（</w:t>
      </w:r>
      <w:r>
        <w:rPr>
          <w:bCs/>
          <w:color w:val="000000" w:themeColor="text1"/>
        </w:rPr>
        <w:t>HJ2.2—2018</w:t>
      </w:r>
      <w:r>
        <w:rPr>
          <w:rFonts w:hint="eastAsia"/>
          <w:bCs/>
          <w:color w:val="000000" w:themeColor="text1"/>
        </w:rPr>
        <w:t>）中规定，</w:t>
      </w:r>
      <w:r>
        <w:rPr>
          <w:rFonts w:hint="eastAsia"/>
          <w:color w:val="000000" w:themeColor="text1"/>
        </w:rPr>
        <w:t>选择项目焚烧炉尾气正常排放及非正常排放情况下的主要污染物及排放参数，采用导则附录</w:t>
      </w:r>
      <w:r>
        <w:rPr>
          <w:color w:val="000000" w:themeColor="text1"/>
        </w:rPr>
        <w:t>A</w:t>
      </w:r>
      <w:r>
        <w:rPr>
          <w:rFonts w:hint="eastAsia"/>
          <w:color w:val="000000" w:themeColor="text1"/>
        </w:rPr>
        <w:t>中推荐的估算模型</w:t>
      </w:r>
      <w:r>
        <w:rPr>
          <w:color w:val="000000" w:themeColor="text1"/>
        </w:rPr>
        <w:t>AERSCREEN</w:t>
      </w:r>
      <w:r>
        <w:rPr>
          <w:rFonts w:hint="eastAsia"/>
          <w:color w:val="000000" w:themeColor="text1"/>
        </w:rPr>
        <w:t>分别计算项目各污染物的最大地面空气质量浓度占标率</w:t>
      </w:r>
      <w:r>
        <w:rPr>
          <w:i/>
          <w:color w:val="000000" w:themeColor="text1"/>
        </w:rPr>
        <w:t>P</w:t>
      </w:r>
      <w:r>
        <w:rPr>
          <w:i/>
          <w:color w:val="000000" w:themeColor="text1"/>
          <w:vertAlign w:val="subscript"/>
        </w:rPr>
        <w:t>i</w:t>
      </w:r>
      <w:r>
        <w:rPr>
          <w:rFonts w:hint="eastAsia"/>
          <w:color w:val="000000" w:themeColor="text1"/>
          <w:kern w:val="24"/>
          <w:szCs w:val="20"/>
        </w:rPr>
        <w:t>。</w:t>
      </w:r>
    </w:p>
    <w:p>
      <w:pPr>
        <w:ind w:firstLine="480"/>
        <w:rPr>
          <w:rFonts w:cs="Times New Roman"/>
          <w:color w:val="000000" w:themeColor="text1"/>
          <w:kern w:val="0"/>
        </w:rPr>
      </w:pPr>
      <w:r>
        <w:rPr>
          <w:rFonts w:hint="eastAsia"/>
          <w:color w:val="000000" w:themeColor="text1"/>
        </w:rPr>
        <w:t>（2）焚烧炉尾气正常排放情况下的估算模式计算结果及影响分析</w:t>
      </w:r>
    </w:p>
    <w:p>
      <w:pPr>
        <w:ind w:firstLine="480"/>
        <w:rPr>
          <w:color w:val="000000" w:themeColor="text1"/>
        </w:rPr>
      </w:pPr>
      <w:r>
        <w:rPr>
          <w:rFonts w:hint="eastAsia"/>
          <w:color w:val="000000" w:themeColor="text1"/>
        </w:rPr>
        <w:t>采用估算模式，正常排放情况下焚烧炉有组织废气污染物估算结果列于表</w:t>
      </w:r>
      <w:r>
        <w:rPr>
          <w:color w:val="000000" w:themeColor="text1"/>
        </w:rPr>
        <w:t>6.1</w:t>
      </w:r>
      <w:r>
        <w:rPr>
          <w:rFonts w:hint="eastAsia"/>
          <w:color w:val="000000" w:themeColor="text1"/>
        </w:rPr>
        <w:t>.2-9。</w:t>
      </w:r>
    </w:p>
    <w:p>
      <w:pPr>
        <w:pStyle w:val="54"/>
        <w:tabs>
          <w:tab w:val="center" w:pos="4153"/>
          <w:tab w:val="right" w:pos="8306"/>
        </w:tabs>
        <w:jc w:val="left"/>
        <w:rPr>
          <w:color w:val="000000" w:themeColor="text1"/>
          <w:kern w:val="0"/>
        </w:rPr>
      </w:pPr>
      <w:r>
        <w:rPr>
          <w:color w:val="000000" w:themeColor="text1"/>
          <w:kern w:val="0"/>
        </w:rPr>
        <w:tab/>
      </w:r>
      <w:r>
        <w:rPr>
          <w:rFonts w:hint="eastAsia"/>
          <w:color w:val="000000" w:themeColor="text1"/>
          <w:kern w:val="0"/>
        </w:rPr>
        <w:t>表</w:t>
      </w:r>
      <w:r>
        <w:rPr>
          <w:color w:val="000000" w:themeColor="text1"/>
          <w:kern w:val="0"/>
        </w:rPr>
        <w:t>6.1</w:t>
      </w:r>
      <w:r>
        <w:rPr>
          <w:rFonts w:hint="eastAsia"/>
          <w:color w:val="000000" w:themeColor="text1"/>
          <w:kern w:val="0"/>
        </w:rPr>
        <w:t>.2-9  正常排放情况下焚烧炉废气污染物估算</w:t>
      </w:r>
      <w:r>
        <w:rPr>
          <w:rFonts w:hint="eastAsia"/>
          <w:color w:val="000000" w:themeColor="text1"/>
        </w:rPr>
        <w:t>模式</w:t>
      </w:r>
      <w:r>
        <w:rPr>
          <w:rFonts w:hint="eastAsia"/>
          <w:color w:val="000000" w:themeColor="text1"/>
          <w:kern w:val="0"/>
        </w:rPr>
        <w:t>计算结果表</w:t>
      </w:r>
      <w:r>
        <w:rPr>
          <w:color w:val="000000" w:themeColor="text1"/>
          <w:kern w:val="0"/>
        </w:rPr>
        <w:tab/>
      </w:r>
    </w:p>
    <w:tbl>
      <w:tblPr>
        <w:tblStyle w:val="42"/>
        <w:tblW w:w="8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1245"/>
        <w:gridCol w:w="1087"/>
        <w:gridCol w:w="1246"/>
        <w:gridCol w:w="1049"/>
        <w:gridCol w:w="1273"/>
        <w:gridCol w:w="1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2"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rFonts w:hint="eastAsia"/>
                <w:color w:val="000000" w:themeColor="text1"/>
                <w:szCs w:val="21"/>
              </w:rPr>
              <w:t>下风向距离</w:t>
            </w:r>
            <w:r>
              <w:rPr>
                <w:color w:val="000000" w:themeColor="text1"/>
                <w:szCs w:val="21"/>
              </w:rPr>
              <w:t>/m</w:t>
            </w:r>
          </w:p>
        </w:tc>
        <w:tc>
          <w:tcPr>
            <w:tcW w:w="2332"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rFonts w:hint="eastAsia"/>
                <w:color w:val="000000" w:themeColor="text1"/>
                <w:szCs w:val="21"/>
              </w:rPr>
              <w:t>颗粒物（PM</w:t>
            </w:r>
            <w:r>
              <w:rPr>
                <w:rFonts w:hint="eastAsia"/>
                <w:color w:val="000000" w:themeColor="text1"/>
                <w:szCs w:val="21"/>
                <w:vertAlign w:val="subscript"/>
              </w:rPr>
              <w:t>10</w:t>
            </w:r>
            <w:r>
              <w:rPr>
                <w:rFonts w:hint="eastAsia"/>
                <w:color w:val="000000" w:themeColor="text1"/>
                <w:szCs w:val="21"/>
              </w:rPr>
              <w:t>）</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SO</w:t>
            </w:r>
            <w:r>
              <w:rPr>
                <w:color w:val="000000" w:themeColor="text1"/>
                <w:szCs w:val="21"/>
                <w:vertAlign w:val="subscript"/>
              </w:rPr>
              <w:t>2</w:t>
            </w:r>
          </w:p>
        </w:tc>
        <w:tc>
          <w:tcPr>
            <w:tcW w:w="2421"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NOx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2"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rFonts w:hint="eastAsia"/>
                <w:color w:val="000000" w:themeColor="text1"/>
                <w:szCs w:val="21"/>
              </w:rPr>
              <w:t>预测质量浓度</w:t>
            </w:r>
            <w:r>
              <w:rPr>
                <w:color w:val="000000" w:themeColor="text1"/>
                <w:szCs w:val="21"/>
              </w:rPr>
              <w:t>/</w:t>
            </w:r>
            <w:r>
              <w:rPr>
                <w:rFonts w:hint="eastAsia"/>
                <w:color w:val="000000" w:themeColor="text1"/>
                <w:szCs w:val="21"/>
              </w:rPr>
              <w:t>（</w:t>
            </w:r>
            <w:r>
              <w:rPr>
                <w:color w:val="000000" w:themeColor="text1"/>
                <w:szCs w:val="21"/>
              </w:rPr>
              <w:t>μg/m</w:t>
            </w:r>
            <w:r>
              <w:rPr>
                <w:color w:val="000000" w:themeColor="text1"/>
                <w:szCs w:val="21"/>
                <w:vertAlign w:val="superscript"/>
              </w:rPr>
              <w:t>3</w:t>
            </w:r>
            <w:r>
              <w:rPr>
                <w:rFonts w:hint="eastAsia"/>
                <w:color w:val="000000" w:themeColor="text1"/>
                <w:szCs w:val="21"/>
              </w:rPr>
              <w:t>）</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rFonts w:hint="eastAsia"/>
                <w:color w:val="000000" w:themeColor="text1"/>
                <w:szCs w:val="21"/>
              </w:rPr>
              <w:t>占标率</w:t>
            </w:r>
            <w:r>
              <w:rPr>
                <w:color w:val="000000" w:themeColor="text1"/>
                <w:szCs w:val="21"/>
              </w:rPr>
              <w:t>%</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rFonts w:hint="eastAsia"/>
                <w:color w:val="000000" w:themeColor="text1"/>
                <w:szCs w:val="21"/>
              </w:rPr>
              <w:t>预测质量浓度</w:t>
            </w:r>
            <w:r>
              <w:rPr>
                <w:color w:val="000000" w:themeColor="text1"/>
                <w:szCs w:val="21"/>
              </w:rPr>
              <w:t>/</w:t>
            </w:r>
            <w:r>
              <w:rPr>
                <w:rFonts w:hint="eastAsia"/>
                <w:color w:val="000000" w:themeColor="text1"/>
                <w:szCs w:val="21"/>
              </w:rPr>
              <w:t>（</w:t>
            </w:r>
            <w:r>
              <w:rPr>
                <w:color w:val="000000" w:themeColor="text1"/>
                <w:szCs w:val="21"/>
              </w:rPr>
              <w:t>μg/m</w:t>
            </w:r>
            <w:r>
              <w:rPr>
                <w:color w:val="000000" w:themeColor="text1"/>
                <w:szCs w:val="21"/>
                <w:vertAlign w:val="superscript"/>
              </w:rPr>
              <w:t>3</w:t>
            </w:r>
            <w:r>
              <w:rPr>
                <w:rFonts w:hint="eastAsia"/>
                <w:color w:val="000000" w:themeColor="text1"/>
                <w:szCs w:val="21"/>
              </w:rPr>
              <w:t>）</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rFonts w:hint="eastAsia"/>
                <w:color w:val="000000" w:themeColor="text1"/>
                <w:szCs w:val="21"/>
              </w:rPr>
              <w:t>占标率</w:t>
            </w:r>
            <w:r>
              <w:rPr>
                <w:color w:val="000000" w:themeColor="text1"/>
                <w:szCs w:val="21"/>
              </w:rPr>
              <w:t>%</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rFonts w:hint="eastAsia"/>
                <w:color w:val="000000" w:themeColor="text1"/>
                <w:szCs w:val="21"/>
              </w:rPr>
              <w:t>预测质量浓度</w:t>
            </w:r>
            <w:r>
              <w:rPr>
                <w:color w:val="000000" w:themeColor="text1"/>
                <w:szCs w:val="21"/>
              </w:rPr>
              <w:t>/</w:t>
            </w:r>
            <w:r>
              <w:rPr>
                <w:rFonts w:hint="eastAsia"/>
                <w:color w:val="000000" w:themeColor="text1"/>
                <w:szCs w:val="21"/>
              </w:rPr>
              <w:t>（</w:t>
            </w:r>
            <w:r>
              <w:rPr>
                <w:color w:val="000000" w:themeColor="text1"/>
                <w:szCs w:val="21"/>
              </w:rPr>
              <w:t>μg/m</w:t>
            </w:r>
            <w:r>
              <w:rPr>
                <w:color w:val="000000" w:themeColor="text1"/>
                <w:szCs w:val="21"/>
                <w:vertAlign w:val="superscript"/>
              </w:rPr>
              <w:t>3</w:t>
            </w:r>
            <w:r>
              <w:rPr>
                <w:rFonts w:hint="eastAsia"/>
                <w:color w:val="000000" w:themeColor="text1"/>
                <w:szCs w:val="21"/>
              </w:rPr>
              <w:t>）</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rFonts w:hint="eastAsia"/>
                <w:color w:val="000000" w:themeColor="text1"/>
                <w:szCs w:val="21"/>
              </w:rPr>
              <w:t>占标率</w:t>
            </w:r>
            <w:r>
              <w:rPr>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25</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50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0.055869</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0.002837</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0.09166</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75</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1.281536</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0.28</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0.065078</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2.10252</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100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2.933169</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0.65</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0.14895</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0.03</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4.812231</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color w:val="000000" w:themeColor="text1"/>
                <w:szCs w:val="21"/>
              </w:rPr>
            </w:pPr>
            <w:r>
              <w:rPr>
                <w:color w:val="000000" w:themeColor="text1"/>
                <w:szCs w:val="21"/>
              </w:rPr>
              <w:t>1</w:t>
            </w:r>
            <w:r>
              <w:rPr>
                <w:rFonts w:hint="eastAsia"/>
                <w:color w:val="000000" w:themeColor="text1"/>
                <w:szCs w:val="21"/>
              </w:rPr>
              <w:t>39</w:t>
            </w:r>
          </w:p>
        </w:tc>
        <w:tc>
          <w:tcPr>
            <w:tcW w:w="1245"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szCs w:val="21"/>
              </w:rPr>
            </w:pPr>
            <w:r>
              <w:rPr>
                <w:rFonts w:hint="eastAsia"/>
                <w:color w:val="000000" w:themeColor="text1"/>
                <w:szCs w:val="21"/>
              </w:rPr>
              <w:t>3.827397</w:t>
            </w:r>
          </w:p>
        </w:tc>
        <w:tc>
          <w:tcPr>
            <w:tcW w:w="1087"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szCs w:val="21"/>
              </w:rPr>
            </w:pPr>
            <w:r>
              <w:rPr>
                <w:rFonts w:hint="eastAsia"/>
                <w:color w:val="000000" w:themeColor="text1"/>
                <w:szCs w:val="21"/>
              </w:rPr>
              <w:t>0.85</w:t>
            </w:r>
          </w:p>
        </w:tc>
        <w:tc>
          <w:tcPr>
            <w:tcW w:w="1246"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szCs w:val="21"/>
              </w:rPr>
            </w:pPr>
            <w:r>
              <w:rPr>
                <w:rFonts w:hint="eastAsia"/>
                <w:color w:val="000000" w:themeColor="text1"/>
                <w:szCs w:val="21"/>
              </w:rPr>
              <w:t>0.19436</w:t>
            </w:r>
          </w:p>
        </w:tc>
        <w:tc>
          <w:tcPr>
            <w:tcW w:w="1049"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szCs w:val="21"/>
              </w:rPr>
            </w:pPr>
            <w:r>
              <w:rPr>
                <w:rFonts w:hint="eastAsia"/>
                <w:color w:val="000000" w:themeColor="text1"/>
                <w:szCs w:val="21"/>
              </w:rPr>
              <w:t>0.04</w:t>
            </w:r>
          </w:p>
        </w:tc>
        <w:tc>
          <w:tcPr>
            <w:tcW w:w="1273"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szCs w:val="21"/>
              </w:rPr>
            </w:pPr>
            <w:r>
              <w:rPr>
                <w:rFonts w:hint="eastAsia"/>
                <w:color w:val="000000" w:themeColor="text1"/>
                <w:szCs w:val="21"/>
              </w:rPr>
              <w:t>6.279323</w:t>
            </w:r>
          </w:p>
        </w:tc>
        <w:tc>
          <w:tcPr>
            <w:tcW w:w="1148"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szCs w:val="21"/>
              </w:rPr>
            </w:pPr>
            <w:r>
              <w:rPr>
                <w:rFonts w:hint="eastAsia"/>
                <w:color w:val="000000" w:themeColor="text1"/>
                <w:szCs w:val="21"/>
              </w:rPr>
              <w:t>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200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3.354979</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0.75</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0.17037</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0.03</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5.504261</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300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2.270129</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0.50</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0.11528</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0.02</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3.724431</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400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1.567153</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0.35</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0.079582</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0.02</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2.57111</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500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1.1328</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0.25</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0.057525</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1.8585</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600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0.856872</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0.19</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0.043513</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1.405805</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700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0.67265</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0.15</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0.034158</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1.103566</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800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0.543921</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0.12</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0.027621</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0.892371</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900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0.450422</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0.10</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0.022873</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0.738974</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1000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0.380278</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0.08</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0.019311</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0.623894</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1100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0.326242</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0.07</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0.016567</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0.535242</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1200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0.283628</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0.06</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0.014403</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0.465328</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1300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0.249403</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0.06</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0.012665</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0.409177</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1400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0.22146</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0.05</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0.011246</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0.363332</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1500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0.198302</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0.04</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0.01007</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0.325338</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1600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0.178867</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0.04</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0.009083</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0.293454</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color w:val="000000" w:themeColor="text1"/>
                <w:szCs w:val="21"/>
              </w:rPr>
            </w:pPr>
            <w:r>
              <w:rPr>
                <w:rFonts w:hint="eastAsia"/>
                <w:color w:val="000000" w:themeColor="text1"/>
                <w:szCs w:val="21"/>
              </w:rPr>
              <w:t>1644</w:t>
            </w:r>
          </w:p>
          <w:p>
            <w:pPr>
              <w:pStyle w:val="55"/>
              <w:rPr>
                <w:color w:val="000000" w:themeColor="text1"/>
                <w:szCs w:val="21"/>
              </w:rPr>
            </w:pPr>
            <w:r>
              <w:rPr>
                <w:rFonts w:hint="eastAsia"/>
                <w:color w:val="000000" w:themeColor="text1"/>
                <w:szCs w:val="21"/>
              </w:rPr>
              <w:t>（小舍克村）</w:t>
            </w:r>
          </w:p>
        </w:tc>
        <w:tc>
          <w:tcPr>
            <w:tcW w:w="1245"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szCs w:val="21"/>
              </w:rPr>
            </w:pPr>
            <w:r>
              <w:rPr>
                <w:rFonts w:hint="eastAsia"/>
                <w:color w:val="000000" w:themeColor="text1"/>
                <w:szCs w:val="21"/>
              </w:rPr>
              <w:t>0.17129</w:t>
            </w:r>
          </w:p>
        </w:tc>
        <w:tc>
          <w:tcPr>
            <w:tcW w:w="1087"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szCs w:val="21"/>
              </w:rPr>
            </w:pPr>
            <w:r>
              <w:rPr>
                <w:rFonts w:hint="eastAsia"/>
                <w:color w:val="000000" w:themeColor="text1"/>
                <w:szCs w:val="21"/>
              </w:rPr>
              <w:t>0.04</w:t>
            </w:r>
          </w:p>
        </w:tc>
        <w:tc>
          <w:tcPr>
            <w:tcW w:w="1246"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szCs w:val="21"/>
              </w:rPr>
            </w:pPr>
            <w:r>
              <w:rPr>
                <w:rFonts w:hint="eastAsia"/>
                <w:color w:val="000000" w:themeColor="text1"/>
                <w:szCs w:val="21"/>
              </w:rPr>
              <w:t>0.008698</w:t>
            </w:r>
          </w:p>
        </w:tc>
        <w:tc>
          <w:tcPr>
            <w:tcW w:w="1049"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szCs w:val="21"/>
              </w:rPr>
            </w:pPr>
            <w:r>
              <w:rPr>
                <w:rFonts w:hint="eastAsia"/>
                <w:color w:val="000000" w:themeColor="text1"/>
                <w:szCs w:val="21"/>
              </w:rPr>
              <w:t>0</w:t>
            </w:r>
          </w:p>
        </w:tc>
        <w:tc>
          <w:tcPr>
            <w:tcW w:w="1273"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szCs w:val="21"/>
              </w:rPr>
            </w:pPr>
            <w:r>
              <w:rPr>
                <w:rFonts w:hint="eastAsia"/>
                <w:color w:val="000000" w:themeColor="text1"/>
                <w:szCs w:val="21"/>
              </w:rPr>
              <w:t>0.281022</w:t>
            </w:r>
          </w:p>
        </w:tc>
        <w:tc>
          <w:tcPr>
            <w:tcW w:w="1148"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szCs w:val="21"/>
              </w:rPr>
            </w:pPr>
            <w:r>
              <w:rPr>
                <w:rFonts w:hint="eastAsia"/>
                <w:color w:val="000000" w:themeColor="text1"/>
                <w:szCs w:val="21"/>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1700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0.162387</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0.04</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0.008246</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0.266416</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1800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0.148273</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0.03</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0.00753</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0.243261</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1900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0.13608</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0.03</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0.00691</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0.223256</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2000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0.125462</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0.03</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0.006371</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0.205836</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2100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0.116153</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0.03</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0.005898</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0.190564</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2200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0.10794</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0.02</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0.005481</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0.177088</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2300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0.100647</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0.02</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0.005111</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0.165125</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2400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0.094143</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0.02</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0.004781</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0.154453</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2500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0.08831</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0.02</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0.004485</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0.144884</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0.06</w:t>
            </w:r>
          </w:p>
        </w:tc>
      </w:tr>
    </w:tbl>
    <w:p>
      <w:pPr>
        <w:ind w:firstLine="480"/>
        <w:rPr>
          <w:rFonts w:cs="Times New Roman"/>
          <w:bCs/>
          <w:color w:val="000000" w:themeColor="text1"/>
        </w:rPr>
      </w:pPr>
      <w:r>
        <w:rPr>
          <w:rFonts w:cs="Times New Roman"/>
          <w:bCs/>
          <w:color w:val="000000" w:themeColor="text1"/>
        </w:rPr>
        <w:t>根据表6.1.</w:t>
      </w:r>
      <w:r>
        <w:rPr>
          <w:rFonts w:hint="eastAsia" w:cs="Times New Roman"/>
          <w:bCs/>
          <w:color w:val="000000" w:themeColor="text1"/>
        </w:rPr>
        <w:t>2-9</w:t>
      </w:r>
      <w:r>
        <w:rPr>
          <w:rFonts w:cs="Times New Roman"/>
          <w:bCs/>
          <w:color w:val="000000" w:themeColor="text1"/>
        </w:rPr>
        <w:t>的计算结果，</w:t>
      </w:r>
      <w:r>
        <w:rPr>
          <w:rFonts w:cs="Times New Roman"/>
          <w:color w:val="000000" w:themeColor="text1"/>
          <w:szCs w:val="24"/>
        </w:rPr>
        <w:t>正常排放情况下，焚烧炉颗粒物排放源最大落地浓度值为3.827397μg/m</w:t>
      </w:r>
      <w:r>
        <w:rPr>
          <w:rFonts w:cs="Times New Roman"/>
          <w:color w:val="000000" w:themeColor="text1"/>
          <w:szCs w:val="24"/>
          <w:vertAlign w:val="superscript"/>
        </w:rPr>
        <w:t>3</w:t>
      </w:r>
      <w:r>
        <w:rPr>
          <w:rFonts w:cs="Times New Roman"/>
          <w:color w:val="000000" w:themeColor="text1"/>
          <w:szCs w:val="24"/>
        </w:rPr>
        <w:t>，最大浓度占标率为0.</w:t>
      </w:r>
      <w:r>
        <w:rPr>
          <w:rFonts w:hint="eastAsia" w:cs="Times New Roman"/>
          <w:color w:val="000000" w:themeColor="text1"/>
          <w:szCs w:val="24"/>
        </w:rPr>
        <w:t>85</w:t>
      </w:r>
      <w:r>
        <w:rPr>
          <w:rFonts w:cs="Times New Roman"/>
          <w:color w:val="000000" w:themeColor="text1"/>
          <w:szCs w:val="24"/>
        </w:rPr>
        <w:t>%，</w:t>
      </w:r>
      <w:r>
        <w:rPr>
          <w:rFonts w:cs="Times New Roman"/>
          <w:bCs/>
          <w:color w:val="000000" w:themeColor="text1"/>
        </w:rPr>
        <w:t>满足</w:t>
      </w:r>
      <w:r>
        <w:rPr>
          <w:rFonts w:cs="Times New Roman"/>
          <w:bCs/>
          <w:snapToGrid w:val="0"/>
          <w:color w:val="000000" w:themeColor="text1"/>
        </w:rPr>
        <w:t>《环境空气质量标准》（GB3095-2012）二级标准</w:t>
      </w:r>
      <w:r>
        <w:rPr>
          <w:rFonts w:cs="Times New Roman"/>
          <w:color w:val="000000" w:themeColor="text1"/>
        </w:rPr>
        <w:t>中</w:t>
      </w:r>
      <w:r>
        <w:rPr>
          <w:rFonts w:hint="eastAsia" w:cs="Times New Roman"/>
          <w:color w:val="000000" w:themeColor="text1"/>
        </w:rPr>
        <w:t>PM</w:t>
      </w:r>
      <w:r>
        <w:rPr>
          <w:rFonts w:hint="eastAsia" w:cs="Times New Roman"/>
          <w:color w:val="000000" w:themeColor="text1"/>
          <w:vertAlign w:val="subscript"/>
        </w:rPr>
        <w:t>10</w:t>
      </w:r>
      <w:r>
        <w:rPr>
          <w:rFonts w:cs="Times New Roman"/>
          <w:color w:val="000000" w:themeColor="text1"/>
        </w:rPr>
        <w:t>＜</w:t>
      </w:r>
      <w:r>
        <w:rPr>
          <w:rFonts w:hint="eastAsia" w:cs="Times New Roman"/>
          <w:color w:val="000000" w:themeColor="text1"/>
        </w:rPr>
        <w:t>45</w:t>
      </w:r>
      <w:r>
        <w:rPr>
          <w:rFonts w:cs="Times New Roman"/>
          <w:color w:val="000000" w:themeColor="text1"/>
        </w:rPr>
        <w:t>0μg/m</w:t>
      </w:r>
      <w:r>
        <w:rPr>
          <w:rFonts w:cs="Times New Roman"/>
          <w:color w:val="000000" w:themeColor="text1"/>
          <w:vertAlign w:val="superscript"/>
        </w:rPr>
        <w:t>3</w:t>
      </w:r>
      <w:r>
        <w:rPr>
          <w:rFonts w:cs="Times New Roman"/>
          <w:color w:val="000000" w:themeColor="text1"/>
        </w:rPr>
        <w:t>的要求</w:t>
      </w:r>
      <w:r>
        <w:rPr>
          <w:rFonts w:cs="Times New Roman"/>
          <w:color w:val="000000" w:themeColor="text1"/>
          <w:szCs w:val="24"/>
        </w:rPr>
        <w:t>；SO</w:t>
      </w:r>
      <w:r>
        <w:rPr>
          <w:rFonts w:cs="Times New Roman"/>
          <w:color w:val="000000" w:themeColor="text1"/>
          <w:szCs w:val="24"/>
          <w:vertAlign w:val="subscript"/>
        </w:rPr>
        <w:t>2</w:t>
      </w:r>
      <w:r>
        <w:rPr>
          <w:rFonts w:cs="Times New Roman"/>
          <w:color w:val="000000" w:themeColor="text1"/>
          <w:szCs w:val="24"/>
        </w:rPr>
        <w:t>排放源最大落地浓度值为</w:t>
      </w:r>
      <w:r>
        <w:rPr>
          <w:rFonts w:hint="eastAsia" w:cs="Times New Roman"/>
          <w:color w:val="000000" w:themeColor="text1"/>
          <w:szCs w:val="24"/>
        </w:rPr>
        <w:t>0.19436</w:t>
      </w:r>
      <w:r>
        <w:rPr>
          <w:rFonts w:cs="Times New Roman"/>
          <w:color w:val="000000" w:themeColor="text1"/>
          <w:szCs w:val="24"/>
        </w:rPr>
        <w:t>μg/m</w:t>
      </w:r>
      <w:r>
        <w:rPr>
          <w:rFonts w:cs="Times New Roman"/>
          <w:color w:val="000000" w:themeColor="text1"/>
          <w:szCs w:val="24"/>
          <w:vertAlign w:val="superscript"/>
        </w:rPr>
        <w:t>3</w:t>
      </w:r>
      <w:r>
        <w:rPr>
          <w:rFonts w:cs="Times New Roman"/>
          <w:color w:val="000000" w:themeColor="text1"/>
          <w:szCs w:val="24"/>
        </w:rPr>
        <w:t>，最大浓度占标率为</w:t>
      </w:r>
      <w:r>
        <w:rPr>
          <w:rFonts w:hint="eastAsia" w:cs="Times New Roman"/>
          <w:color w:val="000000" w:themeColor="text1"/>
          <w:szCs w:val="24"/>
        </w:rPr>
        <w:t>0.04</w:t>
      </w:r>
      <w:r>
        <w:rPr>
          <w:rFonts w:cs="Times New Roman"/>
          <w:color w:val="000000" w:themeColor="text1"/>
          <w:szCs w:val="24"/>
        </w:rPr>
        <w:t>%，</w:t>
      </w:r>
      <w:r>
        <w:rPr>
          <w:rFonts w:cs="Times New Roman"/>
          <w:bCs/>
          <w:color w:val="000000" w:themeColor="text1"/>
        </w:rPr>
        <w:t>满足</w:t>
      </w:r>
      <w:r>
        <w:rPr>
          <w:rFonts w:cs="Times New Roman"/>
          <w:bCs/>
          <w:snapToGrid w:val="0"/>
          <w:color w:val="000000" w:themeColor="text1"/>
        </w:rPr>
        <w:t>《环境空气质量标准》（GB3095-2012）二级标准</w:t>
      </w:r>
      <w:r>
        <w:rPr>
          <w:rFonts w:cs="Times New Roman"/>
          <w:color w:val="000000" w:themeColor="text1"/>
        </w:rPr>
        <w:t>中</w:t>
      </w:r>
      <w:r>
        <w:rPr>
          <w:rFonts w:cs="Times New Roman"/>
          <w:bCs/>
          <w:color w:val="000000" w:themeColor="text1"/>
        </w:rPr>
        <w:t>SO</w:t>
      </w:r>
      <w:r>
        <w:rPr>
          <w:rFonts w:cs="Times New Roman"/>
          <w:bCs/>
          <w:color w:val="000000" w:themeColor="text1"/>
          <w:vertAlign w:val="subscript"/>
        </w:rPr>
        <w:t>2</w:t>
      </w:r>
      <w:r>
        <w:rPr>
          <w:rFonts w:cs="Times New Roman"/>
          <w:color w:val="000000" w:themeColor="text1"/>
        </w:rPr>
        <w:t>＜500μg/m</w:t>
      </w:r>
      <w:r>
        <w:rPr>
          <w:rFonts w:cs="Times New Roman"/>
          <w:color w:val="000000" w:themeColor="text1"/>
          <w:vertAlign w:val="superscript"/>
        </w:rPr>
        <w:t>3</w:t>
      </w:r>
      <w:r>
        <w:rPr>
          <w:rFonts w:cs="Times New Roman"/>
          <w:color w:val="000000" w:themeColor="text1"/>
        </w:rPr>
        <w:t>的要求</w:t>
      </w:r>
      <w:r>
        <w:rPr>
          <w:rFonts w:cs="Times New Roman"/>
          <w:color w:val="000000" w:themeColor="text1"/>
          <w:szCs w:val="24"/>
        </w:rPr>
        <w:t>；NOx排放源最大落地浓度值为</w:t>
      </w:r>
      <w:r>
        <w:rPr>
          <w:rFonts w:hint="eastAsia" w:cs="Times New Roman"/>
          <w:color w:val="000000" w:themeColor="text1"/>
          <w:szCs w:val="24"/>
        </w:rPr>
        <w:t>6.279323</w:t>
      </w:r>
      <w:r>
        <w:rPr>
          <w:rFonts w:cs="Times New Roman"/>
          <w:color w:val="000000" w:themeColor="text1"/>
          <w:szCs w:val="24"/>
        </w:rPr>
        <w:t>mg/m</w:t>
      </w:r>
      <w:r>
        <w:rPr>
          <w:rFonts w:cs="Times New Roman"/>
          <w:color w:val="000000" w:themeColor="text1"/>
          <w:szCs w:val="24"/>
          <w:vertAlign w:val="superscript"/>
        </w:rPr>
        <w:t>3</w:t>
      </w:r>
      <w:r>
        <w:rPr>
          <w:rFonts w:cs="Times New Roman"/>
          <w:color w:val="000000" w:themeColor="text1"/>
          <w:szCs w:val="24"/>
        </w:rPr>
        <w:t>，最大浓度占标率为</w:t>
      </w:r>
      <w:r>
        <w:rPr>
          <w:rFonts w:hint="eastAsia" w:cs="Times New Roman"/>
          <w:color w:val="000000" w:themeColor="text1"/>
          <w:szCs w:val="24"/>
        </w:rPr>
        <w:t>2.51</w:t>
      </w:r>
      <w:r>
        <w:rPr>
          <w:rFonts w:cs="Times New Roman"/>
          <w:color w:val="000000" w:themeColor="text1"/>
          <w:szCs w:val="24"/>
        </w:rPr>
        <w:t>%，</w:t>
      </w:r>
      <w:r>
        <w:rPr>
          <w:rFonts w:cs="Times New Roman"/>
          <w:bCs/>
          <w:color w:val="000000" w:themeColor="text1"/>
        </w:rPr>
        <w:t>满足</w:t>
      </w:r>
      <w:r>
        <w:rPr>
          <w:rFonts w:cs="Times New Roman"/>
          <w:bCs/>
          <w:snapToGrid w:val="0"/>
          <w:color w:val="000000" w:themeColor="text1"/>
        </w:rPr>
        <w:t>《环境空气质量标准》（GB3095-2012）二级标准</w:t>
      </w:r>
      <w:r>
        <w:rPr>
          <w:rFonts w:cs="Times New Roman"/>
          <w:color w:val="000000" w:themeColor="text1"/>
        </w:rPr>
        <w:t>中</w:t>
      </w:r>
      <w:r>
        <w:rPr>
          <w:rFonts w:cs="Times New Roman"/>
          <w:bCs/>
          <w:color w:val="000000" w:themeColor="text1"/>
        </w:rPr>
        <w:t>NO</w:t>
      </w:r>
      <w:r>
        <w:rPr>
          <w:rFonts w:cs="Times New Roman"/>
          <w:bCs/>
          <w:color w:val="000000" w:themeColor="text1"/>
          <w:vertAlign w:val="subscript"/>
        </w:rPr>
        <w:t>X</w:t>
      </w:r>
      <w:r>
        <w:rPr>
          <w:rFonts w:cs="Times New Roman"/>
          <w:color w:val="000000" w:themeColor="text1"/>
        </w:rPr>
        <w:t>＜250 μg/m</w:t>
      </w:r>
      <w:r>
        <w:rPr>
          <w:rFonts w:cs="Times New Roman"/>
          <w:color w:val="000000" w:themeColor="text1"/>
          <w:vertAlign w:val="superscript"/>
        </w:rPr>
        <w:t>3</w:t>
      </w:r>
      <w:r>
        <w:rPr>
          <w:rFonts w:cs="Times New Roman"/>
          <w:color w:val="000000" w:themeColor="text1"/>
        </w:rPr>
        <w:t>的要求</w:t>
      </w:r>
      <w:r>
        <w:rPr>
          <w:rFonts w:hint="eastAsia" w:cs="Times New Roman"/>
          <w:color w:val="000000" w:themeColor="text1"/>
        </w:rPr>
        <w:t>；</w:t>
      </w:r>
      <w:r>
        <w:rPr>
          <w:rFonts w:cs="Times New Roman"/>
          <w:color w:val="000000" w:themeColor="text1"/>
          <w:szCs w:val="24"/>
        </w:rPr>
        <w:t>污染物最大地面浓度均出现在污染源下风向</w:t>
      </w:r>
      <w:r>
        <w:rPr>
          <w:rFonts w:hint="eastAsia" w:cs="Times New Roman"/>
          <w:color w:val="000000" w:themeColor="text1"/>
          <w:szCs w:val="24"/>
        </w:rPr>
        <w:t>139</w:t>
      </w:r>
      <w:r>
        <w:rPr>
          <w:rFonts w:cs="Times New Roman"/>
          <w:color w:val="000000" w:themeColor="text1"/>
          <w:szCs w:val="24"/>
        </w:rPr>
        <w:t>m处。</w:t>
      </w:r>
      <w:r>
        <w:rPr>
          <w:rFonts w:hint="eastAsia"/>
          <w:color w:val="000000" w:themeColor="text1"/>
          <w:szCs w:val="24"/>
        </w:rPr>
        <w:t>项目下风向最近的敏感点为北侧1644m的小舍克村，小舍克村的颗粒物、</w:t>
      </w:r>
      <w:r>
        <w:rPr>
          <w:color w:val="000000" w:themeColor="text1"/>
          <w:szCs w:val="24"/>
        </w:rPr>
        <w:t>SO</w:t>
      </w:r>
      <w:r>
        <w:rPr>
          <w:color w:val="000000" w:themeColor="text1"/>
          <w:szCs w:val="24"/>
          <w:vertAlign w:val="subscript"/>
        </w:rPr>
        <w:t>2</w:t>
      </w:r>
      <w:r>
        <w:rPr>
          <w:rFonts w:hint="eastAsia"/>
          <w:color w:val="000000" w:themeColor="text1"/>
          <w:szCs w:val="24"/>
        </w:rPr>
        <w:t>、氮氧化物落地浓度均能</w:t>
      </w:r>
      <w:r>
        <w:rPr>
          <w:rFonts w:hint="eastAsia"/>
          <w:bCs/>
          <w:color w:val="000000" w:themeColor="text1"/>
        </w:rPr>
        <w:t>满足</w:t>
      </w:r>
      <w:r>
        <w:rPr>
          <w:rFonts w:hint="eastAsia" w:hAnsi="宋体"/>
          <w:color w:val="000000" w:themeColor="text1"/>
        </w:rPr>
        <w:t>《环境空气质量标准》（</w:t>
      </w:r>
      <w:r>
        <w:rPr>
          <w:color w:val="000000" w:themeColor="text1"/>
        </w:rPr>
        <w:t>GB3095-2012</w:t>
      </w:r>
      <w:r>
        <w:rPr>
          <w:rFonts w:hint="eastAsia" w:hAnsi="宋体"/>
          <w:color w:val="000000" w:themeColor="text1"/>
        </w:rPr>
        <w:t>）中二级标准</w:t>
      </w:r>
      <w:r>
        <w:rPr>
          <w:rFonts w:hint="eastAsia"/>
          <w:color w:val="000000" w:themeColor="text1"/>
        </w:rPr>
        <w:t>的要求。</w:t>
      </w:r>
      <w:r>
        <w:rPr>
          <w:rFonts w:cs="Times New Roman"/>
          <w:bCs/>
          <w:color w:val="000000" w:themeColor="text1"/>
        </w:rPr>
        <w:t>正常排放情况下项目焚烧炉有组织废气最大落地浓度以及周围敏感目标处落地浓度对应占标率较小，对周围环境现状改变改小。</w:t>
      </w:r>
    </w:p>
    <w:p>
      <w:pPr>
        <w:ind w:firstLine="480"/>
        <w:rPr>
          <w:bCs/>
          <w:color w:val="000000" w:themeColor="text1"/>
        </w:rPr>
      </w:pPr>
      <w:r>
        <w:rPr>
          <w:rFonts w:cs="Times New Roman"/>
          <w:color w:val="000000" w:themeColor="text1"/>
          <w:szCs w:val="24"/>
        </w:rPr>
        <w:t>正常排放情况下焚烧炉烟气中颗粒物、SO</w:t>
      </w:r>
      <w:r>
        <w:rPr>
          <w:rFonts w:cs="Times New Roman"/>
          <w:color w:val="000000" w:themeColor="text1"/>
          <w:szCs w:val="24"/>
          <w:vertAlign w:val="subscript"/>
        </w:rPr>
        <w:t>2</w:t>
      </w:r>
      <w:r>
        <w:rPr>
          <w:rFonts w:cs="Times New Roman"/>
          <w:color w:val="000000" w:themeColor="text1"/>
          <w:szCs w:val="24"/>
        </w:rPr>
        <w:t>、</w:t>
      </w:r>
      <w:r>
        <w:rPr>
          <w:rFonts w:hint="eastAsia" w:cs="Times New Roman"/>
          <w:color w:val="000000" w:themeColor="text1"/>
          <w:szCs w:val="24"/>
        </w:rPr>
        <w:t>NOx三</w:t>
      </w:r>
      <w:r>
        <w:rPr>
          <w:rFonts w:cs="Times New Roman"/>
          <w:bCs/>
          <w:color w:val="000000" w:themeColor="text1"/>
        </w:rPr>
        <w:t>种污染物的最大地面浓度占标率P</w:t>
      </w:r>
      <w:r>
        <w:rPr>
          <w:rFonts w:cs="Times New Roman"/>
          <w:bCs/>
          <w:color w:val="000000" w:themeColor="text1"/>
          <w:vertAlign w:val="subscript"/>
        </w:rPr>
        <w:t>max</w:t>
      </w:r>
      <w:r>
        <w:rPr>
          <w:rFonts w:cs="Times New Roman"/>
          <w:bCs/>
          <w:color w:val="000000" w:themeColor="text1"/>
        </w:rPr>
        <w:t>=Max（P</w:t>
      </w:r>
      <w:r>
        <w:rPr>
          <w:rFonts w:hint="eastAsia" w:cs="Times New Roman"/>
          <w:bCs/>
          <w:color w:val="000000" w:themeColor="text1"/>
          <w:vertAlign w:val="subscript"/>
        </w:rPr>
        <w:t>PM10</w:t>
      </w:r>
      <w:r>
        <w:rPr>
          <w:rFonts w:cs="Times New Roman"/>
          <w:bCs/>
          <w:color w:val="000000" w:themeColor="text1"/>
        </w:rPr>
        <w:t>，P</w:t>
      </w:r>
      <w:r>
        <w:rPr>
          <w:rFonts w:cs="Times New Roman"/>
          <w:bCs/>
          <w:color w:val="000000" w:themeColor="text1"/>
          <w:vertAlign w:val="subscript"/>
        </w:rPr>
        <w:t>SO2</w:t>
      </w:r>
      <w:r>
        <w:rPr>
          <w:rFonts w:cs="Times New Roman"/>
          <w:bCs/>
          <w:color w:val="000000" w:themeColor="text1"/>
        </w:rPr>
        <w:t>，P</w:t>
      </w:r>
      <w:r>
        <w:rPr>
          <w:rFonts w:cs="Times New Roman"/>
          <w:bCs/>
          <w:color w:val="000000" w:themeColor="text1"/>
          <w:vertAlign w:val="subscript"/>
        </w:rPr>
        <w:t>NOx</w:t>
      </w:r>
      <w:r>
        <w:rPr>
          <w:rFonts w:cs="Times New Roman"/>
          <w:bCs/>
          <w:color w:val="000000" w:themeColor="text1"/>
        </w:rPr>
        <w:t>）=</w:t>
      </w:r>
      <w:r>
        <w:rPr>
          <w:rFonts w:hint="eastAsia" w:cs="Times New Roman"/>
          <w:bCs/>
          <w:color w:val="000000" w:themeColor="text1"/>
        </w:rPr>
        <w:t>2.51</w:t>
      </w:r>
      <w:r>
        <w:rPr>
          <w:rFonts w:cs="Times New Roman"/>
          <w:bCs/>
          <w:color w:val="000000" w:themeColor="text1"/>
        </w:rPr>
        <w:t>%，</w:t>
      </w:r>
      <w:r>
        <w:rPr>
          <w:rFonts w:hint="eastAsia"/>
          <w:color w:val="000000" w:themeColor="text1"/>
        </w:rPr>
        <w:t>三</w:t>
      </w:r>
      <w:r>
        <w:rPr>
          <w:color w:val="000000" w:themeColor="text1"/>
        </w:rPr>
        <w:t>种污染物的最大地面浓度占标率1</w:t>
      </w:r>
      <w:r>
        <w:rPr>
          <w:rFonts w:hint="eastAsia"/>
          <w:color w:val="000000" w:themeColor="text1"/>
        </w:rPr>
        <w:t>%</w:t>
      </w:r>
      <w:r>
        <w:rPr>
          <w:color w:val="000000" w:themeColor="text1"/>
        </w:rPr>
        <w:t>≤</w:t>
      </w:r>
      <w:r>
        <w:rPr>
          <w:i/>
          <w:iCs/>
          <w:color w:val="000000" w:themeColor="text1"/>
        </w:rPr>
        <w:t>P</w:t>
      </w:r>
      <w:r>
        <w:rPr>
          <w:color w:val="000000" w:themeColor="text1"/>
          <w:vertAlign w:val="subscript"/>
        </w:rPr>
        <w:t>max</w:t>
      </w:r>
      <w:r>
        <w:rPr>
          <w:color w:val="000000" w:themeColor="text1"/>
        </w:rPr>
        <w:t>=</w:t>
      </w:r>
      <w:r>
        <w:rPr>
          <w:rFonts w:hint="eastAsia" w:hAnsi="Calibri"/>
          <w:color w:val="000000" w:themeColor="text1"/>
        </w:rPr>
        <w:t>2.51%</w:t>
      </w:r>
      <w:r>
        <w:rPr>
          <w:color w:val="000000" w:themeColor="text1"/>
        </w:rPr>
        <w:t>&lt;10%</w:t>
      </w:r>
      <w:r>
        <w:rPr>
          <w:rFonts w:hAnsi="Calibri"/>
          <w:color w:val="000000" w:themeColor="text1"/>
        </w:rPr>
        <w:t>，即计算过程中污染因子</w:t>
      </w:r>
      <w:r>
        <w:rPr>
          <w:rFonts w:hint="eastAsia"/>
          <w:color w:val="000000" w:themeColor="text1"/>
          <w:szCs w:val="24"/>
        </w:rPr>
        <w:t>颗粒物、</w:t>
      </w:r>
      <w:r>
        <w:rPr>
          <w:color w:val="000000" w:themeColor="text1"/>
          <w:szCs w:val="24"/>
        </w:rPr>
        <w:t>SO</w:t>
      </w:r>
      <w:r>
        <w:rPr>
          <w:color w:val="000000" w:themeColor="text1"/>
          <w:szCs w:val="24"/>
          <w:vertAlign w:val="subscript"/>
        </w:rPr>
        <w:t>2</w:t>
      </w:r>
      <w:r>
        <w:rPr>
          <w:rFonts w:hint="eastAsia"/>
          <w:color w:val="000000" w:themeColor="text1"/>
          <w:szCs w:val="24"/>
        </w:rPr>
        <w:t>、NOx</w:t>
      </w:r>
      <w:r>
        <w:rPr>
          <w:rFonts w:hAnsi="Calibri"/>
          <w:color w:val="000000" w:themeColor="text1"/>
        </w:rPr>
        <w:t>在筛选点占标率均在</w:t>
      </w:r>
      <w:r>
        <w:rPr>
          <w:color w:val="000000" w:themeColor="text1"/>
        </w:rPr>
        <w:t>1</w:t>
      </w:r>
      <w:r>
        <w:rPr>
          <w:rFonts w:hAnsi="Calibri"/>
          <w:color w:val="000000" w:themeColor="text1"/>
        </w:rPr>
        <w:t>～</w:t>
      </w:r>
      <w:r>
        <w:rPr>
          <w:color w:val="000000" w:themeColor="text1"/>
        </w:rPr>
        <w:t>10%</w:t>
      </w:r>
      <w:r>
        <w:rPr>
          <w:rFonts w:hAnsi="Calibri"/>
          <w:color w:val="000000" w:themeColor="text1"/>
        </w:rPr>
        <w:t>之间。根据《环境影响评价技术导则</w:t>
      </w:r>
      <w:r>
        <w:rPr>
          <w:color w:val="000000" w:themeColor="text1"/>
        </w:rPr>
        <w:t xml:space="preserve"> </w:t>
      </w:r>
      <w:r>
        <w:rPr>
          <w:rFonts w:hAnsi="Calibri"/>
          <w:color w:val="000000" w:themeColor="text1"/>
        </w:rPr>
        <w:t>大气环境》（</w:t>
      </w:r>
      <w:r>
        <w:rPr>
          <w:color w:val="000000" w:themeColor="text1"/>
        </w:rPr>
        <w:t>HJ2.2-2018</w:t>
      </w:r>
      <w:r>
        <w:rPr>
          <w:rFonts w:hAnsi="Calibri"/>
          <w:color w:val="000000" w:themeColor="text1"/>
        </w:rPr>
        <w:t>）规定，确定环境空气评价等级为二级</w:t>
      </w:r>
      <w:r>
        <w:rPr>
          <w:rFonts w:hint="eastAsia" w:hAnsi="Calibri"/>
          <w:color w:val="000000" w:themeColor="text1"/>
        </w:rPr>
        <w:t>，</w:t>
      </w:r>
      <w:r>
        <w:rPr>
          <w:color w:val="000000" w:themeColor="text1"/>
        </w:rPr>
        <w:t>不再用预测模式进一步进行预测</w:t>
      </w:r>
      <w:r>
        <w:rPr>
          <w:rFonts w:hint="eastAsia"/>
          <w:color w:val="000000" w:themeColor="text1"/>
        </w:rPr>
        <w:t>。</w:t>
      </w:r>
    </w:p>
    <w:p>
      <w:pPr>
        <w:ind w:firstLine="480"/>
        <w:rPr>
          <w:rFonts w:cs="Times New Roman"/>
          <w:color w:val="000000" w:themeColor="text1"/>
          <w:kern w:val="0"/>
        </w:rPr>
      </w:pPr>
      <w:r>
        <w:rPr>
          <w:rFonts w:hint="eastAsia"/>
          <w:color w:val="000000" w:themeColor="text1"/>
        </w:rPr>
        <w:t>（3）焚烧炉废气非正常排放情况下的估算模式计算结果及影响分析</w:t>
      </w:r>
    </w:p>
    <w:p>
      <w:pPr>
        <w:ind w:firstLine="480"/>
        <w:rPr>
          <w:color w:val="000000" w:themeColor="text1"/>
        </w:rPr>
      </w:pPr>
      <w:r>
        <w:rPr>
          <w:rFonts w:hint="eastAsia"/>
          <w:color w:val="000000" w:themeColor="text1"/>
        </w:rPr>
        <w:t>焚烧炉废气采用布袋除尘器进行处理后排放，若布袋除尘器出现故障，将会导致焚烧废气未经处理直接排放。采用估算模式，非正常排放情况下焚烧炉有组织废气污染物估算结果列于表</w:t>
      </w:r>
      <w:r>
        <w:rPr>
          <w:color w:val="000000" w:themeColor="text1"/>
        </w:rPr>
        <w:t>6.1</w:t>
      </w:r>
      <w:r>
        <w:rPr>
          <w:rFonts w:hint="eastAsia"/>
          <w:color w:val="000000" w:themeColor="text1"/>
        </w:rPr>
        <w:t>.2-10。</w:t>
      </w:r>
    </w:p>
    <w:p>
      <w:pPr>
        <w:pStyle w:val="54"/>
        <w:rPr>
          <w:color w:val="000000" w:themeColor="text1"/>
          <w:kern w:val="0"/>
        </w:rPr>
      </w:pPr>
      <w:r>
        <w:rPr>
          <w:color w:val="000000" w:themeColor="text1"/>
          <w:kern w:val="0"/>
        </w:rPr>
        <w:tab/>
      </w:r>
      <w:r>
        <w:rPr>
          <w:rFonts w:hint="eastAsia"/>
          <w:color w:val="000000" w:themeColor="text1"/>
          <w:kern w:val="0"/>
        </w:rPr>
        <w:t>表</w:t>
      </w:r>
      <w:r>
        <w:rPr>
          <w:color w:val="000000" w:themeColor="text1"/>
          <w:kern w:val="0"/>
        </w:rPr>
        <w:t>6.1</w:t>
      </w:r>
      <w:r>
        <w:rPr>
          <w:rFonts w:hint="eastAsia"/>
          <w:color w:val="000000" w:themeColor="text1"/>
          <w:kern w:val="0"/>
        </w:rPr>
        <w:t>.2-10</w:t>
      </w:r>
      <w:r>
        <w:rPr>
          <w:color w:val="000000" w:themeColor="text1"/>
          <w:kern w:val="0"/>
        </w:rPr>
        <w:t xml:space="preserve"> </w:t>
      </w:r>
      <w:r>
        <w:rPr>
          <w:rFonts w:hint="eastAsia"/>
          <w:color w:val="000000" w:themeColor="text1"/>
          <w:kern w:val="0"/>
        </w:rPr>
        <w:t xml:space="preserve"> </w:t>
      </w:r>
      <w:r>
        <w:rPr>
          <w:color w:val="000000" w:themeColor="text1"/>
          <w:kern w:val="0"/>
        </w:rPr>
        <w:t>非</w:t>
      </w:r>
      <w:r>
        <w:rPr>
          <w:rFonts w:hint="eastAsia"/>
          <w:color w:val="000000" w:themeColor="text1"/>
          <w:kern w:val="0"/>
        </w:rPr>
        <w:t>正常排放情况下焚烧炉废气污染物估算</w:t>
      </w:r>
      <w:r>
        <w:rPr>
          <w:rFonts w:hint="eastAsia"/>
          <w:color w:val="000000" w:themeColor="text1"/>
        </w:rPr>
        <w:t>模式</w:t>
      </w:r>
      <w:r>
        <w:rPr>
          <w:rFonts w:hint="eastAsia"/>
          <w:color w:val="000000" w:themeColor="text1"/>
          <w:kern w:val="0"/>
        </w:rPr>
        <w:t>计算结果表</w:t>
      </w:r>
      <w:r>
        <w:rPr>
          <w:color w:val="000000" w:themeColor="text1"/>
          <w:kern w:val="0"/>
        </w:rPr>
        <w:tab/>
      </w:r>
    </w:p>
    <w:tbl>
      <w:tblPr>
        <w:tblStyle w:val="42"/>
        <w:tblW w:w="8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1245"/>
        <w:gridCol w:w="1087"/>
        <w:gridCol w:w="1246"/>
        <w:gridCol w:w="1049"/>
        <w:gridCol w:w="1273"/>
        <w:gridCol w:w="1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2"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rFonts w:hint="eastAsia"/>
                <w:color w:val="000000" w:themeColor="text1"/>
                <w:szCs w:val="21"/>
              </w:rPr>
              <w:t>下风向距离</w:t>
            </w:r>
            <w:r>
              <w:rPr>
                <w:color w:val="000000" w:themeColor="text1"/>
                <w:szCs w:val="21"/>
              </w:rPr>
              <w:t>/m</w:t>
            </w:r>
          </w:p>
        </w:tc>
        <w:tc>
          <w:tcPr>
            <w:tcW w:w="2332"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rFonts w:hint="eastAsia"/>
                <w:color w:val="000000" w:themeColor="text1"/>
                <w:szCs w:val="21"/>
              </w:rPr>
              <w:t>颗粒物（PM</w:t>
            </w:r>
            <w:r>
              <w:rPr>
                <w:rFonts w:hint="eastAsia"/>
                <w:color w:val="000000" w:themeColor="text1"/>
                <w:szCs w:val="21"/>
                <w:vertAlign w:val="subscript"/>
              </w:rPr>
              <w:t>10</w:t>
            </w:r>
            <w:r>
              <w:rPr>
                <w:rFonts w:hint="eastAsia"/>
                <w:color w:val="000000" w:themeColor="text1"/>
                <w:szCs w:val="21"/>
              </w:rPr>
              <w:t>）</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SO</w:t>
            </w:r>
            <w:r>
              <w:rPr>
                <w:color w:val="000000" w:themeColor="text1"/>
                <w:szCs w:val="21"/>
                <w:vertAlign w:val="subscript"/>
              </w:rPr>
              <w:t>2</w:t>
            </w:r>
          </w:p>
        </w:tc>
        <w:tc>
          <w:tcPr>
            <w:tcW w:w="2421"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NOx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2"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rFonts w:hint="eastAsia"/>
                <w:color w:val="000000" w:themeColor="text1"/>
                <w:szCs w:val="21"/>
              </w:rPr>
              <w:t>预测质量浓度</w:t>
            </w:r>
            <w:r>
              <w:rPr>
                <w:color w:val="000000" w:themeColor="text1"/>
                <w:szCs w:val="21"/>
              </w:rPr>
              <w:t>/</w:t>
            </w:r>
            <w:r>
              <w:rPr>
                <w:rFonts w:hint="eastAsia"/>
                <w:color w:val="000000" w:themeColor="text1"/>
                <w:szCs w:val="21"/>
              </w:rPr>
              <w:t>（</w:t>
            </w:r>
            <w:r>
              <w:rPr>
                <w:color w:val="000000" w:themeColor="text1"/>
                <w:szCs w:val="21"/>
              </w:rPr>
              <w:t>μg/m</w:t>
            </w:r>
            <w:r>
              <w:rPr>
                <w:color w:val="000000" w:themeColor="text1"/>
                <w:szCs w:val="21"/>
                <w:vertAlign w:val="superscript"/>
              </w:rPr>
              <w:t>3</w:t>
            </w:r>
            <w:r>
              <w:rPr>
                <w:rFonts w:hint="eastAsia"/>
                <w:color w:val="000000" w:themeColor="text1"/>
                <w:szCs w:val="21"/>
              </w:rPr>
              <w:t>）</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rFonts w:hint="eastAsia"/>
                <w:color w:val="000000" w:themeColor="text1"/>
                <w:szCs w:val="21"/>
              </w:rPr>
              <w:t>占标率</w:t>
            </w:r>
            <w:r>
              <w:rPr>
                <w:color w:val="000000" w:themeColor="text1"/>
                <w:szCs w:val="21"/>
              </w:rPr>
              <w:t>%</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rFonts w:hint="eastAsia"/>
                <w:color w:val="000000" w:themeColor="text1"/>
                <w:szCs w:val="21"/>
              </w:rPr>
              <w:t>预测质量浓度</w:t>
            </w:r>
            <w:r>
              <w:rPr>
                <w:color w:val="000000" w:themeColor="text1"/>
                <w:szCs w:val="21"/>
              </w:rPr>
              <w:t>/</w:t>
            </w:r>
            <w:r>
              <w:rPr>
                <w:rFonts w:hint="eastAsia"/>
                <w:color w:val="000000" w:themeColor="text1"/>
                <w:szCs w:val="21"/>
              </w:rPr>
              <w:t>（</w:t>
            </w:r>
            <w:r>
              <w:rPr>
                <w:color w:val="000000" w:themeColor="text1"/>
                <w:szCs w:val="21"/>
              </w:rPr>
              <w:t>μg/m</w:t>
            </w:r>
            <w:r>
              <w:rPr>
                <w:color w:val="000000" w:themeColor="text1"/>
                <w:szCs w:val="21"/>
                <w:vertAlign w:val="superscript"/>
              </w:rPr>
              <w:t>3</w:t>
            </w:r>
            <w:r>
              <w:rPr>
                <w:rFonts w:hint="eastAsia"/>
                <w:color w:val="000000" w:themeColor="text1"/>
                <w:szCs w:val="21"/>
              </w:rPr>
              <w:t>）</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rFonts w:hint="eastAsia"/>
                <w:color w:val="000000" w:themeColor="text1"/>
                <w:szCs w:val="21"/>
              </w:rPr>
              <w:t>占标率</w:t>
            </w:r>
            <w:r>
              <w:rPr>
                <w:color w:val="000000" w:themeColor="text1"/>
                <w:szCs w:val="21"/>
              </w:rPr>
              <w:t>%</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rFonts w:hint="eastAsia"/>
                <w:color w:val="000000" w:themeColor="text1"/>
                <w:szCs w:val="21"/>
              </w:rPr>
              <w:t>预测质量浓度</w:t>
            </w:r>
            <w:r>
              <w:rPr>
                <w:color w:val="000000" w:themeColor="text1"/>
                <w:szCs w:val="21"/>
              </w:rPr>
              <w:t>/</w:t>
            </w:r>
            <w:r>
              <w:rPr>
                <w:rFonts w:hint="eastAsia"/>
                <w:color w:val="000000" w:themeColor="text1"/>
                <w:szCs w:val="21"/>
              </w:rPr>
              <w:t>（</w:t>
            </w:r>
            <w:r>
              <w:rPr>
                <w:color w:val="000000" w:themeColor="text1"/>
                <w:szCs w:val="21"/>
              </w:rPr>
              <w:t>μg/m</w:t>
            </w:r>
            <w:r>
              <w:rPr>
                <w:color w:val="000000" w:themeColor="text1"/>
                <w:szCs w:val="21"/>
                <w:vertAlign w:val="superscript"/>
              </w:rPr>
              <w:t>3</w:t>
            </w:r>
            <w:r>
              <w:rPr>
                <w:rFonts w:hint="eastAsia"/>
                <w:color w:val="000000" w:themeColor="text1"/>
                <w:szCs w:val="21"/>
              </w:rPr>
              <w:t>）</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rFonts w:hint="eastAsia"/>
                <w:color w:val="000000" w:themeColor="text1"/>
                <w:szCs w:val="21"/>
              </w:rPr>
              <w:t>占标率</w:t>
            </w:r>
            <w:r>
              <w:rPr>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25</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0.00</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50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2.793</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0.62</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0.002837</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0.09166</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75</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64.077</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14.24</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0.065078</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2.10252</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100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146.659</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32.59</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0.14895</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0.03</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4.812231</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color w:val="000000" w:themeColor="text1"/>
                <w:szCs w:val="21"/>
              </w:rPr>
            </w:pPr>
            <w:r>
              <w:rPr>
                <w:color w:val="000000" w:themeColor="text1"/>
                <w:szCs w:val="21"/>
              </w:rPr>
              <w:t>1</w:t>
            </w:r>
            <w:r>
              <w:rPr>
                <w:rFonts w:hint="eastAsia"/>
                <w:color w:val="000000" w:themeColor="text1"/>
                <w:szCs w:val="21"/>
              </w:rPr>
              <w:t>39</w:t>
            </w:r>
          </w:p>
        </w:tc>
        <w:tc>
          <w:tcPr>
            <w:tcW w:w="1245"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rPr>
            </w:pPr>
            <w:r>
              <w:rPr>
                <w:rFonts w:hint="eastAsia"/>
                <w:color w:val="000000" w:themeColor="text1"/>
              </w:rPr>
              <w:t>191.37</w:t>
            </w:r>
          </w:p>
        </w:tc>
        <w:tc>
          <w:tcPr>
            <w:tcW w:w="1087"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rPr>
            </w:pPr>
            <w:r>
              <w:rPr>
                <w:rFonts w:hint="eastAsia"/>
                <w:color w:val="000000" w:themeColor="text1"/>
              </w:rPr>
              <w:t>42.53</w:t>
            </w:r>
          </w:p>
        </w:tc>
        <w:tc>
          <w:tcPr>
            <w:tcW w:w="1246"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szCs w:val="21"/>
              </w:rPr>
            </w:pPr>
            <w:r>
              <w:rPr>
                <w:rFonts w:hint="eastAsia"/>
                <w:color w:val="000000" w:themeColor="text1"/>
                <w:szCs w:val="21"/>
              </w:rPr>
              <w:t>0.19436</w:t>
            </w:r>
          </w:p>
        </w:tc>
        <w:tc>
          <w:tcPr>
            <w:tcW w:w="1049"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szCs w:val="21"/>
              </w:rPr>
            </w:pPr>
            <w:r>
              <w:rPr>
                <w:rFonts w:hint="eastAsia"/>
                <w:color w:val="000000" w:themeColor="text1"/>
                <w:szCs w:val="21"/>
              </w:rPr>
              <w:t>0.04</w:t>
            </w:r>
          </w:p>
        </w:tc>
        <w:tc>
          <w:tcPr>
            <w:tcW w:w="1273"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szCs w:val="21"/>
              </w:rPr>
            </w:pPr>
            <w:r>
              <w:rPr>
                <w:rFonts w:hint="eastAsia"/>
                <w:color w:val="000000" w:themeColor="text1"/>
                <w:szCs w:val="21"/>
              </w:rPr>
              <w:t>6.279323</w:t>
            </w:r>
          </w:p>
        </w:tc>
        <w:tc>
          <w:tcPr>
            <w:tcW w:w="1148"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szCs w:val="21"/>
              </w:rPr>
            </w:pPr>
            <w:r>
              <w:rPr>
                <w:rFonts w:hint="eastAsia"/>
                <w:color w:val="000000" w:themeColor="text1"/>
                <w:szCs w:val="21"/>
              </w:rPr>
              <w:t>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200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167.749</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37.28</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0.17037</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0.03</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5.504261</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300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111.507</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25.22</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0.11528</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0.02</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3.724431</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400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78.358</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17.41</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0.079582</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0.02</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2.57111</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500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56.64</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12.59</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0.057525</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1.8585</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600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42.844</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9.52</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0.043513</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1.405805</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700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33.632</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7.47</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0.034158</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1.103566</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800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27.196</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6.04</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0.027621</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0.892371</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900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22.521</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5.00</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0.022873</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0.738974</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1000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19.014</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4.23</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0.019311</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0.623894</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1100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16.312</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3.62</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0.016567</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0.535242</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1200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14.181</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3.15</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0.014403</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0.465328</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1300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12.47</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2.77</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0.012665</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0.409177</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1400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11.073</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2.46</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0.011246</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0.363332</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1500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9.915</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2.20</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0.01007</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0.325338</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1600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8.943</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1.99</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0.009083</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0.293454</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color w:val="000000" w:themeColor="text1"/>
                <w:szCs w:val="21"/>
              </w:rPr>
            </w:pPr>
            <w:r>
              <w:rPr>
                <w:rFonts w:hint="eastAsia"/>
                <w:color w:val="000000" w:themeColor="text1"/>
                <w:szCs w:val="21"/>
              </w:rPr>
              <w:t>1644</w:t>
            </w:r>
          </w:p>
          <w:p>
            <w:pPr>
              <w:pStyle w:val="55"/>
              <w:rPr>
                <w:color w:val="000000" w:themeColor="text1"/>
                <w:szCs w:val="21"/>
              </w:rPr>
            </w:pPr>
            <w:r>
              <w:rPr>
                <w:rFonts w:hint="eastAsia"/>
                <w:color w:val="000000" w:themeColor="text1"/>
                <w:szCs w:val="21"/>
              </w:rPr>
              <w:t>（小舍克村）</w:t>
            </w:r>
          </w:p>
        </w:tc>
        <w:tc>
          <w:tcPr>
            <w:tcW w:w="1245"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rPr>
            </w:pPr>
            <w:r>
              <w:rPr>
                <w:rFonts w:hint="eastAsia"/>
                <w:color w:val="000000" w:themeColor="text1"/>
              </w:rPr>
              <w:t>8.564</w:t>
            </w:r>
          </w:p>
        </w:tc>
        <w:tc>
          <w:tcPr>
            <w:tcW w:w="1087"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rPr>
            </w:pPr>
            <w:r>
              <w:rPr>
                <w:rFonts w:hint="eastAsia"/>
                <w:color w:val="000000" w:themeColor="text1"/>
              </w:rPr>
              <w:t>1.90</w:t>
            </w:r>
          </w:p>
        </w:tc>
        <w:tc>
          <w:tcPr>
            <w:tcW w:w="1246"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szCs w:val="21"/>
              </w:rPr>
            </w:pPr>
            <w:r>
              <w:rPr>
                <w:rFonts w:hint="eastAsia"/>
                <w:color w:val="000000" w:themeColor="text1"/>
                <w:szCs w:val="21"/>
              </w:rPr>
              <w:t>0.008698</w:t>
            </w:r>
          </w:p>
        </w:tc>
        <w:tc>
          <w:tcPr>
            <w:tcW w:w="1049"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szCs w:val="21"/>
              </w:rPr>
            </w:pPr>
            <w:r>
              <w:rPr>
                <w:rFonts w:hint="eastAsia"/>
                <w:color w:val="000000" w:themeColor="text1"/>
                <w:szCs w:val="21"/>
              </w:rPr>
              <w:t>0</w:t>
            </w:r>
          </w:p>
        </w:tc>
        <w:tc>
          <w:tcPr>
            <w:tcW w:w="1273"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szCs w:val="21"/>
              </w:rPr>
            </w:pPr>
            <w:r>
              <w:rPr>
                <w:rFonts w:hint="eastAsia"/>
                <w:color w:val="000000" w:themeColor="text1"/>
                <w:szCs w:val="21"/>
              </w:rPr>
              <w:t>0.281022</w:t>
            </w:r>
          </w:p>
        </w:tc>
        <w:tc>
          <w:tcPr>
            <w:tcW w:w="1148" w:type="dxa"/>
            <w:tcBorders>
              <w:top w:val="single" w:color="auto" w:sz="4" w:space="0"/>
              <w:left w:val="single" w:color="auto" w:sz="4" w:space="0"/>
              <w:bottom w:val="single" w:color="auto" w:sz="4" w:space="0"/>
              <w:right w:val="single" w:color="auto" w:sz="4" w:space="0"/>
            </w:tcBorders>
            <w:shd w:val="clear" w:color="auto" w:fill="A5A5A5" w:themeFill="background1" w:themeFillShade="A6"/>
            <w:vAlign w:val="center"/>
          </w:tcPr>
          <w:p>
            <w:pPr>
              <w:pStyle w:val="55"/>
              <w:rPr>
                <w:rFonts w:ascii="宋体" w:hAnsi="宋体" w:cs="宋体"/>
                <w:color w:val="000000" w:themeColor="text1"/>
                <w:szCs w:val="21"/>
              </w:rPr>
            </w:pPr>
            <w:r>
              <w:rPr>
                <w:rFonts w:hint="eastAsia"/>
                <w:color w:val="000000" w:themeColor="text1"/>
                <w:szCs w:val="21"/>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1700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8.119</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1.80</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0.008246</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0.266416</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1800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7.414</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1.65</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0.00753</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0.243261</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1900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6.804</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1.51</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0.00691</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0.223256</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2000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6.273</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1.39</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0.006371</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0.205836</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2100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5.808</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1.29</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0.005898</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0.190564</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2200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5.397</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1.20</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0.005481</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0.177088</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2300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5.032</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1.12</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0.005111</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0.165125</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2400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4.707</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1.05</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0.004781</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0.154453</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1"/>
              </w:rPr>
            </w:pPr>
            <w:r>
              <w:rPr>
                <w:color w:val="000000" w:themeColor="text1"/>
                <w:szCs w:val="21"/>
              </w:rPr>
              <w:t>2500</w:t>
            </w:r>
          </w:p>
        </w:tc>
        <w:tc>
          <w:tcPr>
            <w:tcW w:w="1245"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4.416</w:t>
            </w:r>
          </w:p>
        </w:tc>
        <w:tc>
          <w:tcPr>
            <w:tcW w:w="1087"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rPr>
            </w:pPr>
            <w:r>
              <w:rPr>
                <w:rFonts w:hint="eastAsia"/>
                <w:color w:val="000000" w:themeColor="text1"/>
              </w:rPr>
              <w:t>0.98</w:t>
            </w:r>
          </w:p>
        </w:tc>
        <w:tc>
          <w:tcPr>
            <w:tcW w:w="1246"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0.004485</w:t>
            </w:r>
          </w:p>
        </w:tc>
        <w:tc>
          <w:tcPr>
            <w:tcW w:w="1049"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0.144884</w:t>
            </w:r>
          </w:p>
        </w:tc>
        <w:tc>
          <w:tcPr>
            <w:tcW w:w="1148" w:type="dxa"/>
            <w:tcBorders>
              <w:top w:val="single" w:color="auto" w:sz="4" w:space="0"/>
              <w:left w:val="single" w:color="auto" w:sz="4" w:space="0"/>
              <w:bottom w:val="single" w:color="auto" w:sz="4" w:space="0"/>
              <w:right w:val="single" w:color="auto" w:sz="4" w:space="0"/>
            </w:tcBorders>
            <w:vAlign w:val="center"/>
          </w:tcPr>
          <w:p>
            <w:pPr>
              <w:pStyle w:val="55"/>
              <w:rPr>
                <w:rFonts w:ascii="宋体" w:hAnsi="宋体" w:cs="宋体"/>
                <w:color w:val="000000" w:themeColor="text1"/>
                <w:szCs w:val="21"/>
              </w:rPr>
            </w:pPr>
            <w:r>
              <w:rPr>
                <w:rFonts w:hint="eastAsia"/>
                <w:color w:val="000000" w:themeColor="text1"/>
                <w:szCs w:val="21"/>
              </w:rPr>
              <w:t>0.06</w:t>
            </w:r>
          </w:p>
        </w:tc>
      </w:tr>
    </w:tbl>
    <w:p>
      <w:pPr>
        <w:ind w:firstLine="480"/>
        <w:rPr>
          <w:bCs/>
          <w:color w:val="000000" w:themeColor="text1"/>
        </w:rPr>
      </w:pPr>
      <w:r>
        <w:rPr>
          <w:rFonts w:hint="eastAsia"/>
          <w:bCs/>
          <w:color w:val="000000" w:themeColor="text1"/>
        </w:rPr>
        <w:t>根据表</w:t>
      </w:r>
      <w:r>
        <w:rPr>
          <w:bCs/>
          <w:color w:val="000000" w:themeColor="text1"/>
        </w:rPr>
        <w:t>6.1</w:t>
      </w:r>
      <w:r>
        <w:rPr>
          <w:rFonts w:hint="eastAsia"/>
          <w:bCs/>
          <w:color w:val="000000" w:themeColor="text1"/>
        </w:rPr>
        <w:t>.2-10的计算结果，非</w:t>
      </w:r>
      <w:r>
        <w:rPr>
          <w:rFonts w:hint="eastAsia"/>
          <w:color w:val="000000" w:themeColor="text1"/>
          <w:szCs w:val="24"/>
        </w:rPr>
        <w:t>正常排放情况下，焚烧炉烟气中的颗粒物未经处理直接排放，颗粒物排放源最大落地浓度值为191.37</w:t>
      </w:r>
      <w:r>
        <w:rPr>
          <w:color w:val="000000" w:themeColor="text1"/>
          <w:szCs w:val="24"/>
        </w:rPr>
        <w:t>mg/m</w:t>
      </w:r>
      <w:r>
        <w:rPr>
          <w:color w:val="000000" w:themeColor="text1"/>
          <w:szCs w:val="24"/>
          <w:vertAlign w:val="superscript"/>
        </w:rPr>
        <w:t>3</w:t>
      </w:r>
      <w:r>
        <w:rPr>
          <w:rFonts w:hint="eastAsia"/>
          <w:color w:val="000000" w:themeColor="text1"/>
          <w:szCs w:val="24"/>
        </w:rPr>
        <w:t>，最大浓度占标率增至42.53</w:t>
      </w:r>
      <w:r>
        <w:rPr>
          <w:color w:val="000000" w:themeColor="text1"/>
          <w:szCs w:val="24"/>
        </w:rPr>
        <w:t>%</w:t>
      </w:r>
      <w:r>
        <w:rPr>
          <w:rFonts w:hint="eastAsia"/>
          <w:color w:val="000000" w:themeColor="text1"/>
          <w:szCs w:val="24"/>
        </w:rPr>
        <w:t>，污染物最大地面浓度出现在污染源下风向139</w:t>
      </w:r>
      <w:r>
        <w:rPr>
          <w:color w:val="000000" w:themeColor="text1"/>
          <w:szCs w:val="24"/>
        </w:rPr>
        <w:t>m</w:t>
      </w:r>
      <w:r>
        <w:rPr>
          <w:rFonts w:hint="eastAsia"/>
          <w:color w:val="000000" w:themeColor="text1"/>
          <w:szCs w:val="24"/>
        </w:rPr>
        <w:t>处，最大落地浓度依然</w:t>
      </w:r>
      <w:r>
        <w:rPr>
          <w:rFonts w:hint="eastAsia"/>
          <w:bCs/>
          <w:color w:val="000000" w:themeColor="text1"/>
        </w:rPr>
        <w:t>满足</w:t>
      </w:r>
      <w:r>
        <w:rPr>
          <w:rFonts w:hint="eastAsia"/>
          <w:bCs/>
          <w:snapToGrid w:val="0"/>
          <w:color w:val="000000" w:themeColor="text1"/>
        </w:rPr>
        <w:t>《环境空气质量标准》（</w:t>
      </w:r>
      <w:r>
        <w:rPr>
          <w:bCs/>
          <w:snapToGrid w:val="0"/>
          <w:color w:val="000000" w:themeColor="text1"/>
        </w:rPr>
        <w:t>GB3095-2012</w:t>
      </w:r>
      <w:r>
        <w:rPr>
          <w:rFonts w:hint="eastAsia"/>
          <w:bCs/>
          <w:snapToGrid w:val="0"/>
          <w:color w:val="000000" w:themeColor="text1"/>
        </w:rPr>
        <w:t>）二级标准</w:t>
      </w:r>
      <w:r>
        <w:rPr>
          <w:rFonts w:hint="eastAsia"/>
          <w:color w:val="000000" w:themeColor="text1"/>
        </w:rPr>
        <w:t>中PM</w:t>
      </w:r>
      <w:r>
        <w:rPr>
          <w:rFonts w:hint="eastAsia"/>
          <w:color w:val="000000" w:themeColor="text1"/>
          <w:vertAlign w:val="subscript"/>
        </w:rPr>
        <w:t>10</w:t>
      </w:r>
      <w:r>
        <w:rPr>
          <w:rFonts w:hint="eastAsia"/>
          <w:color w:val="000000" w:themeColor="text1"/>
        </w:rPr>
        <w:t>＜45</w:t>
      </w:r>
      <w:r>
        <w:rPr>
          <w:color w:val="000000" w:themeColor="text1"/>
        </w:rPr>
        <w:t>0μg/m</w:t>
      </w:r>
      <w:r>
        <w:rPr>
          <w:color w:val="000000" w:themeColor="text1"/>
          <w:vertAlign w:val="superscript"/>
        </w:rPr>
        <w:t>3</w:t>
      </w:r>
      <w:r>
        <w:rPr>
          <w:rFonts w:hint="eastAsia"/>
          <w:color w:val="000000" w:themeColor="text1"/>
        </w:rPr>
        <w:t>的要求</w:t>
      </w:r>
      <w:r>
        <w:rPr>
          <w:rFonts w:cs="Times New Roman"/>
          <w:bCs/>
          <w:color w:val="000000" w:themeColor="text1"/>
        </w:rPr>
        <w:t>，</w:t>
      </w:r>
      <w:r>
        <w:rPr>
          <w:rFonts w:hint="eastAsia"/>
          <w:color w:val="000000" w:themeColor="text1"/>
          <w:lang w:val="en-GB"/>
        </w:rPr>
        <w:t>但非正常排放情况下，</w:t>
      </w:r>
      <w:r>
        <w:rPr>
          <w:rFonts w:hint="eastAsia"/>
          <w:color w:val="000000" w:themeColor="text1"/>
        </w:rPr>
        <w:t>颗粒物落地浓度相对正常排放情况下增加较多，</w:t>
      </w:r>
      <w:r>
        <w:rPr>
          <w:rFonts w:hint="eastAsia"/>
          <w:color w:val="000000" w:themeColor="text1"/>
          <w:lang w:val="en-GB"/>
        </w:rPr>
        <w:t>若使焚烧烟气长期直接排入大气环境中，会对周边环境敏感点有较大影响，因此必须采取相应措施保障正常排放</w:t>
      </w:r>
      <w:r>
        <w:rPr>
          <w:rFonts w:hint="eastAsia"/>
          <w:color w:val="000000" w:themeColor="text1"/>
        </w:rPr>
        <w:t>。</w:t>
      </w:r>
    </w:p>
    <w:p>
      <w:pPr>
        <w:ind w:firstLine="482"/>
        <w:rPr>
          <w:b/>
          <w:color w:val="000000" w:themeColor="text1"/>
        </w:rPr>
      </w:pPr>
      <w:r>
        <w:rPr>
          <w:rFonts w:hint="eastAsia"/>
          <w:b/>
          <w:color w:val="000000" w:themeColor="text1"/>
        </w:rPr>
        <w:t>3、焚烧炉尾气非正常排放防治措施</w:t>
      </w:r>
    </w:p>
    <w:p>
      <w:pPr>
        <w:ind w:firstLine="480"/>
        <w:rPr>
          <w:color w:val="000000" w:themeColor="text1"/>
        </w:rPr>
      </w:pPr>
      <w:r>
        <w:rPr>
          <w:rFonts w:hint="eastAsia" w:ascii="宋体" w:hAnsi="宋体" w:cs="宋体"/>
          <w:color w:val="000000" w:themeColor="text1"/>
        </w:rPr>
        <w:t>①</w:t>
      </w:r>
      <w:r>
        <w:rPr>
          <w:rFonts w:hint="eastAsia"/>
          <w:color w:val="000000" w:themeColor="text1"/>
        </w:rPr>
        <w:t>焚烧炉烟气经设备配备的</w:t>
      </w:r>
      <w:r>
        <w:rPr>
          <w:rFonts w:hint="eastAsia"/>
          <w:bCs/>
          <w:color w:val="000000" w:themeColor="text1"/>
        </w:rPr>
        <w:t>布袋除尘器</w:t>
      </w:r>
      <w:r>
        <w:rPr>
          <w:rFonts w:hint="eastAsia"/>
          <w:color w:val="000000" w:themeColor="text1"/>
        </w:rPr>
        <w:t>处理后经2</w:t>
      </w:r>
      <w:r>
        <w:rPr>
          <w:color w:val="000000" w:themeColor="text1"/>
        </w:rPr>
        <w:t>5m</w:t>
      </w:r>
      <w:r>
        <w:rPr>
          <w:rFonts w:hint="eastAsia"/>
          <w:color w:val="000000" w:themeColor="text1"/>
        </w:rPr>
        <w:t>高排气筒排出；</w:t>
      </w:r>
    </w:p>
    <w:p>
      <w:pPr>
        <w:ind w:firstLine="480"/>
        <w:rPr>
          <w:color w:val="000000" w:themeColor="text1"/>
        </w:rPr>
      </w:pPr>
      <w:r>
        <w:rPr>
          <w:rFonts w:hint="eastAsia" w:ascii="宋体" w:hAnsi="宋体" w:cs="宋体"/>
          <w:color w:val="000000" w:themeColor="text1"/>
        </w:rPr>
        <w:t>②</w:t>
      </w:r>
      <w:r>
        <w:rPr>
          <w:rFonts w:hint="eastAsia"/>
          <w:color w:val="000000" w:themeColor="text1"/>
        </w:rPr>
        <w:t>环评要求建设单位重视环保设施的维护，加强</w:t>
      </w:r>
      <w:r>
        <w:rPr>
          <w:rFonts w:hint="eastAsia"/>
          <w:bCs/>
          <w:color w:val="000000" w:themeColor="text1"/>
        </w:rPr>
        <w:t>布袋除尘器</w:t>
      </w:r>
      <w:r>
        <w:rPr>
          <w:rFonts w:hint="eastAsia"/>
          <w:color w:val="000000" w:themeColor="text1"/>
        </w:rPr>
        <w:t>处理系统的日常维护管理，若发生非正常排放时，应及时排除故障隐患，待设备维修完善后，确保</w:t>
      </w:r>
      <w:r>
        <w:rPr>
          <w:rFonts w:hint="eastAsia"/>
          <w:bCs/>
          <w:color w:val="000000" w:themeColor="text1"/>
        </w:rPr>
        <w:t>布袋除尘器</w:t>
      </w:r>
      <w:r>
        <w:rPr>
          <w:rFonts w:hint="eastAsia"/>
          <w:color w:val="000000" w:themeColor="text1"/>
        </w:rPr>
        <w:t>处理系统的正常运行（达标排放），杜绝发生事故排放；</w:t>
      </w:r>
    </w:p>
    <w:p>
      <w:pPr>
        <w:ind w:firstLine="480"/>
        <w:rPr>
          <w:bCs/>
          <w:color w:val="000000" w:themeColor="text1"/>
        </w:rPr>
      </w:pPr>
      <w:r>
        <w:rPr>
          <w:rFonts w:hint="eastAsia" w:ascii="宋体" w:hAnsi="宋体" w:cs="宋体"/>
          <w:color w:val="000000" w:themeColor="text1"/>
        </w:rPr>
        <w:t>③</w:t>
      </w:r>
      <w:r>
        <w:rPr>
          <w:rFonts w:hint="eastAsia"/>
          <w:bCs/>
          <w:color w:val="000000" w:themeColor="text1"/>
        </w:rPr>
        <w:t>布袋除尘器</w:t>
      </w:r>
      <w:r>
        <w:rPr>
          <w:rFonts w:hint="eastAsia"/>
          <w:color w:val="000000" w:themeColor="text1"/>
        </w:rPr>
        <w:t>处理系统</w:t>
      </w:r>
      <w:r>
        <w:rPr>
          <w:rFonts w:hint="eastAsia"/>
          <w:bCs/>
          <w:color w:val="000000" w:themeColor="text1"/>
        </w:rPr>
        <w:t>涉及的除尘器、收集管等需配备两套，一备一用；</w:t>
      </w:r>
    </w:p>
    <w:p>
      <w:pPr>
        <w:ind w:firstLine="480"/>
        <w:rPr>
          <w:color w:val="000000" w:themeColor="text1"/>
        </w:rPr>
      </w:pPr>
      <w:r>
        <w:rPr>
          <w:rFonts w:hint="eastAsia" w:ascii="宋体" w:hAnsi="宋体" w:cs="宋体"/>
          <w:color w:val="000000" w:themeColor="text1"/>
        </w:rPr>
        <w:t>④</w:t>
      </w:r>
      <w:r>
        <w:rPr>
          <w:rFonts w:hint="eastAsia"/>
          <w:color w:val="000000" w:themeColor="text1"/>
        </w:rPr>
        <w:t>排气筒排气口处应设置监测孔，定期进行年度监测，保证达标排放。</w:t>
      </w:r>
    </w:p>
    <w:p>
      <w:pPr>
        <w:pStyle w:val="57"/>
        <w:ind w:firstLine="482"/>
        <w:rPr>
          <w:color w:val="000000" w:themeColor="text1"/>
        </w:rPr>
      </w:pPr>
      <w:bookmarkStart w:id="192" w:name="_Toc530059695"/>
      <w:r>
        <w:rPr>
          <w:color w:val="000000" w:themeColor="text1"/>
        </w:rPr>
        <w:t>6.1.</w:t>
      </w:r>
      <w:bookmarkEnd w:id="192"/>
      <w:bookmarkStart w:id="193" w:name="_Toc530059697"/>
      <w:r>
        <w:rPr>
          <w:rFonts w:hint="eastAsia"/>
          <w:color w:val="000000" w:themeColor="text1"/>
        </w:rPr>
        <w:t>2.4运营期汽车尾气环境影响分析及评价</w:t>
      </w:r>
      <w:bookmarkEnd w:id="193"/>
    </w:p>
    <w:p>
      <w:pPr>
        <w:ind w:firstLine="480"/>
        <w:rPr>
          <w:color w:val="000000" w:themeColor="text1"/>
          <w:szCs w:val="24"/>
        </w:rPr>
      </w:pPr>
      <w:r>
        <w:rPr>
          <w:rFonts w:hint="eastAsia"/>
          <w:color w:val="000000" w:themeColor="text1"/>
        </w:rPr>
        <w:t>项目进出场车辆会产生汽车尾气，呈无组织排放，尾气污染物主要为</w:t>
      </w:r>
      <w:r>
        <w:rPr>
          <w:color w:val="000000" w:themeColor="text1"/>
        </w:rPr>
        <w:t>CO</w:t>
      </w:r>
      <w:r>
        <w:rPr>
          <w:rFonts w:hint="eastAsia"/>
          <w:color w:val="000000" w:themeColor="text1"/>
        </w:rPr>
        <w:t>、</w:t>
      </w:r>
      <w:r>
        <w:rPr>
          <w:color w:val="000000" w:themeColor="text1"/>
        </w:rPr>
        <w:t>CH</w:t>
      </w:r>
      <w:r>
        <w:rPr>
          <w:rFonts w:hint="eastAsia"/>
          <w:color w:val="000000" w:themeColor="text1"/>
        </w:rPr>
        <w:t>、</w:t>
      </w:r>
      <w:r>
        <w:rPr>
          <w:color w:val="000000" w:themeColor="text1"/>
        </w:rPr>
        <w:t>NOx</w:t>
      </w:r>
      <w:r>
        <w:rPr>
          <w:rFonts w:hint="eastAsia"/>
          <w:color w:val="000000" w:themeColor="text1"/>
        </w:rPr>
        <w:t>等。由于产生量不大，经自由扩散后，对环境的影响可以接受。</w:t>
      </w:r>
    </w:p>
    <w:p>
      <w:pPr>
        <w:ind w:firstLine="480"/>
        <w:rPr>
          <w:color w:val="000000" w:themeColor="text1"/>
        </w:rPr>
      </w:pPr>
      <w:r>
        <w:rPr>
          <w:rFonts w:hint="eastAsia"/>
          <w:color w:val="000000" w:themeColor="text1"/>
        </w:rPr>
        <w:t>通过上述分析，项目在采取上述相应的废气治理措施后，评价认为项目运营期对当地环境空气质量影响是轻微的，在项目附近的敏感点的可接受范围内。</w:t>
      </w:r>
    </w:p>
    <w:p>
      <w:pPr>
        <w:pStyle w:val="57"/>
        <w:ind w:firstLine="482"/>
        <w:rPr>
          <w:color w:val="000000" w:themeColor="text1"/>
        </w:rPr>
      </w:pPr>
      <w:r>
        <w:rPr>
          <w:rFonts w:hint="eastAsia"/>
          <w:color w:val="000000" w:themeColor="text1"/>
        </w:rPr>
        <w:t>6.1.2.5运营期制冷剂逸散废气</w:t>
      </w:r>
    </w:p>
    <w:p>
      <w:pPr>
        <w:ind w:firstLine="480"/>
        <w:rPr>
          <w:color w:val="000000" w:themeColor="text1"/>
        </w:rPr>
      </w:pPr>
      <w:r>
        <w:rPr>
          <w:rFonts w:hint="eastAsia" w:cs="Times New Roman"/>
          <w:color w:val="000000" w:themeColor="text1"/>
        </w:rPr>
        <w:t>本项目冷库使用的制冷剂为氢氯氟烃类(HCFC)R22，其在制冷过程中会从各设备的接口、阀门等处逸散出Cl</w:t>
      </w:r>
      <w:r>
        <w:rPr>
          <w:rFonts w:hint="eastAsia" w:cs="Times New Roman"/>
          <w:color w:val="000000" w:themeColor="text1"/>
          <w:vertAlign w:val="subscript"/>
        </w:rPr>
        <w:t>2</w:t>
      </w:r>
      <w:r>
        <w:rPr>
          <w:rFonts w:hint="eastAsia" w:cs="Times New Roman"/>
          <w:color w:val="000000" w:themeColor="text1"/>
        </w:rPr>
        <w:t>，再经过太阳紫外线辐射游离出Cl离子，而O</w:t>
      </w:r>
      <w:r>
        <w:rPr>
          <w:rFonts w:hint="eastAsia" w:cs="Times New Roman"/>
          <w:color w:val="000000" w:themeColor="text1"/>
          <w:vertAlign w:val="subscript"/>
        </w:rPr>
        <w:t>3</w:t>
      </w:r>
      <w:r>
        <w:rPr>
          <w:rFonts w:hint="eastAsia" w:cs="Times New Roman"/>
          <w:color w:val="000000" w:themeColor="text1"/>
        </w:rPr>
        <w:t>与之反应后分解成O</w:t>
      </w:r>
      <w:r>
        <w:rPr>
          <w:rFonts w:hint="eastAsia" w:cs="Times New Roman"/>
          <w:color w:val="000000" w:themeColor="text1"/>
          <w:vertAlign w:val="subscript"/>
        </w:rPr>
        <w:t>2</w:t>
      </w:r>
      <w:r>
        <w:rPr>
          <w:rFonts w:hint="eastAsia" w:cs="Times New Roman"/>
          <w:color w:val="000000" w:themeColor="text1"/>
        </w:rPr>
        <w:t>，从而导致臭氧层被破坏。本项目R22制冷剂使用量约为0.5t/a，用量较小，其逸散的废气量较小。该产品属于目前比较环保的制冷剂。氟利昂中，对臭氧层危害最大的属CFC类；HCFC对臭氧层的破坏力较弱；HFC则对臭氧层无害，但对温室效应有一定影响。R22属于HCFC类，由于其臭氧层破坏系数仅仅是R11的百分之几，被视为CFC类物质的最重要的过渡性替代物质。</w:t>
      </w:r>
      <w:r>
        <w:rPr>
          <w:color w:val="000000" w:themeColor="text1"/>
          <w:szCs w:val="21"/>
        </w:rPr>
        <w:t>R22</w:t>
      </w:r>
      <w:r>
        <w:rPr>
          <w:rFonts w:hint="eastAsia"/>
          <w:color w:val="000000" w:themeColor="text1"/>
          <w:szCs w:val="21"/>
        </w:rPr>
        <w:t>制冷剂不属于《蒙特利尔议定书》严格限制的</w:t>
      </w:r>
      <w:r>
        <w:rPr>
          <w:color w:val="000000" w:themeColor="text1"/>
          <w:szCs w:val="21"/>
        </w:rPr>
        <w:t>CFCS</w:t>
      </w:r>
      <w:r>
        <w:rPr>
          <w:rFonts w:hint="eastAsia"/>
          <w:color w:val="000000" w:themeColor="text1"/>
          <w:szCs w:val="21"/>
        </w:rPr>
        <w:t>（全氯氟烃）以及我国淘汰禁止使用的制冷剂，符合目前环保要求，在《蒙特利尔议定书》中</w:t>
      </w:r>
      <w:r>
        <w:rPr>
          <w:color w:val="000000" w:themeColor="text1"/>
          <w:szCs w:val="21"/>
        </w:rPr>
        <w:t>R22</w:t>
      </w:r>
      <w:r>
        <w:rPr>
          <w:rFonts w:hint="eastAsia"/>
          <w:color w:val="000000" w:themeColor="text1"/>
          <w:szCs w:val="21"/>
        </w:rPr>
        <w:t>被限定</w:t>
      </w:r>
      <w:r>
        <w:rPr>
          <w:color w:val="000000" w:themeColor="text1"/>
          <w:szCs w:val="21"/>
        </w:rPr>
        <w:t>2020</w:t>
      </w:r>
      <w:r>
        <w:rPr>
          <w:rFonts w:hint="eastAsia"/>
          <w:color w:val="000000" w:themeColor="text1"/>
          <w:szCs w:val="21"/>
        </w:rPr>
        <w:t>年淘汰，发展中国家可以推迟</w:t>
      </w:r>
      <w:r>
        <w:rPr>
          <w:color w:val="000000" w:themeColor="text1"/>
          <w:szCs w:val="21"/>
        </w:rPr>
        <w:t>10</w:t>
      </w:r>
      <w:r>
        <w:rPr>
          <w:rFonts w:hint="eastAsia"/>
          <w:color w:val="000000" w:themeColor="text1"/>
          <w:szCs w:val="21"/>
        </w:rPr>
        <w:t>年，R22在我国将使用至2030年。但为了减少制冷剂对臭氧层的破坏，本环评建议项目之后可选取安全、环保型制冷剂逐渐替代R22。</w:t>
      </w:r>
    </w:p>
    <w:p>
      <w:pPr>
        <w:pStyle w:val="38"/>
        <w:ind w:firstLine="281"/>
        <w:rPr>
          <w:color w:val="000000" w:themeColor="text1"/>
        </w:rPr>
      </w:pPr>
      <w:bookmarkStart w:id="194" w:name="_Toc47375866"/>
      <w:bookmarkStart w:id="195" w:name="_Toc530059698"/>
      <w:r>
        <w:rPr>
          <w:rFonts w:hint="eastAsia"/>
          <w:color w:val="000000" w:themeColor="text1"/>
        </w:rPr>
        <w:t>6.1.3大气环境防护距离及卫生防护距离</w:t>
      </w:r>
      <w:bookmarkEnd w:id="194"/>
    </w:p>
    <w:p>
      <w:pPr>
        <w:ind w:firstLine="480"/>
        <w:rPr>
          <w:rFonts w:ascii="Calibri" w:hAnsi="Calibri"/>
          <w:bCs/>
          <w:color w:val="000000" w:themeColor="text1"/>
        </w:rPr>
      </w:pPr>
      <w:r>
        <w:rPr>
          <w:rFonts w:hint="eastAsia"/>
          <w:color w:val="000000" w:themeColor="text1"/>
          <w:szCs w:val="24"/>
        </w:rPr>
        <w:t>拟建项目建成投运后，恶臭、锅炉废气、焚烧炉废气等排放对环境有一定影响。</w:t>
      </w:r>
      <w:r>
        <w:rPr>
          <w:rFonts w:hint="eastAsia" w:ascii="Calibri" w:hAnsi="Calibri"/>
          <w:bCs/>
          <w:color w:val="000000" w:themeColor="text1"/>
        </w:rPr>
        <w:t>为保护人群健康，减小正常排放条件下大气污染物对居住区的影响，应在项目厂界以外设置一定的防护距离。本次评价将分别计算本项目的卫生防护距离和大气环境防护距离，取较大值作为本项目的防护距离。</w:t>
      </w:r>
    </w:p>
    <w:p>
      <w:pPr>
        <w:ind w:firstLine="480"/>
        <w:rPr>
          <w:color w:val="000000" w:themeColor="text1"/>
        </w:rPr>
      </w:pPr>
      <w:r>
        <w:rPr>
          <w:rFonts w:hint="eastAsia"/>
          <w:color w:val="000000" w:themeColor="text1"/>
        </w:rPr>
        <w:t>（1）大气防护距离计算</w:t>
      </w:r>
    </w:p>
    <w:p>
      <w:pPr>
        <w:ind w:firstLine="480"/>
        <w:rPr>
          <w:color w:val="000000" w:themeColor="text1"/>
        </w:rPr>
      </w:pPr>
      <w:r>
        <w:rPr>
          <w:rFonts w:hint="eastAsia"/>
          <w:color w:val="000000" w:themeColor="text1"/>
        </w:rPr>
        <w:t>根据《环境影响评价技术导则</w:t>
      </w:r>
      <w:r>
        <w:rPr>
          <w:color w:val="000000" w:themeColor="text1"/>
        </w:rPr>
        <w:t xml:space="preserve"> </w:t>
      </w:r>
      <w:r>
        <w:rPr>
          <w:rFonts w:hint="eastAsia"/>
          <w:color w:val="000000" w:themeColor="text1"/>
        </w:rPr>
        <w:t>大气环境》（</w:t>
      </w:r>
      <w:r>
        <w:rPr>
          <w:color w:val="000000" w:themeColor="text1"/>
        </w:rPr>
        <w:t>HJ2.2-2018</w:t>
      </w:r>
      <w:r>
        <w:rPr>
          <w:rFonts w:hint="eastAsia"/>
          <w:color w:val="000000" w:themeColor="text1"/>
        </w:rPr>
        <w:t>）和主要污染源估算模型计算结果，本项目主要污染物最大占标率均小于</w:t>
      </w:r>
      <w:r>
        <w:rPr>
          <w:color w:val="000000" w:themeColor="text1"/>
        </w:rPr>
        <w:t>10%</w:t>
      </w:r>
      <w:r>
        <w:rPr>
          <w:rFonts w:hint="eastAsia"/>
          <w:color w:val="000000" w:themeColor="text1"/>
        </w:rPr>
        <w:t>，厂界浓度满足大气污染物厂界浓度限值，且厂界外大气污染物短期贡献浓度均满足环境质量浓度限值，本项目大气评价等级二级，不需要设置大气环境防护距离。</w:t>
      </w:r>
    </w:p>
    <w:p>
      <w:pPr>
        <w:ind w:firstLine="480"/>
        <w:rPr>
          <w:color w:val="000000" w:themeColor="text1"/>
        </w:rPr>
      </w:pPr>
      <w:r>
        <w:rPr>
          <w:rFonts w:hint="eastAsia"/>
          <w:color w:val="000000" w:themeColor="text1"/>
        </w:rPr>
        <w:t>（2）卫生防护距离的确定</w:t>
      </w:r>
    </w:p>
    <w:p>
      <w:pPr>
        <w:ind w:firstLine="480"/>
        <w:rPr>
          <w:color w:val="000000" w:themeColor="text1"/>
        </w:rPr>
      </w:pPr>
      <w:r>
        <w:rPr>
          <w:rFonts w:hint="eastAsia"/>
          <w:color w:val="000000" w:themeColor="text1"/>
        </w:rPr>
        <w:t>本项目属于屠宰行业，有专门的行业卫生防护距离推荐标准。参考《农副食品加工卫生防护距离 第一部分：屠宰及肉类加工业》（GB/T18078.1-2012）中表1中规定。</w:t>
      </w:r>
    </w:p>
    <w:p>
      <w:pPr>
        <w:pStyle w:val="54"/>
        <w:rPr>
          <w:color w:val="000000" w:themeColor="text1"/>
        </w:rPr>
      </w:pPr>
      <w:r>
        <w:rPr>
          <w:rFonts w:hint="eastAsia"/>
          <w:color w:val="000000" w:themeColor="text1"/>
        </w:rPr>
        <w:t>表6.1.3-1   小于50万头规模屠宰不同风速卫生防护距离</w:t>
      </w:r>
    </w:p>
    <w:tbl>
      <w:tblPr>
        <w:tblStyle w:val="42"/>
        <w:tblW w:w="68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68"/>
        <w:gridCol w:w="3137"/>
        <w:gridCol w:w="19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9" w:hRule="atLeast"/>
          <w:jc w:val="center"/>
        </w:trPr>
        <w:tc>
          <w:tcPr>
            <w:tcW w:w="1768" w:type="dxa"/>
            <w:vAlign w:val="center"/>
          </w:tcPr>
          <w:p>
            <w:pPr>
              <w:pStyle w:val="55"/>
              <w:rPr>
                <w:color w:val="000000" w:themeColor="text1"/>
                <w:szCs w:val="20"/>
              </w:rPr>
            </w:pPr>
            <w:r>
              <w:rPr>
                <w:rFonts w:hint="eastAsia"/>
                <w:color w:val="000000" w:themeColor="text1"/>
                <w:szCs w:val="21"/>
              </w:rPr>
              <w:t>生产规模万头/年</w:t>
            </w:r>
          </w:p>
        </w:tc>
        <w:tc>
          <w:tcPr>
            <w:tcW w:w="3137" w:type="dxa"/>
            <w:vAlign w:val="center"/>
          </w:tcPr>
          <w:p>
            <w:pPr>
              <w:pStyle w:val="55"/>
              <w:rPr>
                <w:color w:val="000000" w:themeColor="text1"/>
                <w:szCs w:val="20"/>
              </w:rPr>
            </w:pPr>
            <w:r>
              <w:rPr>
                <w:rFonts w:hint="eastAsia"/>
                <w:color w:val="000000" w:themeColor="text1"/>
                <w:szCs w:val="21"/>
              </w:rPr>
              <w:t>所在地区近5年平均风速m/s</w:t>
            </w:r>
          </w:p>
        </w:tc>
        <w:tc>
          <w:tcPr>
            <w:tcW w:w="1984" w:type="dxa"/>
            <w:vAlign w:val="center"/>
          </w:tcPr>
          <w:p>
            <w:pPr>
              <w:pStyle w:val="55"/>
              <w:rPr>
                <w:color w:val="000000" w:themeColor="text1"/>
                <w:szCs w:val="20"/>
              </w:rPr>
            </w:pPr>
            <w:r>
              <w:rPr>
                <w:rFonts w:hint="eastAsia"/>
                <w:color w:val="000000" w:themeColor="text1"/>
                <w:szCs w:val="21"/>
              </w:rPr>
              <w:t>卫生防护距离m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1768" w:type="dxa"/>
            <w:vMerge w:val="restart"/>
            <w:vAlign w:val="center"/>
          </w:tcPr>
          <w:p>
            <w:pPr>
              <w:pStyle w:val="55"/>
              <w:rPr>
                <w:color w:val="000000" w:themeColor="text1"/>
                <w:szCs w:val="20"/>
              </w:rPr>
            </w:pPr>
            <w:r>
              <w:rPr>
                <w:rFonts w:hint="eastAsia"/>
                <w:color w:val="000000" w:themeColor="text1"/>
                <w:szCs w:val="21"/>
              </w:rPr>
              <w:t>≤50</w:t>
            </w:r>
          </w:p>
        </w:tc>
        <w:tc>
          <w:tcPr>
            <w:tcW w:w="3137" w:type="dxa"/>
            <w:vAlign w:val="center"/>
          </w:tcPr>
          <w:p>
            <w:pPr>
              <w:pStyle w:val="55"/>
              <w:rPr>
                <w:color w:val="000000" w:themeColor="text1"/>
                <w:szCs w:val="20"/>
              </w:rPr>
            </w:pPr>
            <w:r>
              <w:rPr>
                <w:rFonts w:hint="eastAsia"/>
                <w:color w:val="000000" w:themeColor="text1"/>
                <w:szCs w:val="21"/>
              </w:rPr>
              <w:t>＜2</w:t>
            </w:r>
          </w:p>
        </w:tc>
        <w:tc>
          <w:tcPr>
            <w:tcW w:w="1984" w:type="dxa"/>
            <w:vAlign w:val="center"/>
          </w:tcPr>
          <w:p>
            <w:pPr>
              <w:pStyle w:val="55"/>
              <w:rPr>
                <w:color w:val="000000" w:themeColor="text1"/>
                <w:szCs w:val="20"/>
              </w:rPr>
            </w:pPr>
            <w:r>
              <w:rPr>
                <w:rFonts w:hint="eastAsia"/>
                <w:color w:val="000000" w:themeColor="text1"/>
                <w:szCs w:val="21"/>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1768" w:type="dxa"/>
            <w:vMerge w:val="continue"/>
            <w:vAlign w:val="center"/>
          </w:tcPr>
          <w:p>
            <w:pPr>
              <w:pStyle w:val="55"/>
              <w:rPr>
                <w:color w:val="000000" w:themeColor="text1"/>
                <w:szCs w:val="20"/>
              </w:rPr>
            </w:pPr>
          </w:p>
        </w:tc>
        <w:tc>
          <w:tcPr>
            <w:tcW w:w="3137" w:type="dxa"/>
            <w:shd w:val="clear" w:color="auto" w:fill="E2EFD9"/>
            <w:vAlign w:val="center"/>
          </w:tcPr>
          <w:p>
            <w:pPr>
              <w:pStyle w:val="55"/>
              <w:rPr>
                <w:color w:val="000000" w:themeColor="text1"/>
                <w:szCs w:val="20"/>
              </w:rPr>
            </w:pPr>
            <w:r>
              <w:rPr>
                <w:rFonts w:hint="eastAsia"/>
                <w:color w:val="000000" w:themeColor="text1"/>
                <w:szCs w:val="21"/>
              </w:rPr>
              <w:t>2~4</w:t>
            </w:r>
          </w:p>
        </w:tc>
        <w:tc>
          <w:tcPr>
            <w:tcW w:w="1984" w:type="dxa"/>
            <w:shd w:val="clear" w:color="auto" w:fill="E2EFD9"/>
            <w:vAlign w:val="center"/>
          </w:tcPr>
          <w:p>
            <w:pPr>
              <w:pStyle w:val="55"/>
              <w:rPr>
                <w:color w:val="000000" w:themeColor="text1"/>
                <w:szCs w:val="20"/>
              </w:rPr>
            </w:pPr>
            <w:r>
              <w:rPr>
                <w:rFonts w:hint="eastAsia"/>
                <w:color w:val="000000" w:themeColor="text1"/>
                <w:szCs w:val="21"/>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jc w:val="center"/>
        </w:trPr>
        <w:tc>
          <w:tcPr>
            <w:tcW w:w="1768" w:type="dxa"/>
            <w:vMerge w:val="continue"/>
            <w:vAlign w:val="center"/>
          </w:tcPr>
          <w:p>
            <w:pPr>
              <w:pStyle w:val="55"/>
              <w:rPr>
                <w:color w:val="000000" w:themeColor="text1"/>
                <w:szCs w:val="20"/>
              </w:rPr>
            </w:pPr>
          </w:p>
        </w:tc>
        <w:tc>
          <w:tcPr>
            <w:tcW w:w="3137" w:type="dxa"/>
            <w:vAlign w:val="center"/>
          </w:tcPr>
          <w:p>
            <w:pPr>
              <w:pStyle w:val="55"/>
              <w:rPr>
                <w:color w:val="000000" w:themeColor="text1"/>
                <w:szCs w:val="20"/>
              </w:rPr>
            </w:pPr>
            <w:r>
              <w:rPr>
                <w:rFonts w:hint="eastAsia"/>
                <w:color w:val="000000" w:themeColor="text1"/>
                <w:szCs w:val="21"/>
              </w:rPr>
              <w:t>＞4</w:t>
            </w:r>
          </w:p>
        </w:tc>
        <w:tc>
          <w:tcPr>
            <w:tcW w:w="1984" w:type="dxa"/>
            <w:vAlign w:val="center"/>
          </w:tcPr>
          <w:p>
            <w:pPr>
              <w:pStyle w:val="55"/>
              <w:rPr>
                <w:color w:val="000000" w:themeColor="text1"/>
                <w:szCs w:val="20"/>
              </w:rPr>
            </w:pPr>
            <w:r>
              <w:rPr>
                <w:rFonts w:hint="eastAsia"/>
                <w:color w:val="000000" w:themeColor="text1"/>
                <w:szCs w:val="21"/>
              </w:rPr>
              <w:t>200</w:t>
            </w:r>
          </w:p>
        </w:tc>
      </w:tr>
    </w:tbl>
    <w:p>
      <w:pPr>
        <w:ind w:firstLine="480"/>
        <w:rPr>
          <w:rFonts w:cs="Times New Roman"/>
          <w:color w:val="000000" w:themeColor="text1"/>
        </w:rPr>
      </w:pPr>
      <w:r>
        <w:rPr>
          <w:rFonts w:hint="eastAsia"/>
          <w:color w:val="000000" w:themeColor="text1"/>
        </w:rPr>
        <w:t>本项目屠宰猪量为15万头，平均风速为3.1m/s，所以卫生防护距离为300m。</w:t>
      </w:r>
    </w:p>
    <w:p>
      <w:pPr>
        <w:ind w:firstLine="480"/>
        <w:rPr>
          <w:color w:val="000000" w:themeColor="text1"/>
        </w:rPr>
      </w:pPr>
      <w:r>
        <w:rPr>
          <w:rFonts w:hint="eastAsia"/>
          <w:color w:val="000000" w:themeColor="text1"/>
        </w:rPr>
        <w:t>根据实地调查厂区周围300m范围内无环境敏感点，项目建设满足卫生防护距离要求。厂界距离项目最近的村庄为东南侧500m处的小龙白村。</w:t>
      </w:r>
    </w:p>
    <w:p>
      <w:pPr>
        <w:pStyle w:val="38"/>
        <w:ind w:firstLine="281"/>
        <w:rPr>
          <w:color w:val="000000" w:themeColor="text1"/>
        </w:rPr>
      </w:pPr>
      <w:bookmarkStart w:id="196" w:name="_Toc47375867"/>
      <w:r>
        <w:rPr>
          <w:rFonts w:hint="eastAsia"/>
          <w:color w:val="000000" w:themeColor="text1"/>
        </w:rPr>
        <w:t>6.1.4小结</w:t>
      </w:r>
      <w:bookmarkEnd w:id="196"/>
    </w:p>
    <w:p>
      <w:pPr>
        <w:ind w:firstLine="480"/>
        <w:rPr>
          <w:bCs/>
          <w:color w:val="000000" w:themeColor="text1"/>
        </w:rPr>
      </w:pPr>
      <w:r>
        <w:rPr>
          <w:rFonts w:hint="eastAsia"/>
          <w:color w:val="000000" w:themeColor="text1"/>
        </w:rPr>
        <w:t>本项目营运后通过</w:t>
      </w:r>
      <w:r>
        <w:rPr>
          <w:rFonts w:hint="eastAsia"/>
          <w:bCs/>
          <w:color w:val="000000" w:themeColor="text1"/>
        </w:rPr>
        <w:t>对待宰间和屠宰间及时清洁并定期喷洒生物除臭剂，</w:t>
      </w:r>
      <w:r>
        <w:rPr>
          <w:rFonts w:hint="eastAsia"/>
          <w:color w:val="000000" w:themeColor="text1"/>
        </w:rPr>
        <w:t>在待宰车间和屠宰车间分别安装风机对臭气进行通风稀释，</w:t>
      </w:r>
      <w:r>
        <w:rPr>
          <w:color w:val="000000" w:themeColor="text1"/>
        </w:rPr>
        <w:t>同时</w:t>
      </w:r>
      <w:r>
        <w:rPr>
          <w:rFonts w:hint="eastAsia"/>
          <w:color w:val="000000" w:themeColor="text1"/>
        </w:rPr>
        <w:t>及时清理屠宰间内产生的畜禽粪便、胃内容物等废物，</w:t>
      </w:r>
      <w:r>
        <w:rPr>
          <w:color w:val="000000" w:themeColor="text1"/>
        </w:rPr>
        <w:t>NH</w:t>
      </w:r>
      <w:r>
        <w:rPr>
          <w:color w:val="000000" w:themeColor="text1"/>
          <w:vertAlign w:val="subscript"/>
        </w:rPr>
        <w:t>3</w:t>
      </w:r>
      <w:r>
        <w:rPr>
          <w:rFonts w:hint="eastAsia"/>
          <w:color w:val="000000" w:themeColor="text1"/>
        </w:rPr>
        <w:t>、</w:t>
      </w:r>
      <w:r>
        <w:rPr>
          <w:color w:val="000000" w:themeColor="text1"/>
        </w:rPr>
        <w:t>H</w:t>
      </w:r>
      <w:r>
        <w:rPr>
          <w:color w:val="000000" w:themeColor="text1"/>
          <w:vertAlign w:val="subscript"/>
        </w:rPr>
        <w:t>2</w:t>
      </w:r>
      <w:r>
        <w:rPr>
          <w:color w:val="000000" w:themeColor="text1"/>
        </w:rPr>
        <w:t>S</w:t>
      </w:r>
      <w:r>
        <w:rPr>
          <w:rFonts w:hint="eastAsia"/>
          <w:color w:val="000000" w:themeColor="text1"/>
        </w:rPr>
        <w:t>经治理后无组织排放量较小，且通过养外围绿化隔离带吸附后，对周围环境敏感点影响较小；锅炉废气经过水膜除尘设施处理后达标排放，焚烧炉烟气经过布袋除尘器处理后达标排放，</w:t>
      </w:r>
      <w:r>
        <w:rPr>
          <w:rFonts w:hint="eastAsia"/>
          <w:bCs/>
          <w:color w:val="000000" w:themeColor="text1"/>
        </w:rPr>
        <w:t>且本项目防护距离内无学校、医院、居住区等环境敏感点。</w:t>
      </w:r>
    </w:p>
    <w:p>
      <w:pPr>
        <w:ind w:firstLine="480"/>
        <w:rPr>
          <w:color w:val="000000" w:themeColor="text1"/>
        </w:rPr>
      </w:pPr>
      <w:r>
        <w:rPr>
          <w:rFonts w:hint="eastAsia"/>
          <w:color w:val="000000" w:themeColor="text1"/>
        </w:rPr>
        <w:t>综上，本项目建成后对区域环境空气质量产生的影响较小。本项目大气环境影响评价自查表，具体见表6.1.4-1。</w:t>
      </w:r>
    </w:p>
    <w:p>
      <w:pPr>
        <w:pStyle w:val="54"/>
        <w:rPr>
          <w:color w:val="000000" w:themeColor="text1"/>
        </w:rPr>
      </w:pPr>
      <w:r>
        <w:rPr>
          <w:rFonts w:hint="eastAsia"/>
          <w:color w:val="000000" w:themeColor="text1"/>
        </w:rPr>
        <w:t>表6.1.4-1  建设项目大气环境影响评价自查表</w:t>
      </w:r>
    </w:p>
    <w:tbl>
      <w:tblPr>
        <w:tblStyle w:val="42"/>
        <w:tblW w:w="91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4"/>
        <w:gridCol w:w="1276"/>
        <w:gridCol w:w="581"/>
        <w:gridCol w:w="546"/>
        <w:gridCol w:w="844"/>
        <w:gridCol w:w="213"/>
        <w:gridCol w:w="254"/>
        <w:gridCol w:w="332"/>
        <w:gridCol w:w="387"/>
        <w:gridCol w:w="476"/>
        <w:gridCol w:w="347"/>
        <w:gridCol w:w="287"/>
        <w:gridCol w:w="42"/>
        <w:gridCol w:w="359"/>
        <w:gridCol w:w="294"/>
        <w:gridCol w:w="89"/>
        <w:gridCol w:w="741"/>
        <w:gridCol w:w="152"/>
        <w:gridCol w:w="246"/>
        <w:gridCol w:w="142"/>
        <w:gridCol w:w="355"/>
        <w:gridCol w:w="5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950" w:type="dxa"/>
            <w:gridSpan w:val="2"/>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工作内容</w:t>
            </w:r>
          </w:p>
        </w:tc>
        <w:tc>
          <w:tcPr>
            <w:tcW w:w="7246" w:type="dxa"/>
            <w:gridSpan w:val="20"/>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自查项目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jc w:val="center"/>
        </w:trPr>
        <w:tc>
          <w:tcPr>
            <w:tcW w:w="674" w:type="dxa"/>
            <w:vMerge w:val="restart"/>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评价等级与范围</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评价等级</w:t>
            </w:r>
          </w:p>
        </w:tc>
        <w:tc>
          <w:tcPr>
            <w:tcW w:w="2770" w:type="dxa"/>
            <w:gridSpan w:val="6"/>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一级□</w:t>
            </w:r>
          </w:p>
        </w:tc>
        <w:tc>
          <w:tcPr>
            <w:tcW w:w="3562" w:type="dxa"/>
            <w:gridSpan w:val="12"/>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二级</w:t>
            </w:r>
            <w:r>
              <w:rPr>
                <w:rFonts w:hint="eastAsia" w:ascii="MS Mincho" w:hAnsi="MS Mincho" w:eastAsia="MS Mincho" w:cs="MS Mincho"/>
                <w:color w:val="000000" w:themeColor="text1"/>
              </w:rPr>
              <w:t>☑</w:t>
            </w:r>
          </w:p>
        </w:tc>
        <w:tc>
          <w:tcPr>
            <w:tcW w:w="914" w:type="dxa"/>
            <w:gridSpan w:val="2"/>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674" w:type="dxa"/>
            <w:vMerge w:val="continue"/>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评价范围</w:t>
            </w:r>
          </w:p>
        </w:tc>
        <w:tc>
          <w:tcPr>
            <w:tcW w:w="2770" w:type="dxa"/>
            <w:gridSpan w:val="6"/>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边长</w:t>
            </w:r>
            <w:r>
              <w:rPr>
                <w:color w:val="000000" w:themeColor="text1"/>
              </w:rPr>
              <w:t>=50km</w:t>
            </w:r>
            <w:r>
              <w:rPr>
                <w:rFonts w:hint="eastAsia"/>
                <w:color w:val="000000" w:themeColor="text1"/>
              </w:rPr>
              <w:t>□</w:t>
            </w:r>
          </w:p>
        </w:tc>
        <w:tc>
          <w:tcPr>
            <w:tcW w:w="3562" w:type="dxa"/>
            <w:gridSpan w:val="12"/>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边长</w:t>
            </w:r>
            <w:r>
              <w:rPr>
                <w:color w:val="000000" w:themeColor="text1"/>
              </w:rPr>
              <w:t>5~50km</w:t>
            </w:r>
            <w:r>
              <w:rPr>
                <w:rFonts w:hint="eastAsia"/>
                <w:color w:val="000000" w:themeColor="text1"/>
              </w:rPr>
              <w:t>□</w:t>
            </w:r>
          </w:p>
        </w:tc>
        <w:tc>
          <w:tcPr>
            <w:tcW w:w="914" w:type="dxa"/>
            <w:gridSpan w:val="2"/>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边长</w:t>
            </w:r>
            <w:r>
              <w:rPr>
                <w:color w:val="000000" w:themeColor="text1"/>
              </w:rPr>
              <w:t>=5km</w:t>
            </w:r>
            <w:r>
              <w:rPr>
                <w:rFonts w:hint="eastAsia" w:ascii="MS Mincho" w:hAnsi="MS Mincho" w:eastAsia="MS Mincho" w:cs="MS Mincho"/>
                <w:color w:val="000000" w:themeColor="text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2" w:hRule="atLeast"/>
          <w:jc w:val="center"/>
        </w:trPr>
        <w:tc>
          <w:tcPr>
            <w:tcW w:w="674" w:type="dxa"/>
            <w:vMerge w:val="restart"/>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评价因子</w:t>
            </w:r>
          </w:p>
        </w:tc>
        <w:tc>
          <w:tcPr>
            <w:tcW w:w="1276" w:type="dxa"/>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vAlign w:val="center"/>
          </w:tcPr>
          <w:p>
            <w:pPr>
              <w:pStyle w:val="55"/>
              <w:rPr>
                <w:color w:val="000000" w:themeColor="text1"/>
              </w:rPr>
            </w:pPr>
            <w:r>
              <w:rPr>
                <w:color w:val="000000" w:themeColor="text1"/>
              </w:rPr>
              <w:t>SO</w:t>
            </w:r>
            <w:r>
              <w:rPr>
                <w:color w:val="000000" w:themeColor="text1"/>
                <w:vertAlign w:val="subscript"/>
              </w:rPr>
              <w:t>2</w:t>
            </w:r>
            <w:r>
              <w:rPr>
                <w:color w:val="000000" w:themeColor="text1"/>
              </w:rPr>
              <w:t>+NO</w:t>
            </w:r>
            <w:r>
              <w:rPr>
                <w:color w:val="000000" w:themeColor="text1"/>
                <w:vertAlign w:val="subscript"/>
              </w:rPr>
              <w:t>X</w:t>
            </w:r>
            <w:r>
              <w:rPr>
                <w:rFonts w:hint="eastAsia"/>
                <w:color w:val="000000" w:themeColor="text1"/>
              </w:rPr>
              <w:t>排放量</w:t>
            </w:r>
          </w:p>
        </w:tc>
        <w:tc>
          <w:tcPr>
            <w:tcW w:w="2184" w:type="dxa"/>
            <w:gridSpan w:val="4"/>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w:t>
            </w:r>
            <w:r>
              <w:rPr>
                <w:color w:val="000000" w:themeColor="text1"/>
              </w:rPr>
              <w:t>20000t/a</w:t>
            </w:r>
            <w:r>
              <w:rPr>
                <w:rFonts w:hint="eastAsia"/>
                <w:color w:val="000000" w:themeColor="text1"/>
              </w:rPr>
              <w:t>□</w:t>
            </w:r>
          </w:p>
        </w:tc>
        <w:tc>
          <w:tcPr>
            <w:tcW w:w="2125" w:type="dxa"/>
            <w:gridSpan w:val="7"/>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color w:val="000000" w:themeColor="text1"/>
              </w:rPr>
              <w:t>500~2000t/a</w:t>
            </w:r>
            <w:r>
              <w:rPr>
                <w:rFonts w:hint="eastAsia"/>
                <w:color w:val="000000" w:themeColor="text1"/>
              </w:rPr>
              <w:t>□</w:t>
            </w:r>
          </w:p>
        </w:tc>
        <w:tc>
          <w:tcPr>
            <w:tcW w:w="2937" w:type="dxa"/>
            <w:gridSpan w:val="9"/>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小于</w:t>
            </w:r>
            <w:r>
              <w:rPr>
                <w:color w:val="000000" w:themeColor="text1"/>
              </w:rPr>
              <w:t>500t/a</w:t>
            </w:r>
            <w:r>
              <w:rPr>
                <w:rFonts w:hint="eastAsia" w:ascii="MS Mincho" w:hAnsi="MS Mincho" w:eastAsia="MS Mincho" w:cs="MS Mincho"/>
                <w:color w:val="000000" w:themeColor="text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674" w:type="dxa"/>
            <w:vMerge w:val="continue"/>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评价因子</w:t>
            </w:r>
          </w:p>
        </w:tc>
        <w:tc>
          <w:tcPr>
            <w:tcW w:w="4309" w:type="dxa"/>
            <w:gridSpan w:val="11"/>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基本污染物（PM</w:t>
            </w:r>
            <w:r>
              <w:rPr>
                <w:rFonts w:hint="eastAsia"/>
                <w:color w:val="000000" w:themeColor="text1"/>
                <w:vertAlign w:val="subscript"/>
              </w:rPr>
              <w:t>2.5</w:t>
            </w:r>
            <w:r>
              <w:rPr>
                <w:rFonts w:hint="eastAsia"/>
                <w:color w:val="000000" w:themeColor="text1"/>
              </w:rPr>
              <w:t>、PM</w:t>
            </w:r>
            <w:r>
              <w:rPr>
                <w:rFonts w:hint="eastAsia"/>
                <w:color w:val="000000" w:themeColor="text1"/>
                <w:vertAlign w:val="subscript"/>
              </w:rPr>
              <w:t>10</w:t>
            </w:r>
            <w:r>
              <w:rPr>
                <w:rFonts w:hint="eastAsia"/>
                <w:color w:val="000000" w:themeColor="text1"/>
              </w:rPr>
              <w:t>、SO</w:t>
            </w:r>
            <w:r>
              <w:rPr>
                <w:rFonts w:hint="eastAsia"/>
                <w:color w:val="000000" w:themeColor="text1"/>
                <w:vertAlign w:val="subscript"/>
              </w:rPr>
              <w:t>2</w:t>
            </w:r>
            <w:r>
              <w:rPr>
                <w:rFonts w:hint="eastAsia"/>
                <w:color w:val="000000" w:themeColor="text1"/>
              </w:rPr>
              <w:t>、NO</w:t>
            </w:r>
            <w:r>
              <w:rPr>
                <w:rFonts w:hint="eastAsia"/>
                <w:color w:val="000000" w:themeColor="text1"/>
                <w:vertAlign w:val="subscript"/>
              </w:rPr>
              <w:t>2</w:t>
            </w:r>
            <w:r>
              <w:rPr>
                <w:rFonts w:hint="eastAsia"/>
                <w:color w:val="000000" w:themeColor="text1"/>
              </w:rPr>
              <w:t>、CO、O</w:t>
            </w:r>
            <w:r>
              <w:rPr>
                <w:rFonts w:hint="eastAsia"/>
                <w:color w:val="000000" w:themeColor="text1"/>
                <w:vertAlign w:val="subscript"/>
              </w:rPr>
              <w:t>3</w:t>
            </w:r>
            <w:r>
              <w:rPr>
                <w:rFonts w:hint="eastAsia"/>
                <w:color w:val="000000" w:themeColor="text1"/>
              </w:rPr>
              <w:t>）  其他污染物（</w:t>
            </w:r>
            <w:r>
              <w:rPr>
                <w:color w:val="000000" w:themeColor="text1"/>
              </w:rPr>
              <w:t xml:space="preserve"> </w:t>
            </w:r>
            <w:r>
              <w:rPr>
                <w:rFonts w:hint="eastAsia"/>
                <w:color w:val="000000" w:themeColor="text1"/>
              </w:rPr>
              <w:t>NH</w:t>
            </w:r>
            <w:r>
              <w:rPr>
                <w:rFonts w:hint="eastAsia"/>
                <w:color w:val="000000" w:themeColor="text1"/>
                <w:vertAlign w:val="subscript"/>
              </w:rPr>
              <w:t>3</w:t>
            </w:r>
            <w:r>
              <w:rPr>
                <w:rFonts w:hint="eastAsia"/>
                <w:color w:val="000000" w:themeColor="text1"/>
              </w:rPr>
              <w:t>、H</w:t>
            </w:r>
            <w:r>
              <w:rPr>
                <w:rFonts w:hint="eastAsia"/>
                <w:color w:val="000000" w:themeColor="text1"/>
                <w:vertAlign w:val="subscript"/>
              </w:rPr>
              <w:t>2</w:t>
            </w:r>
            <w:r>
              <w:rPr>
                <w:rFonts w:hint="eastAsia"/>
                <w:color w:val="000000" w:themeColor="text1"/>
              </w:rPr>
              <w:t>S</w:t>
            </w:r>
            <w:r>
              <w:rPr>
                <w:color w:val="000000" w:themeColor="text1"/>
              </w:rPr>
              <w:t xml:space="preserve">  </w:t>
            </w:r>
            <w:r>
              <w:rPr>
                <w:rFonts w:hint="eastAsia"/>
                <w:color w:val="000000" w:themeColor="text1"/>
              </w:rPr>
              <w:t>）</w:t>
            </w:r>
          </w:p>
        </w:tc>
        <w:tc>
          <w:tcPr>
            <w:tcW w:w="2937" w:type="dxa"/>
            <w:gridSpan w:val="9"/>
            <w:tcBorders>
              <w:top w:val="single" w:color="000000" w:sz="4" w:space="0"/>
              <w:left w:val="single" w:color="000000" w:sz="4" w:space="0"/>
              <w:bottom w:val="single" w:color="000000" w:sz="4" w:space="0"/>
              <w:right w:val="single" w:color="000000" w:sz="4" w:space="0"/>
            </w:tcBorders>
            <w:vAlign w:val="center"/>
          </w:tcPr>
          <w:p>
            <w:pPr>
              <w:pStyle w:val="55"/>
              <w:rPr>
                <w:rFonts w:cs="Times New Roman"/>
                <w:color w:val="000000" w:themeColor="text1"/>
              </w:rPr>
            </w:pPr>
            <w:r>
              <w:rPr>
                <w:rFonts w:hint="eastAsia"/>
                <w:color w:val="000000" w:themeColor="text1"/>
              </w:rPr>
              <w:t>包括二次</w:t>
            </w:r>
            <w:r>
              <w:rPr>
                <w:color w:val="000000" w:themeColor="text1"/>
              </w:rPr>
              <w:t>PM</w:t>
            </w:r>
            <w:r>
              <w:rPr>
                <w:color w:val="000000" w:themeColor="text1"/>
                <w:vertAlign w:val="subscript"/>
              </w:rPr>
              <w:t>2.5</w:t>
            </w:r>
            <w:r>
              <w:rPr>
                <w:rFonts w:hint="eastAsia"/>
                <w:color w:val="000000" w:themeColor="text1"/>
              </w:rPr>
              <w:t>□</w:t>
            </w:r>
          </w:p>
          <w:p>
            <w:pPr>
              <w:pStyle w:val="55"/>
              <w:rPr>
                <w:color w:val="000000" w:themeColor="text1"/>
              </w:rPr>
            </w:pPr>
            <w:r>
              <w:rPr>
                <w:rFonts w:hint="eastAsia"/>
                <w:color w:val="000000" w:themeColor="text1"/>
              </w:rPr>
              <w:t>不包括二次</w:t>
            </w:r>
            <w:r>
              <w:rPr>
                <w:color w:val="000000" w:themeColor="text1"/>
              </w:rPr>
              <w:t>PM</w:t>
            </w:r>
            <w:r>
              <w:rPr>
                <w:color w:val="000000" w:themeColor="text1"/>
                <w:vertAlign w:val="subscript"/>
              </w:rPr>
              <w:t>2.5</w:t>
            </w:r>
            <w:r>
              <w:rPr>
                <w:rFonts w:hint="eastAsia" w:ascii="MS Mincho" w:hAnsi="MS Mincho" w:eastAsia="MS Mincho" w:cs="MS Mincho"/>
                <w:color w:val="000000" w:themeColor="text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674"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评价标准</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评价标准</w:t>
            </w:r>
          </w:p>
        </w:tc>
        <w:tc>
          <w:tcPr>
            <w:tcW w:w="2184" w:type="dxa"/>
            <w:gridSpan w:val="4"/>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国家标准</w:t>
            </w:r>
            <w:r>
              <w:rPr>
                <w:rFonts w:hint="eastAsia" w:ascii="MS Mincho" w:hAnsi="MS Mincho" w:eastAsia="MS Mincho" w:cs="MS Mincho"/>
                <w:color w:val="000000" w:themeColor="text1"/>
              </w:rPr>
              <w:t>☑</w:t>
            </w:r>
          </w:p>
        </w:tc>
        <w:tc>
          <w:tcPr>
            <w:tcW w:w="2125" w:type="dxa"/>
            <w:gridSpan w:val="7"/>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地方标准□</w:t>
            </w:r>
          </w:p>
        </w:tc>
        <w:tc>
          <w:tcPr>
            <w:tcW w:w="1483" w:type="dxa"/>
            <w:gridSpan w:val="4"/>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附录</w:t>
            </w:r>
            <w:r>
              <w:rPr>
                <w:color w:val="000000" w:themeColor="text1"/>
              </w:rPr>
              <w:t>D</w:t>
            </w:r>
            <w:r>
              <w:rPr>
                <w:rFonts w:hint="eastAsia" w:ascii="MS Mincho" w:hAnsi="MS Mincho" w:eastAsia="MS Mincho" w:cs="MS Mincho"/>
                <w:color w:val="000000" w:themeColor="text1"/>
              </w:rPr>
              <w:t>☑</w:t>
            </w:r>
          </w:p>
        </w:tc>
        <w:tc>
          <w:tcPr>
            <w:tcW w:w="1454" w:type="dxa"/>
            <w:gridSpan w:val="5"/>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其他标准□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2" w:hRule="atLeast"/>
          <w:jc w:val="center"/>
        </w:trPr>
        <w:tc>
          <w:tcPr>
            <w:tcW w:w="674" w:type="dxa"/>
            <w:vMerge w:val="restart"/>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现状评价</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环境功能区</w:t>
            </w:r>
          </w:p>
        </w:tc>
        <w:tc>
          <w:tcPr>
            <w:tcW w:w="2184" w:type="dxa"/>
            <w:gridSpan w:val="4"/>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一类区□</w:t>
            </w:r>
          </w:p>
        </w:tc>
        <w:tc>
          <w:tcPr>
            <w:tcW w:w="2125" w:type="dxa"/>
            <w:gridSpan w:val="7"/>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二类区</w:t>
            </w:r>
            <w:r>
              <w:rPr>
                <w:rFonts w:hint="eastAsia" w:ascii="MS Mincho" w:hAnsi="MS Mincho" w:eastAsia="MS Mincho" w:cs="MS Mincho"/>
                <w:color w:val="000000" w:themeColor="text1"/>
              </w:rPr>
              <w:t>☑</w:t>
            </w:r>
          </w:p>
        </w:tc>
        <w:tc>
          <w:tcPr>
            <w:tcW w:w="2937" w:type="dxa"/>
            <w:gridSpan w:val="9"/>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一类区和二类区□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674" w:type="dxa"/>
            <w:vMerge w:val="continue"/>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评价基准年</w:t>
            </w:r>
          </w:p>
        </w:tc>
        <w:tc>
          <w:tcPr>
            <w:tcW w:w="7246" w:type="dxa"/>
            <w:gridSpan w:val="20"/>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w:t>
            </w:r>
            <w:r>
              <w:rPr>
                <w:color w:val="000000" w:themeColor="text1"/>
              </w:rPr>
              <w:t>201</w:t>
            </w:r>
            <w:r>
              <w:rPr>
                <w:rFonts w:hint="eastAsia"/>
                <w:color w:val="000000" w:themeColor="text1"/>
              </w:rPr>
              <w:t>9）年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674" w:type="dxa"/>
            <w:vMerge w:val="continue"/>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环境空气质量现状调查数据来源</w:t>
            </w:r>
          </w:p>
        </w:tc>
        <w:tc>
          <w:tcPr>
            <w:tcW w:w="3980" w:type="dxa"/>
            <w:gridSpan w:val="9"/>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长期例行监测数据□</w:t>
            </w:r>
          </w:p>
        </w:tc>
        <w:tc>
          <w:tcPr>
            <w:tcW w:w="2352" w:type="dxa"/>
            <w:gridSpan w:val="9"/>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主管部门发布的数据</w:t>
            </w:r>
            <w:r>
              <w:rPr>
                <w:rFonts w:hint="eastAsia" w:ascii="MS Mincho" w:hAnsi="MS Mincho" w:eastAsia="MS Mincho" w:cs="MS Mincho"/>
                <w:color w:val="000000" w:themeColor="text1"/>
              </w:rPr>
              <w:t>☑</w:t>
            </w:r>
          </w:p>
        </w:tc>
        <w:tc>
          <w:tcPr>
            <w:tcW w:w="914" w:type="dxa"/>
            <w:gridSpan w:val="2"/>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现状补充监测</w:t>
            </w:r>
            <w:r>
              <w:rPr>
                <w:rFonts w:hint="eastAsia" w:ascii="MS Mincho" w:hAnsi="MS Mincho" w:eastAsia="MS Mincho" w:cs="MS Mincho"/>
                <w:color w:val="000000" w:themeColor="text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674" w:type="dxa"/>
            <w:vMerge w:val="continue"/>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现状评价</w:t>
            </w:r>
          </w:p>
        </w:tc>
        <w:tc>
          <w:tcPr>
            <w:tcW w:w="3980" w:type="dxa"/>
            <w:gridSpan w:val="9"/>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达标区</w:t>
            </w:r>
            <w:r>
              <w:rPr>
                <w:rFonts w:hint="eastAsia" w:ascii="MS Mincho" w:hAnsi="MS Mincho" w:eastAsia="MS Mincho" w:cs="MS Mincho"/>
                <w:color w:val="000000" w:themeColor="text1"/>
              </w:rPr>
              <w:t>☑</w:t>
            </w:r>
          </w:p>
        </w:tc>
        <w:tc>
          <w:tcPr>
            <w:tcW w:w="3266" w:type="dxa"/>
            <w:gridSpan w:val="11"/>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不达标区□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674"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污染源调查</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调查内容</w:t>
            </w:r>
          </w:p>
        </w:tc>
        <w:tc>
          <w:tcPr>
            <w:tcW w:w="2438" w:type="dxa"/>
            <w:gridSpan w:val="5"/>
            <w:tcBorders>
              <w:top w:val="single" w:color="000000" w:sz="4" w:space="0"/>
              <w:left w:val="single" w:color="000000" w:sz="4" w:space="0"/>
              <w:bottom w:val="single" w:color="000000" w:sz="4" w:space="0"/>
              <w:right w:val="single" w:color="000000" w:sz="4" w:space="0"/>
            </w:tcBorders>
            <w:vAlign w:val="center"/>
          </w:tcPr>
          <w:p>
            <w:pPr>
              <w:pStyle w:val="55"/>
              <w:rPr>
                <w:rFonts w:cs="Times New Roman"/>
                <w:color w:val="000000" w:themeColor="text1"/>
              </w:rPr>
            </w:pPr>
            <w:r>
              <w:rPr>
                <w:rFonts w:hint="eastAsia"/>
                <w:color w:val="000000" w:themeColor="text1"/>
              </w:rPr>
              <w:t>本项目正常排放源</w:t>
            </w:r>
            <w:r>
              <w:rPr>
                <w:rFonts w:hint="eastAsia" w:ascii="MS Mincho" w:hAnsi="MS Mincho" w:eastAsia="MS Mincho" w:cs="MS Mincho"/>
                <w:color w:val="000000" w:themeColor="text1"/>
              </w:rPr>
              <w:t>☑</w:t>
            </w:r>
          </w:p>
          <w:p>
            <w:pPr>
              <w:pStyle w:val="55"/>
              <w:rPr>
                <w:color w:val="000000" w:themeColor="text1"/>
              </w:rPr>
            </w:pPr>
            <w:r>
              <w:rPr>
                <w:rFonts w:hint="eastAsia"/>
                <w:color w:val="000000" w:themeColor="text1"/>
              </w:rPr>
              <w:t>本项目非正常排放源</w:t>
            </w:r>
            <w:r>
              <w:rPr>
                <w:rFonts w:hint="eastAsia" w:ascii="MS Mincho" w:hAnsi="MS Mincho" w:eastAsia="MS Mincho" w:cs="MS Mincho"/>
                <w:color w:val="000000" w:themeColor="text1"/>
              </w:rPr>
              <w:t>☑</w:t>
            </w:r>
          </w:p>
          <w:p>
            <w:pPr>
              <w:pStyle w:val="55"/>
              <w:rPr>
                <w:color w:val="000000" w:themeColor="text1"/>
              </w:rPr>
            </w:pPr>
            <w:r>
              <w:rPr>
                <w:rFonts w:hint="eastAsia"/>
                <w:color w:val="000000" w:themeColor="text1"/>
              </w:rPr>
              <w:t>现有污染源□</w:t>
            </w:r>
          </w:p>
        </w:tc>
        <w:tc>
          <w:tcPr>
            <w:tcW w:w="2230" w:type="dxa"/>
            <w:gridSpan w:val="7"/>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拟替代的污染源□</w:t>
            </w:r>
          </w:p>
        </w:tc>
        <w:tc>
          <w:tcPr>
            <w:tcW w:w="1664" w:type="dxa"/>
            <w:gridSpan w:val="6"/>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其他在建、拟建项目污染源□</w:t>
            </w:r>
          </w:p>
        </w:tc>
        <w:tc>
          <w:tcPr>
            <w:tcW w:w="914" w:type="dxa"/>
            <w:gridSpan w:val="2"/>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区域污染源□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jc w:val="center"/>
        </w:trPr>
        <w:tc>
          <w:tcPr>
            <w:tcW w:w="674" w:type="dxa"/>
            <w:vMerge w:val="restart"/>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大气环境影响预测与评价</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预测模型</w:t>
            </w:r>
          </w:p>
        </w:tc>
        <w:tc>
          <w:tcPr>
            <w:tcW w:w="1127" w:type="dxa"/>
            <w:gridSpan w:val="2"/>
            <w:tcBorders>
              <w:top w:val="single" w:color="000000" w:sz="4" w:space="0"/>
              <w:left w:val="single" w:color="000000" w:sz="4" w:space="0"/>
              <w:bottom w:val="single" w:color="000000" w:sz="4" w:space="0"/>
              <w:right w:val="single" w:color="000000" w:sz="4" w:space="0"/>
            </w:tcBorders>
            <w:vAlign w:val="center"/>
          </w:tcPr>
          <w:p>
            <w:pPr>
              <w:pStyle w:val="55"/>
              <w:rPr>
                <w:rFonts w:cs="Times New Roman"/>
                <w:color w:val="000000" w:themeColor="text1"/>
              </w:rPr>
            </w:pPr>
            <w:r>
              <w:rPr>
                <w:color w:val="000000" w:themeColor="text1"/>
              </w:rPr>
              <w:t>AERMOD</w:t>
            </w:r>
          </w:p>
          <w:p>
            <w:pPr>
              <w:pStyle w:val="55"/>
              <w:rPr>
                <w:color w:val="000000" w:themeColor="text1"/>
              </w:rPr>
            </w:pPr>
            <w:r>
              <w:rPr>
                <w:rFonts w:hint="eastAsia"/>
                <w:color w:val="000000" w:themeColor="text1"/>
              </w:rPr>
              <w:t>□</w:t>
            </w:r>
          </w:p>
        </w:tc>
        <w:tc>
          <w:tcPr>
            <w:tcW w:w="1057" w:type="dxa"/>
            <w:gridSpan w:val="2"/>
            <w:tcBorders>
              <w:top w:val="single" w:color="000000" w:sz="4" w:space="0"/>
              <w:left w:val="single" w:color="000000" w:sz="4" w:space="0"/>
              <w:bottom w:val="single" w:color="000000" w:sz="4" w:space="0"/>
              <w:right w:val="single" w:color="000000" w:sz="4" w:space="0"/>
            </w:tcBorders>
            <w:vAlign w:val="center"/>
          </w:tcPr>
          <w:p>
            <w:pPr>
              <w:pStyle w:val="55"/>
              <w:rPr>
                <w:rFonts w:cs="Times New Roman"/>
                <w:color w:val="000000" w:themeColor="text1"/>
              </w:rPr>
            </w:pPr>
            <w:r>
              <w:rPr>
                <w:color w:val="000000" w:themeColor="text1"/>
              </w:rPr>
              <w:t>ADMS</w:t>
            </w:r>
          </w:p>
          <w:p>
            <w:pPr>
              <w:pStyle w:val="55"/>
              <w:rPr>
                <w:color w:val="000000" w:themeColor="text1"/>
              </w:rPr>
            </w:pPr>
            <w:r>
              <w:rPr>
                <w:rFonts w:hint="eastAsia"/>
                <w:color w:val="000000" w:themeColor="text1"/>
              </w:rPr>
              <w:t>□</w:t>
            </w:r>
          </w:p>
        </w:tc>
        <w:tc>
          <w:tcPr>
            <w:tcW w:w="1449" w:type="dxa"/>
            <w:gridSpan w:val="4"/>
            <w:tcBorders>
              <w:top w:val="single" w:color="000000" w:sz="4" w:space="0"/>
              <w:left w:val="single" w:color="000000" w:sz="4" w:space="0"/>
              <w:bottom w:val="single" w:color="000000" w:sz="4" w:space="0"/>
              <w:right w:val="single" w:color="000000" w:sz="4" w:space="0"/>
            </w:tcBorders>
            <w:vAlign w:val="center"/>
          </w:tcPr>
          <w:p>
            <w:pPr>
              <w:pStyle w:val="55"/>
              <w:rPr>
                <w:rFonts w:cs="Times New Roman"/>
                <w:color w:val="000000" w:themeColor="text1"/>
              </w:rPr>
            </w:pPr>
            <w:r>
              <w:rPr>
                <w:color w:val="000000" w:themeColor="text1"/>
              </w:rPr>
              <w:t>AUSTAL2000</w:t>
            </w:r>
          </w:p>
          <w:p>
            <w:pPr>
              <w:pStyle w:val="55"/>
              <w:rPr>
                <w:color w:val="000000" w:themeColor="text1"/>
              </w:rPr>
            </w:pPr>
            <w:r>
              <w:rPr>
                <w:rFonts w:hint="eastAsia"/>
                <w:color w:val="000000" w:themeColor="text1"/>
              </w:rPr>
              <w:t>□</w:t>
            </w:r>
          </w:p>
        </w:tc>
        <w:tc>
          <w:tcPr>
            <w:tcW w:w="1418" w:type="dxa"/>
            <w:gridSpan w:val="6"/>
            <w:tcBorders>
              <w:top w:val="single" w:color="000000" w:sz="4" w:space="0"/>
              <w:left w:val="single" w:color="000000" w:sz="4" w:space="0"/>
              <w:bottom w:val="single" w:color="000000" w:sz="4" w:space="0"/>
              <w:right w:val="single" w:color="000000" w:sz="4" w:space="0"/>
            </w:tcBorders>
            <w:vAlign w:val="center"/>
          </w:tcPr>
          <w:p>
            <w:pPr>
              <w:pStyle w:val="55"/>
              <w:rPr>
                <w:rFonts w:cs="Times New Roman"/>
                <w:color w:val="000000" w:themeColor="text1"/>
              </w:rPr>
            </w:pPr>
            <w:r>
              <w:rPr>
                <w:color w:val="000000" w:themeColor="text1"/>
              </w:rPr>
              <w:t>EDMS/AEDT</w:t>
            </w:r>
          </w:p>
          <w:p>
            <w:pPr>
              <w:pStyle w:val="55"/>
              <w:rPr>
                <w:color w:val="000000" w:themeColor="text1"/>
              </w:rPr>
            </w:pPr>
            <w:r>
              <w:rPr>
                <w:rFonts w:hint="eastAsia"/>
                <w:color w:val="000000" w:themeColor="text1"/>
              </w:rPr>
              <w:t>□</w:t>
            </w:r>
          </w:p>
        </w:tc>
        <w:tc>
          <w:tcPr>
            <w:tcW w:w="1139" w:type="dxa"/>
            <w:gridSpan w:val="3"/>
            <w:tcBorders>
              <w:top w:val="single" w:color="000000" w:sz="4" w:space="0"/>
              <w:left w:val="single" w:color="000000" w:sz="4" w:space="0"/>
              <w:bottom w:val="single" w:color="000000" w:sz="4" w:space="0"/>
              <w:right w:val="single" w:color="000000" w:sz="4" w:space="0"/>
            </w:tcBorders>
            <w:vAlign w:val="center"/>
          </w:tcPr>
          <w:p>
            <w:pPr>
              <w:pStyle w:val="55"/>
              <w:rPr>
                <w:rFonts w:cs="Times New Roman"/>
                <w:color w:val="000000" w:themeColor="text1"/>
              </w:rPr>
            </w:pPr>
            <w:r>
              <w:rPr>
                <w:color w:val="000000" w:themeColor="text1"/>
              </w:rPr>
              <w:t>CALPUFF</w:t>
            </w:r>
          </w:p>
          <w:p>
            <w:pPr>
              <w:pStyle w:val="55"/>
              <w:rPr>
                <w:color w:val="000000" w:themeColor="text1"/>
              </w:rPr>
            </w:pPr>
            <w:r>
              <w:rPr>
                <w:rFonts w:hint="eastAsia"/>
                <w:color w:val="000000" w:themeColor="text1"/>
              </w:rPr>
              <w:t>□</w:t>
            </w:r>
          </w:p>
        </w:tc>
        <w:tc>
          <w:tcPr>
            <w:tcW w:w="497" w:type="dxa"/>
            <w:gridSpan w:val="2"/>
            <w:tcBorders>
              <w:top w:val="single" w:color="000000" w:sz="4" w:space="0"/>
              <w:left w:val="single" w:color="000000" w:sz="4" w:space="0"/>
              <w:bottom w:val="single" w:color="000000" w:sz="4" w:space="0"/>
              <w:right w:val="single" w:color="000000" w:sz="4" w:space="0"/>
            </w:tcBorders>
            <w:vAlign w:val="center"/>
          </w:tcPr>
          <w:p>
            <w:pPr>
              <w:pStyle w:val="55"/>
              <w:rPr>
                <w:rFonts w:cs="Times New Roman"/>
                <w:color w:val="000000" w:themeColor="text1"/>
              </w:rPr>
            </w:pPr>
            <w:r>
              <w:rPr>
                <w:rFonts w:hint="eastAsia"/>
                <w:color w:val="000000" w:themeColor="text1"/>
              </w:rPr>
              <w:t>网格模型</w:t>
            </w:r>
          </w:p>
          <w:p>
            <w:pPr>
              <w:pStyle w:val="55"/>
              <w:rPr>
                <w:color w:val="000000" w:themeColor="text1"/>
              </w:rPr>
            </w:pPr>
            <w:r>
              <w:rPr>
                <w:rFonts w:hint="eastAsia"/>
                <w:color w:val="000000" w:themeColor="text1"/>
              </w:rPr>
              <w:t>□</w:t>
            </w:r>
          </w:p>
        </w:tc>
        <w:tc>
          <w:tcPr>
            <w:tcW w:w="559" w:type="dxa"/>
            <w:tcBorders>
              <w:top w:val="single" w:color="000000" w:sz="4" w:space="0"/>
              <w:left w:val="single" w:color="000000" w:sz="4" w:space="0"/>
              <w:bottom w:val="single" w:color="000000" w:sz="4" w:space="0"/>
              <w:right w:val="single" w:color="000000" w:sz="4" w:space="0"/>
            </w:tcBorders>
            <w:vAlign w:val="center"/>
          </w:tcPr>
          <w:p>
            <w:pPr>
              <w:pStyle w:val="55"/>
              <w:rPr>
                <w:rFonts w:cs="Times New Roman"/>
                <w:color w:val="000000" w:themeColor="text1"/>
              </w:rPr>
            </w:pPr>
            <w:r>
              <w:rPr>
                <w:rFonts w:hint="eastAsia"/>
                <w:color w:val="000000" w:themeColor="text1"/>
              </w:rPr>
              <w:t>其他</w:t>
            </w:r>
          </w:p>
          <w:p>
            <w:pPr>
              <w:pStyle w:val="55"/>
              <w:rPr>
                <w:color w:val="000000" w:themeColor="text1"/>
              </w:rPr>
            </w:pPr>
            <w:r>
              <w:rPr>
                <w:rFonts w:hint="eastAsia" w:ascii="MS Mincho" w:hAnsi="MS Mincho" w:eastAsia="MS Mincho" w:cs="MS Mincho"/>
                <w:color w:val="000000" w:themeColor="text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674" w:type="dxa"/>
            <w:vMerge w:val="continue"/>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预测范围</w:t>
            </w:r>
          </w:p>
        </w:tc>
        <w:tc>
          <w:tcPr>
            <w:tcW w:w="2184" w:type="dxa"/>
            <w:gridSpan w:val="4"/>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边长≥</w:t>
            </w:r>
            <w:r>
              <w:rPr>
                <w:color w:val="000000" w:themeColor="text1"/>
              </w:rPr>
              <w:t>50km</w:t>
            </w:r>
            <w:r>
              <w:rPr>
                <w:rFonts w:hint="eastAsia"/>
                <w:color w:val="000000" w:themeColor="text1"/>
              </w:rPr>
              <w:t>□</w:t>
            </w:r>
          </w:p>
        </w:tc>
        <w:tc>
          <w:tcPr>
            <w:tcW w:w="4006" w:type="dxa"/>
            <w:gridSpan w:val="13"/>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边长</w:t>
            </w:r>
            <w:r>
              <w:rPr>
                <w:color w:val="000000" w:themeColor="text1"/>
              </w:rPr>
              <w:t>5~50km</w:t>
            </w:r>
            <w:r>
              <w:rPr>
                <w:rFonts w:hint="eastAsia"/>
                <w:color w:val="000000" w:themeColor="text1"/>
              </w:rPr>
              <w:t>□</w:t>
            </w:r>
          </w:p>
        </w:tc>
        <w:tc>
          <w:tcPr>
            <w:tcW w:w="1056" w:type="dxa"/>
            <w:gridSpan w:val="3"/>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边长</w:t>
            </w:r>
            <w:r>
              <w:rPr>
                <w:color w:val="000000" w:themeColor="text1"/>
              </w:rPr>
              <w:t>=5km</w:t>
            </w:r>
            <w:r>
              <w:rPr>
                <w:rFonts w:hint="eastAsia" w:ascii="MS Mincho" w:hAnsi="MS Mincho" w:eastAsia="MS Mincho" w:cs="MS Mincho"/>
                <w:color w:val="000000" w:themeColor="text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674" w:type="dxa"/>
            <w:vMerge w:val="continue"/>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预测因子</w:t>
            </w:r>
          </w:p>
        </w:tc>
        <w:tc>
          <w:tcPr>
            <w:tcW w:w="4962" w:type="dxa"/>
            <w:gridSpan w:val="13"/>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预测因子（PM</w:t>
            </w:r>
            <w:r>
              <w:rPr>
                <w:rFonts w:hint="eastAsia"/>
                <w:color w:val="000000" w:themeColor="text1"/>
                <w:vertAlign w:val="subscript"/>
              </w:rPr>
              <w:t>10</w:t>
            </w:r>
            <w:r>
              <w:rPr>
                <w:rFonts w:hint="eastAsia"/>
                <w:color w:val="000000" w:themeColor="text1"/>
              </w:rPr>
              <w:t>、SO</w:t>
            </w:r>
            <w:r>
              <w:rPr>
                <w:rFonts w:hint="eastAsia"/>
                <w:color w:val="000000" w:themeColor="text1"/>
                <w:vertAlign w:val="subscript"/>
              </w:rPr>
              <w:t>2</w:t>
            </w:r>
            <w:r>
              <w:rPr>
                <w:rFonts w:hint="eastAsia"/>
                <w:color w:val="000000" w:themeColor="text1"/>
              </w:rPr>
              <w:t>、NOx、NH</w:t>
            </w:r>
            <w:r>
              <w:rPr>
                <w:rFonts w:hint="eastAsia"/>
                <w:color w:val="000000" w:themeColor="text1"/>
                <w:vertAlign w:val="subscript"/>
              </w:rPr>
              <w:t>3</w:t>
            </w:r>
            <w:r>
              <w:rPr>
                <w:rFonts w:hint="eastAsia"/>
                <w:color w:val="000000" w:themeColor="text1"/>
              </w:rPr>
              <w:t>、H</w:t>
            </w:r>
            <w:r>
              <w:rPr>
                <w:rFonts w:hint="eastAsia"/>
                <w:color w:val="000000" w:themeColor="text1"/>
                <w:vertAlign w:val="subscript"/>
              </w:rPr>
              <w:t>2</w:t>
            </w:r>
            <w:r>
              <w:rPr>
                <w:rFonts w:hint="eastAsia"/>
                <w:color w:val="000000" w:themeColor="text1"/>
              </w:rPr>
              <w:t>S）</w:t>
            </w:r>
          </w:p>
        </w:tc>
        <w:tc>
          <w:tcPr>
            <w:tcW w:w="2284" w:type="dxa"/>
            <w:gridSpan w:val="7"/>
            <w:tcBorders>
              <w:top w:val="single" w:color="000000" w:sz="4" w:space="0"/>
              <w:left w:val="single" w:color="000000" w:sz="4" w:space="0"/>
              <w:bottom w:val="single" w:color="000000" w:sz="4" w:space="0"/>
              <w:right w:val="single" w:color="000000" w:sz="4" w:space="0"/>
            </w:tcBorders>
            <w:vAlign w:val="center"/>
          </w:tcPr>
          <w:p>
            <w:pPr>
              <w:pStyle w:val="55"/>
              <w:rPr>
                <w:rFonts w:cs="Times New Roman"/>
                <w:color w:val="000000" w:themeColor="text1"/>
              </w:rPr>
            </w:pPr>
            <w:r>
              <w:rPr>
                <w:rFonts w:hint="eastAsia"/>
                <w:color w:val="000000" w:themeColor="text1"/>
              </w:rPr>
              <w:t>包括二次</w:t>
            </w:r>
            <w:r>
              <w:rPr>
                <w:color w:val="000000" w:themeColor="text1"/>
              </w:rPr>
              <w:t>PM2.5</w:t>
            </w:r>
            <w:r>
              <w:rPr>
                <w:rFonts w:hint="eastAsia"/>
                <w:color w:val="000000" w:themeColor="text1"/>
              </w:rPr>
              <w:t>□</w:t>
            </w:r>
          </w:p>
          <w:p>
            <w:pPr>
              <w:pStyle w:val="55"/>
              <w:rPr>
                <w:color w:val="000000" w:themeColor="text1"/>
              </w:rPr>
            </w:pPr>
            <w:r>
              <w:rPr>
                <w:rFonts w:hint="eastAsia"/>
                <w:color w:val="000000" w:themeColor="text1"/>
              </w:rPr>
              <w:t>不包括二次</w:t>
            </w:r>
            <w:r>
              <w:rPr>
                <w:color w:val="000000" w:themeColor="text1"/>
              </w:rPr>
              <w:t>PM2.5</w:t>
            </w:r>
            <w:r>
              <w:rPr>
                <w:rFonts w:hint="eastAsia" w:ascii="MS Mincho" w:hAnsi="MS Mincho" w:eastAsia="MS Mincho" w:cs="MS Mincho"/>
                <w:color w:val="000000" w:themeColor="text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674" w:type="dxa"/>
            <w:vMerge w:val="continue"/>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正常排放短期浓度贡献值</w:t>
            </w:r>
          </w:p>
        </w:tc>
        <w:tc>
          <w:tcPr>
            <w:tcW w:w="4962" w:type="dxa"/>
            <w:gridSpan w:val="13"/>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color w:val="000000" w:themeColor="text1"/>
              </w:rPr>
              <w:t>C</w:t>
            </w:r>
            <w:r>
              <w:rPr>
                <w:rFonts w:hint="eastAsia"/>
                <w:color w:val="000000" w:themeColor="text1"/>
                <w:vertAlign w:val="subscript"/>
              </w:rPr>
              <w:t>本项目</w:t>
            </w:r>
            <w:r>
              <w:rPr>
                <w:rFonts w:hint="eastAsia"/>
                <w:color w:val="000000" w:themeColor="text1"/>
              </w:rPr>
              <w:t>最大占标率≤</w:t>
            </w:r>
            <w:r>
              <w:rPr>
                <w:color w:val="000000" w:themeColor="text1"/>
              </w:rPr>
              <w:t>100%</w:t>
            </w:r>
            <w:r>
              <w:rPr>
                <w:rFonts w:hint="eastAsia" w:ascii="MS Mincho" w:hAnsi="MS Mincho" w:eastAsia="MS Mincho" w:cs="MS Mincho"/>
                <w:color w:val="000000" w:themeColor="text1"/>
              </w:rPr>
              <w:t>☑</w:t>
            </w:r>
          </w:p>
        </w:tc>
        <w:tc>
          <w:tcPr>
            <w:tcW w:w="2284" w:type="dxa"/>
            <w:gridSpan w:val="7"/>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color w:val="000000" w:themeColor="text1"/>
              </w:rPr>
              <w:t>C</w:t>
            </w:r>
            <w:r>
              <w:rPr>
                <w:rFonts w:hint="eastAsia"/>
                <w:color w:val="000000" w:themeColor="text1"/>
                <w:vertAlign w:val="subscript"/>
              </w:rPr>
              <w:t>本项目</w:t>
            </w:r>
            <w:r>
              <w:rPr>
                <w:rFonts w:hint="eastAsia"/>
                <w:color w:val="000000" w:themeColor="text1"/>
              </w:rPr>
              <w:t>最大占标率＞</w:t>
            </w:r>
            <w:r>
              <w:rPr>
                <w:color w:val="000000" w:themeColor="text1"/>
              </w:rPr>
              <w:t>100%</w:t>
            </w:r>
            <w:r>
              <w:rPr>
                <w:rFonts w:hint="eastAsia"/>
                <w:color w:val="000000" w:themeColor="text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7" w:hRule="atLeast"/>
          <w:jc w:val="center"/>
        </w:trPr>
        <w:tc>
          <w:tcPr>
            <w:tcW w:w="674" w:type="dxa"/>
            <w:vMerge w:val="continue"/>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p>
        </w:tc>
        <w:tc>
          <w:tcPr>
            <w:tcW w:w="1276" w:type="dxa"/>
            <w:vMerge w:val="restart"/>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正常排放年均浓度贡献值</w:t>
            </w:r>
          </w:p>
        </w:tc>
        <w:tc>
          <w:tcPr>
            <w:tcW w:w="1971" w:type="dxa"/>
            <w:gridSpan w:val="3"/>
            <w:tcBorders>
              <w:top w:val="single" w:color="000000" w:sz="4" w:space="0"/>
              <w:left w:val="single" w:color="000000" w:sz="4" w:space="0"/>
              <w:bottom w:val="single" w:color="auto" w:sz="4" w:space="0"/>
              <w:right w:val="single" w:color="000000" w:sz="4" w:space="0"/>
            </w:tcBorders>
            <w:vAlign w:val="center"/>
          </w:tcPr>
          <w:p>
            <w:pPr>
              <w:pStyle w:val="55"/>
              <w:rPr>
                <w:color w:val="000000" w:themeColor="text1"/>
              </w:rPr>
            </w:pPr>
            <w:r>
              <w:rPr>
                <w:rFonts w:hint="eastAsia"/>
                <w:color w:val="000000" w:themeColor="text1"/>
              </w:rPr>
              <w:t>一类区</w:t>
            </w:r>
          </w:p>
        </w:tc>
        <w:tc>
          <w:tcPr>
            <w:tcW w:w="2991" w:type="dxa"/>
            <w:gridSpan w:val="10"/>
            <w:tcBorders>
              <w:top w:val="single" w:color="000000" w:sz="4" w:space="0"/>
              <w:left w:val="single" w:color="000000" w:sz="4" w:space="0"/>
              <w:bottom w:val="single" w:color="auto" w:sz="4" w:space="0"/>
              <w:right w:val="single" w:color="000000" w:sz="4" w:space="0"/>
            </w:tcBorders>
            <w:vAlign w:val="center"/>
          </w:tcPr>
          <w:p>
            <w:pPr>
              <w:pStyle w:val="55"/>
              <w:rPr>
                <w:color w:val="000000" w:themeColor="text1"/>
              </w:rPr>
            </w:pPr>
            <w:r>
              <w:rPr>
                <w:color w:val="000000" w:themeColor="text1"/>
              </w:rPr>
              <w:t>C</w:t>
            </w:r>
            <w:r>
              <w:rPr>
                <w:rFonts w:hint="eastAsia"/>
                <w:color w:val="000000" w:themeColor="text1"/>
                <w:vertAlign w:val="subscript"/>
              </w:rPr>
              <w:t>本项目</w:t>
            </w:r>
            <w:r>
              <w:rPr>
                <w:rFonts w:hint="eastAsia"/>
                <w:color w:val="000000" w:themeColor="text1"/>
              </w:rPr>
              <w:t>最大占标率≤</w:t>
            </w:r>
            <w:r>
              <w:rPr>
                <w:color w:val="000000" w:themeColor="text1"/>
              </w:rPr>
              <w:t>10%</w:t>
            </w:r>
            <w:r>
              <w:rPr>
                <w:rFonts w:hint="eastAsia"/>
                <w:color w:val="000000" w:themeColor="text1"/>
              </w:rPr>
              <w:t>□</w:t>
            </w:r>
          </w:p>
        </w:tc>
        <w:tc>
          <w:tcPr>
            <w:tcW w:w="2284" w:type="dxa"/>
            <w:gridSpan w:val="7"/>
            <w:tcBorders>
              <w:top w:val="single" w:color="000000" w:sz="4" w:space="0"/>
              <w:left w:val="single" w:color="000000" w:sz="4" w:space="0"/>
              <w:bottom w:val="single" w:color="auto" w:sz="4" w:space="0"/>
              <w:right w:val="single" w:color="000000" w:sz="4" w:space="0"/>
            </w:tcBorders>
            <w:vAlign w:val="center"/>
          </w:tcPr>
          <w:p>
            <w:pPr>
              <w:pStyle w:val="55"/>
              <w:rPr>
                <w:color w:val="000000" w:themeColor="text1"/>
              </w:rPr>
            </w:pPr>
            <w:r>
              <w:rPr>
                <w:color w:val="000000" w:themeColor="text1"/>
              </w:rPr>
              <w:t>C</w:t>
            </w:r>
            <w:r>
              <w:rPr>
                <w:rFonts w:hint="eastAsia"/>
                <w:color w:val="000000" w:themeColor="text1"/>
                <w:vertAlign w:val="subscript"/>
              </w:rPr>
              <w:t>本项目</w:t>
            </w:r>
            <w:r>
              <w:rPr>
                <w:rFonts w:hint="eastAsia"/>
                <w:color w:val="000000" w:themeColor="text1"/>
              </w:rPr>
              <w:t>最大占标率＞</w:t>
            </w:r>
            <w:r>
              <w:rPr>
                <w:color w:val="000000" w:themeColor="text1"/>
              </w:rPr>
              <w:t>10%</w:t>
            </w:r>
            <w:r>
              <w:rPr>
                <w:rFonts w:hint="eastAsia"/>
                <w:color w:val="000000" w:themeColor="text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74" w:type="dxa"/>
            <w:vMerge w:val="continue"/>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p>
        </w:tc>
        <w:tc>
          <w:tcPr>
            <w:tcW w:w="1971" w:type="dxa"/>
            <w:gridSpan w:val="3"/>
            <w:tcBorders>
              <w:top w:val="single" w:color="auto"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二类区</w:t>
            </w:r>
          </w:p>
        </w:tc>
        <w:tc>
          <w:tcPr>
            <w:tcW w:w="2991" w:type="dxa"/>
            <w:gridSpan w:val="10"/>
            <w:tcBorders>
              <w:top w:val="single" w:color="auto" w:sz="4" w:space="0"/>
              <w:left w:val="single" w:color="000000" w:sz="4" w:space="0"/>
              <w:bottom w:val="single" w:color="000000" w:sz="4" w:space="0"/>
              <w:right w:val="single" w:color="000000" w:sz="4" w:space="0"/>
            </w:tcBorders>
            <w:vAlign w:val="center"/>
          </w:tcPr>
          <w:p>
            <w:pPr>
              <w:pStyle w:val="55"/>
              <w:rPr>
                <w:color w:val="000000" w:themeColor="text1"/>
              </w:rPr>
            </w:pPr>
            <w:r>
              <w:rPr>
                <w:color w:val="000000" w:themeColor="text1"/>
              </w:rPr>
              <w:t>C</w:t>
            </w:r>
            <w:r>
              <w:rPr>
                <w:rFonts w:hint="eastAsia"/>
                <w:color w:val="000000" w:themeColor="text1"/>
                <w:vertAlign w:val="subscript"/>
              </w:rPr>
              <w:t>本项目</w:t>
            </w:r>
            <w:r>
              <w:rPr>
                <w:rFonts w:hint="eastAsia"/>
                <w:color w:val="000000" w:themeColor="text1"/>
              </w:rPr>
              <w:t>最大占标率≤</w:t>
            </w:r>
            <w:r>
              <w:rPr>
                <w:color w:val="000000" w:themeColor="text1"/>
              </w:rPr>
              <w:t>30%</w:t>
            </w:r>
            <w:r>
              <w:rPr>
                <w:rFonts w:hint="eastAsia" w:ascii="MS Mincho" w:hAnsi="MS Mincho" w:eastAsia="MS Mincho" w:cs="MS Mincho"/>
                <w:color w:val="000000" w:themeColor="text1"/>
              </w:rPr>
              <w:t>☑</w:t>
            </w:r>
          </w:p>
        </w:tc>
        <w:tc>
          <w:tcPr>
            <w:tcW w:w="2284" w:type="dxa"/>
            <w:gridSpan w:val="7"/>
            <w:tcBorders>
              <w:top w:val="single" w:color="auto" w:sz="4" w:space="0"/>
              <w:left w:val="single" w:color="000000" w:sz="4" w:space="0"/>
              <w:bottom w:val="single" w:color="000000" w:sz="4" w:space="0"/>
              <w:right w:val="single" w:color="000000" w:sz="4" w:space="0"/>
            </w:tcBorders>
            <w:vAlign w:val="center"/>
          </w:tcPr>
          <w:p>
            <w:pPr>
              <w:pStyle w:val="55"/>
              <w:rPr>
                <w:color w:val="000000" w:themeColor="text1"/>
              </w:rPr>
            </w:pPr>
            <w:r>
              <w:rPr>
                <w:color w:val="000000" w:themeColor="text1"/>
              </w:rPr>
              <w:t>C</w:t>
            </w:r>
            <w:r>
              <w:rPr>
                <w:rFonts w:hint="eastAsia"/>
                <w:color w:val="000000" w:themeColor="text1"/>
                <w:vertAlign w:val="subscript"/>
              </w:rPr>
              <w:t>本项目</w:t>
            </w:r>
            <w:r>
              <w:rPr>
                <w:rFonts w:hint="eastAsia"/>
                <w:color w:val="000000" w:themeColor="text1"/>
              </w:rPr>
              <w:t>最大占标率＞</w:t>
            </w:r>
            <w:r>
              <w:rPr>
                <w:color w:val="000000" w:themeColor="text1"/>
              </w:rPr>
              <w:t>30%</w:t>
            </w:r>
            <w:r>
              <w:rPr>
                <w:rFonts w:hint="eastAsia"/>
                <w:color w:val="000000" w:themeColor="text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6" w:hRule="atLeast"/>
          <w:jc w:val="center"/>
        </w:trPr>
        <w:tc>
          <w:tcPr>
            <w:tcW w:w="674" w:type="dxa"/>
            <w:vMerge w:val="continue"/>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非正常排放</w:t>
            </w:r>
            <w:r>
              <w:rPr>
                <w:color w:val="000000" w:themeColor="text1"/>
              </w:rPr>
              <w:t>1h</w:t>
            </w:r>
            <w:r>
              <w:rPr>
                <w:rFonts w:hint="eastAsia"/>
                <w:color w:val="000000" w:themeColor="text1"/>
              </w:rPr>
              <w:t>浓度贡献值</w:t>
            </w:r>
          </w:p>
        </w:tc>
        <w:tc>
          <w:tcPr>
            <w:tcW w:w="1971" w:type="dxa"/>
            <w:gridSpan w:val="3"/>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非正常持续时长（</w:t>
            </w:r>
            <w:r>
              <w:rPr>
                <w:color w:val="000000" w:themeColor="text1"/>
              </w:rPr>
              <w:t>1</w:t>
            </w:r>
            <w:r>
              <w:rPr>
                <w:rFonts w:hint="eastAsia"/>
                <w:color w:val="000000" w:themeColor="text1"/>
              </w:rPr>
              <w:t>）</w:t>
            </w:r>
            <w:r>
              <w:rPr>
                <w:color w:val="000000" w:themeColor="text1"/>
              </w:rPr>
              <w:t>h</w:t>
            </w:r>
          </w:p>
        </w:tc>
        <w:tc>
          <w:tcPr>
            <w:tcW w:w="2991" w:type="dxa"/>
            <w:gridSpan w:val="10"/>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color w:val="000000" w:themeColor="text1"/>
              </w:rPr>
              <w:t>C</w:t>
            </w:r>
            <w:r>
              <w:rPr>
                <w:rFonts w:hint="eastAsia"/>
                <w:color w:val="000000" w:themeColor="text1"/>
                <w:vertAlign w:val="subscript"/>
              </w:rPr>
              <w:t>非正常</w:t>
            </w:r>
            <w:r>
              <w:rPr>
                <w:rFonts w:hint="eastAsia"/>
                <w:color w:val="000000" w:themeColor="text1"/>
              </w:rPr>
              <w:t>占标率≤</w:t>
            </w:r>
            <w:r>
              <w:rPr>
                <w:color w:val="000000" w:themeColor="text1"/>
              </w:rPr>
              <w:t>100%</w:t>
            </w:r>
            <w:r>
              <w:rPr>
                <w:rFonts w:hint="eastAsia" w:ascii="MS Mincho" w:hAnsi="MS Mincho" w:eastAsia="MS Mincho" w:cs="MS Mincho"/>
                <w:color w:val="000000" w:themeColor="text1"/>
              </w:rPr>
              <w:t>☑</w:t>
            </w:r>
          </w:p>
        </w:tc>
        <w:tc>
          <w:tcPr>
            <w:tcW w:w="2284" w:type="dxa"/>
            <w:gridSpan w:val="7"/>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color w:val="000000" w:themeColor="text1"/>
              </w:rPr>
              <w:t>C</w:t>
            </w:r>
            <w:r>
              <w:rPr>
                <w:rFonts w:hint="eastAsia"/>
                <w:color w:val="000000" w:themeColor="text1"/>
                <w:vertAlign w:val="subscript"/>
              </w:rPr>
              <w:t>非正常</w:t>
            </w:r>
            <w:r>
              <w:rPr>
                <w:rFonts w:hint="eastAsia"/>
                <w:color w:val="000000" w:themeColor="text1"/>
              </w:rPr>
              <w:t>占标率＞</w:t>
            </w:r>
            <w:r>
              <w:rPr>
                <w:color w:val="000000" w:themeColor="text1"/>
              </w:rPr>
              <w:t>100%</w:t>
            </w:r>
            <w:r>
              <w:rPr>
                <w:rFonts w:hint="eastAsia"/>
                <w:color w:val="000000" w:themeColor="text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674" w:type="dxa"/>
            <w:vMerge w:val="continue"/>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p>
        </w:tc>
        <w:tc>
          <w:tcPr>
            <w:tcW w:w="1857" w:type="dxa"/>
            <w:gridSpan w:val="2"/>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保证率日平均浓度和年平均浓度叠加值</w:t>
            </w:r>
          </w:p>
        </w:tc>
        <w:tc>
          <w:tcPr>
            <w:tcW w:w="3728" w:type="dxa"/>
            <w:gridSpan w:val="10"/>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color w:val="000000" w:themeColor="text1"/>
              </w:rPr>
              <w:t>C</w:t>
            </w:r>
            <w:r>
              <w:rPr>
                <w:rFonts w:hint="eastAsia"/>
                <w:color w:val="000000" w:themeColor="text1"/>
                <w:vertAlign w:val="subscript"/>
              </w:rPr>
              <w:t>叠加</w:t>
            </w:r>
            <w:r>
              <w:rPr>
                <w:rFonts w:hint="eastAsia"/>
                <w:color w:val="000000" w:themeColor="text1"/>
              </w:rPr>
              <w:t>达标</w:t>
            </w:r>
            <w:r>
              <w:rPr>
                <w:rFonts w:hint="eastAsia" w:ascii="MS Mincho" w:hAnsi="MS Mincho" w:eastAsia="MS Mincho" w:cs="MS Mincho"/>
                <w:color w:val="000000" w:themeColor="text1"/>
              </w:rPr>
              <w:t>☑</w:t>
            </w:r>
          </w:p>
        </w:tc>
        <w:tc>
          <w:tcPr>
            <w:tcW w:w="2937" w:type="dxa"/>
            <w:gridSpan w:val="9"/>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color w:val="000000" w:themeColor="text1"/>
              </w:rPr>
              <w:t>C</w:t>
            </w:r>
            <w:r>
              <w:rPr>
                <w:rFonts w:hint="eastAsia"/>
                <w:color w:val="000000" w:themeColor="text1"/>
                <w:vertAlign w:val="subscript"/>
              </w:rPr>
              <w:t>叠加</w:t>
            </w:r>
            <w:r>
              <w:rPr>
                <w:rFonts w:hint="eastAsia"/>
                <w:color w:val="000000" w:themeColor="text1"/>
              </w:rPr>
              <w:t>不达标□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674" w:type="dxa"/>
            <w:vMerge w:val="continue"/>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p>
        </w:tc>
        <w:tc>
          <w:tcPr>
            <w:tcW w:w="1857" w:type="dxa"/>
            <w:gridSpan w:val="2"/>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区域环境质量的整体变化情况</w:t>
            </w:r>
          </w:p>
        </w:tc>
        <w:tc>
          <w:tcPr>
            <w:tcW w:w="3728" w:type="dxa"/>
            <w:gridSpan w:val="10"/>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color w:val="000000" w:themeColor="text1"/>
              </w:rPr>
              <w:t>k</w:t>
            </w:r>
            <w:r>
              <w:rPr>
                <w:rFonts w:hint="eastAsia"/>
                <w:color w:val="000000" w:themeColor="text1"/>
              </w:rPr>
              <w:t>≤</w:t>
            </w:r>
            <w:r>
              <w:rPr>
                <w:color w:val="000000" w:themeColor="text1"/>
              </w:rPr>
              <w:t>-20%</w:t>
            </w:r>
            <w:r>
              <w:rPr>
                <w:rFonts w:hint="eastAsia" w:ascii="MS Mincho" w:hAnsi="MS Mincho" w:eastAsia="MS Mincho" w:cs="MS Mincho"/>
                <w:color w:val="000000" w:themeColor="text1"/>
              </w:rPr>
              <w:t>☑</w:t>
            </w:r>
          </w:p>
        </w:tc>
        <w:tc>
          <w:tcPr>
            <w:tcW w:w="2937" w:type="dxa"/>
            <w:gridSpan w:val="9"/>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color w:val="000000" w:themeColor="text1"/>
              </w:rPr>
              <w:t>k</w:t>
            </w:r>
            <w:r>
              <w:rPr>
                <w:rFonts w:hint="eastAsia"/>
                <w:color w:val="000000" w:themeColor="text1"/>
              </w:rPr>
              <w:t>＞</w:t>
            </w:r>
            <w:r>
              <w:rPr>
                <w:color w:val="000000" w:themeColor="text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jc w:val="center"/>
        </w:trPr>
        <w:tc>
          <w:tcPr>
            <w:tcW w:w="674" w:type="dxa"/>
            <w:vMerge w:val="restart"/>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环境监测计划</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污染源监测</w:t>
            </w:r>
          </w:p>
        </w:tc>
        <w:tc>
          <w:tcPr>
            <w:tcW w:w="3157" w:type="dxa"/>
            <w:gridSpan w:val="7"/>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监测因子：（颗粒物、SO</w:t>
            </w:r>
            <w:r>
              <w:rPr>
                <w:rFonts w:hint="eastAsia"/>
                <w:color w:val="000000" w:themeColor="text1"/>
                <w:vertAlign w:val="subscript"/>
              </w:rPr>
              <w:t>2</w:t>
            </w:r>
            <w:r>
              <w:rPr>
                <w:rFonts w:hint="eastAsia"/>
                <w:color w:val="000000" w:themeColor="text1"/>
              </w:rPr>
              <w:t>、NOx、NH</w:t>
            </w:r>
            <w:r>
              <w:rPr>
                <w:rFonts w:hint="eastAsia"/>
                <w:color w:val="000000" w:themeColor="text1"/>
                <w:vertAlign w:val="subscript"/>
              </w:rPr>
              <w:t>3</w:t>
            </w:r>
            <w:r>
              <w:rPr>
                <w:rFonts w:hint="eastAsia"/>
                <w:color w:val="000000" w:themeColor="text1"/>
              </w:rPr>
              <w:t>、H</w:t>
            </w:r>
            <w:r>
              <w:rPr>
                <w:rFonts w:hint="eastAsia"/>
                <w:color w:val="000000" w:themeColor="text1"/>
                <w:vertAlign w:val="subscript"/>
              </w:rPr>
              <w:t>2</w:t>
            </w:r>
            <w:r>
              <w:rPr>
                <w:rFonts w:hint="eastAsia"/>
                <w:color w:val="000000" w:themeColor="text1"/>
              </w:rPr>
              <w:t>S、臭气浓度）</w:t>
            </w:r>
          </w:p>
        </w:tc>
        <w:tc>
          <w:tcPr>
            <w:tcW w:w="2787" w:type="dxa"/>
            <w:gridSpan w:val="9"/>
            <w:tcBorders>
              <w:top w:val="single" w:color="000000" w:sz="4" w:space="0"/>
              <w:left w:val="single" w:color="000000" w:sz="4" w:space="0"/>
              <w:bottom w:val="single" w:color="000000" w:sz="4" w:space="0"/>
              <w:right w:val="single" w:color="000000" w:sz="4" w:space="0"/>
            </w:tcBorders>
            <w:vAlign w:val="center"/>
          </w:tcPr>
          <w:p>
            <w:pPr>
              <w:pStyle w:val="55"/>
              <w:rPr>
                <w:rFonts w:cs="Times New Roman"/>
                <w:color w:val="000000" w:themeColor="text1"/>
              </w:rPr>
            </w:pPr>
            <w:r>
              <w:rPr>
                <w:rFonts w:hint="eastAsia"/>
                <w:color w:val="000000" w:themeColor="text1"/>
              </w:rPr>
              <w:t>有组织废气监测</w:t>
            </w:r>
            <w:r>
              <w:rPr>
                <w:rFonts w:hint="eastAsia" w:ascii="MS Mincho" w:hAnsi="MS Mincho" w:eastAsia="MS Mincho" w:cs="MS Mincho"/>
                <w:color w:val="000000" w:themeColor="text1"/>
              </w:rPr>
              <w:t>☑</w:t>
            </w:r>
          </w:p>
          <w:p>
            <w:pPr>
              <w:pStyle w:val="55"/>
              <w:rPr>
                <w:color w:val="000000" w:themeColor="text1"/>
              </w:rPr>
            </w:pPr>
            <w:r>
              <w:rPr>
                <w:rFonts w:hint="eastAsia"/>
                <w:color w:val="000000" w:themeColor="text1"/>
              </w:rPr>
              <w:t>无组织废气监测</w:t>
            </w:r>
            <w:r>
              <w:rPr>
                <w:rFonts w:hint="eastAsia" w:ascii="MS Mincho" w:hAnsi="MS Mincho" w:eastAsia="MS Mincho" w:cs="MS Mincho"/>
                <w:color w:val="000000" w:themeColor="text1"/>
              </w:rPr>
              <w:t>☑</w:t>
            </w:r>
          </w:p>
        </w:tc>
        <w:tc>
          <w:tcPr>
            <w:tcW w:w="1302" w:type="dxa"/>
            <w:gridSpan w:val="4"/>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无监测□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674" w:type="dxa"/>
            <w:vMerge w:val="continue"/>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环境质量检测</w:t>
            </w:r>
          </w:p>
        </w:tc>
        <w:tc>
          <w:tcPr>
            <w:tcW w:w="3157" w:type="dxa"/>
            <w:gridSpan w:val="7"/>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监测因子：（颗粒物、SO</w:t>
            </w:r>
            <w:r>
              <w:rPr>
                <w:rFonts w:hint="eastAsia"/>
                <w:color w:val="000000" w:themeColor="text1"/>
                <w:vertAlign w:val="subscript"/>
              </w:rPr>
              <w:t>2</w:t>
            </w:r>
            <w:r>
              <w:rPr>
                <w:rFonts w:hint="eastAsia"/>
                <w:color w:val="000000" w:themeColor="text1"/>
              </w:rPr>
              <w:t>、NOx、NH</w:t>
            </w:r>
            <w:r>
              <w:rPr>
                <w:rFonts w:hint="eastAsia"/>
                <w:color w:val="000000" w:themeColor="text1"/>
                <w:vertAlign w:val="subscript"/>
              </w:rPr>
              <w:t>3</w:t>
            </w:r>
            <w:r>
              <w:rPr>
                <w:rFonts w:hint="eastAsia"/>
                <w:color w:val="000000" w:themeColor="text1"/>
              </w:rPr>
              <w:t>、H</w:t>
            </w:r>
            <w:r>
              <w:rPr>
                <w:rFonts w:hint="eastAsia"/>
                <w:color w:val="000000" w:themeColor="text1"/>
                <w:vertAlign w:val="subscript"/>
              </w:rPr>
              <w:t>2</w:t>
            </w:r>
            <w:r>
              <w:rPr>
                <w:rFonts w:hint="eastAsia"/>
                <w:color w:val="000000" w:themeColor="text1"/>
              </w:rPr>
              <w:t>S、臭气浓度）</w:t>
            </w:r>
          </w:p>
        </w:tc>
        <w:tc>
          <w:tcPr>
            <w:tcW w:w="2787" w:type="dxa"/>
            <w:gridSpan w:val="9"/>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监测点位数（2个）</w:t>
            </w:r>
          </w:p>
        </w:tc>
        <w:tc>
          <w:tcPr>
            <w:tcW w:w="1302" w:type="dxa"/>
            <w:gridSpan w:val="4"/>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无监测□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674" w:type="dxa"/>
            <w:vMerge w:val="restart"/>
            <w:tcBorders>
              <w:top w:val="single" w:color="000000" w:sz="4" w:space="0"/>
              <w:left w:val="single" w:color="000000" w:sz="4" w:space="0"/>
              <w:bottom w:val="single" w:color="000000" w:sz="4" w:space="0"/>
              <w:right w:val="single" w:color="000000" w:sz="4" w:space="0"/>
            </w:tcBorders>
            <w:vAlign w:val="center"/>
          </w:tcPr>
          <w:p>
            <w:pPr>
              <w:pStyle w:val="55"/>
              <w:rPr>
                <w:rFonts w:cs="Times New Roman"/>
                <w:color w:val="000000" w:themeColor="text1"/>
              </w:rPr>
            </w:pPr>
            <w:r>
              <w:rPr>
                <w:rFonts w:hint="eastAsia"/>
                <w:color w:val="000000" w:themeColor="text1"/>
              </w:rPr>
              <w:t>评价</w:t>
            </w:r>
          </w:p>
          <w:p>
            <w:pPr>
              <w:pStyle w:val="55"/>
              <w:rPr>
                <w:color w:val="000000" w:themeColor="text1"/>
              </w:rPr>
            </w:pPr>
            <w:r>
              <w:rPr>
                <w:rFonts w:hint="eastAsia"/>
                <w:color w:val="000000" w:themeColor="text1"/>
              </w:rPr>
              <w:t>结论</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环境影响</w:t>
            </w:r>
          </w:p>
        </w:tc>
        <w:tc>
          <w:tcPr>
            <w:tcW w:w="7246" w:type="dxa"/>
            <w:gridSpan w:val="20"/>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可以接受</w:t>
            </w:r>
            <w:r>
              <w:rPr>
                <w:rFonts w:hint="eastAsia" w:ascii="MS Mincho" w:hAnsi="MS Mincho" w:eastAsia="MS Mincho" w:cs="MS Mincho"/>
                <w:color w:val="000000" w:themeColor="text1"/>
              </w:rPr>
              <w:t>☑</w:t>
            </w:r>
            <w:r>
              <w:rPr>
                <w:color w:val="000000" w:themeColor="text1"/>
              </w:rPr>
              <w:t xml:space="preserve">             </w:t>
            </w:r>
            <w:r>
              <w:rPr>
                <w:rFonts w:hint="eastAsia"/>
                <w:color w:val="000000" w:themeColor="text1"/>
              </w:rPr>
              <w:t>不可接受□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674" w:type="dxa"/>
            <w:vMerge w:val="continue"/>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大气环境防护距离</w:t>
            </w:r>
          </w:p>
        </w:tc>
        <w:tc>
          <w:tcPr>
            <w:tcW w:w="7246" w:type="dxa"/>
            <w:gridSpan w:val="20"/>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距（</w:t>
            </w:r>
            <w:r>
              <w:rPr>
                <w:color w:val="000000" w:themeColor="text1"/>
              </w:rPr>
              <w:t xml:space="preserve"> </w:t>
            </w:r>
            <w:r>
              <w:rPr>
                <w:rFonts w:hint="eastAsia"/>
                <w:color w:val="000000" w:themeColor="text1"/>
              </w:rPr>
              <w:t>）厂界最远（</w:t>
            </w:r>
            <w:r>
              <w:rPr>
                <w:color w:val="000000" w:themeColor="text1"/>
              </w:rPr>
              <w:t xml:space="preserve"> </w:t>
            </w:r>
            <w:r>
              <w:rPr>
                <w:rFonts w:hint="eastAsia"/>
                <w:color w:val="000000" w:themeColor="text1"/>
              </w:rPr>
              <w:t>）</w:t>
            </w:r>
            <w:r>
              <w:rPr>
                <w:color w:val="000000" w:themeColor="text1"/>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674" w:type="dxa"/>
            <w:vMerge w:val="continue"/>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污染源年排放量</w:t>
            </w:r>
          </w:p>
        </w:tc>
        <w:tc>
          <w:tcPr>
            <w:tcW w:w="1971" w:type="dxa"/>
            <w:gridSpan w:val="3"/>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vAlign w:val="center"/>
          </w:tcPr>
          <w:p>
            <w:pPr>
              <w:pStyle w:val="55"/>
              <w:rPr>
                <w:color w:val="000000" w:themeColor="text1"/>
              </w:rPr>
            </w:pPr>
            <w:r>
              <w:rPr>
                <w:color w:val="000000" w:themeColor="text1"/>
              </w:rPr>
              <w:t>SO</w:t>
            </w:r>
            <w:r>
              <w:rPr>
                <w:color w:val="000000" w:themeColor="text1"/>
                <w:vertAlign w:val="subscript"/>
              </w:rPr>
              <w:t>2</w:t>
            </w:r>
            <w:r>
              <w:rPr>
                <w:rFonts w:hint="eastAsia"/>
                <w:color w:val="000000" w:themeColor="text1"/>
              </w:rPr>
              <w:t>：（0.0455）</w:t>
            </w:r>
            <w:r>
              <w:rPr>
                <w:color w:val="000000" w:themeColor="text1"/>
              </w:rPr>
              <w:t>t/a</w:t>
            </w:r>
          </w:p>
        </w:tc>
        <w:tc>
          <w:tcPr>
            <w:tcW w:w="2296" w:type="dxa"/>
            <w:gridSpan w:val="7"/>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vAlign w:val="center"/>
          </w:tcPr>
          <w:p>
            <w:pPr>
              <w:pStyle w:val="55"/>
              <w:rPr>
                <w:color w:val="000000" w:themeColor="text1"/>
              </w:rPr>
            </w:pPr>
            <w:r>
              <w:rPr>
                <w:color w:val="000000" w:themeColor="text1"/>
              </w:rPr>
              <w:t>NO</w:t>
            </w:r>
            <w:r>
              <w:rPr>
                <w:color w:val="000000" w:themeColor="text1"/>
                <w:vertAlign w:val="subscript"/>
              </w:rPr>
              <w:t>X</w:t>
            </w:r>
            <w:r>
              <w:rPr>
                <w:rFonts w:hint="eastAsia"/>
                <w:color w:val="000000" w:themeColor="text1"/>
              </w:rPr>
              <w:t>：（</w:t>
            </w:r>
            <w:r>
              <w:rPr>
                <w:color w:val="000000" w:themeColor="text1"/>
              </w:rPr>
              <w:t>0</w:t>
            </w:r>
            <w:r>
              <w:rPr>
                <w:rFonts w:hint="eastAsia"/>
                <w:color w:val="000000" w:themeColor="text1"/>
              </w:rPr>
              <w:t>.475）</w:t>
            </w:r>
            <w:r>
              <w:rPr>
                <w:color w:val="000000" w:themeColor="text1"/>
              </w:rPr>
              <w:t>t/a</w:t>
            </w:r>
          </w:p>
        </w:tc>
        <w:tc>
          <w:tcPr>
            <w:tcW w:w="2065" w:type="dxa"/>
            <w:gridSpan w:val="8"/>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颗粒物：（0.0451）</w:t>
            </w:r>
            <w:r>
              <w:rPr>
                <w:color w:val="000000" w:themeColor="text1"/>
              </w:rPr>
              <w:t>t/a</w:t>
            </w:r>
          </w:p>
        </w:tc>
        <w:tc>
          <w:tcPr>
            <w:tcW w:w="914" w:type="dxa"/>
            <w:gridSpan w:val="2"/>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vAlign w:val="center"/>
          </w:tcPr>
          <w:p>
            <w:pPr>
              <w:pStyle w:val="55"/>
              <w:rPr>
                <w:color w:val="000000" w:themeColor="text1"/>
              </w:rPr>
            </w:pPr>
            <w:r>
              <w:rPr>
                <w:color w:val="000000" w:themeColor="text1"/>
              </w:rPr>
              <w:t>VOCs</w:t>
            </w:r>
            <w:r>
              <w:rPr>
                <w:rFonts w:hint="eastAsia"/>
                <w:color w:val="000000" w:themeColor="text1"/>
              </w:rPr>
              <w:t>：（</w:t>
            </w:r>
            <w:r>
              <w:rPr>
                <w:color w:val="000000" w:themeColor="text1"/>
              </w:rPr>
              <w:t>0</w:t>
            </w:r>
            <w:r>
              <w:rPr>
                <w:rFonts w:hint="eastAsia"/>
                <w:color w:val="000000" w:themeColor="text1"/>
              </w:rPr>
              <w:t>）</w:t>
            </w:r>
            <w:r>
              <w:rPr>
                <w:color w:val="000000" w:themeColor="text1"/>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9196" w:type="dxa"/>
            <w:gridSpan w:val="22"/>
            <w:tcBorders>
              <w:top w:val="single" w:color="000000" w:sz="4" w:space="0"/>
              <w:left w:val="single" w:color="000000" w:sz="4" w:space="0"/>
              <w:bottom w:val="single" w:color="000000" w:sz="4" w:space="0"/>
              <w:right w:val="single" w:color="000000" w:sz="4" w:space="0"/>
            </w:tcBorders>
            <w:vAlign w:val="center"/>
          </w:tcPr>
          <w:p>
            <w:pPr>
              <w:pStyle w:val="55"/>
              <w:rPr>
                <w:color w:val="000000" w:themeColor="text1"/>
              </w:rPr>
            </w:pPr>
            <w:r>
              <w:rPr>
                <w:rFonts w:hint="eastAsia"/>
                <w:color w:val="000000" w:themeColor="text1"/>
              </w:rPr>
              <w:t>注：“□”为勾选项，填“√”；“（</w:t>
            </w:r>
            <w:r>
              <w:rPr>
                <w:color w:val="000000" w:themeColor="text1"/>
              </w:rPr>
              <w:t xml:space="preserve"> </w:t>
            </w:r>
            <w:r>
              <w:rPr>
                <w:rFonts w:hint="eastAsia"/>
                <w:color w:val="000000" w:themeColor="text1"/>
              </w:rPr>
              <w:t>）”为内容填写项</w:t>
            </w:r>
          </w:p>
        </w:tc>
      </w:tr>
    </w:tbl>
    <w:p>
      <w:pPr>
        <w:pStyle w:val="3"/>
        <w:rPr>
          <w:color w:val="000000" w:themeColor="text1"/>
          <w:sz w:val="32"/>
        </w:rPr>
      </w:pPr>
      <w:bookmarkStart w:id="197" w:name="_Toc47375868"/>
      <w:r>
        <w:rPr>
          <w:color w:val="000000" w:themeColor="text1"/>
        </w:rPr>
        <w:t>6.2</w:t>
      </w:r>
      <w:r>
        <w:rPr>
          <w:rFonts w:hint="eastAsia"/>
          <w:color w:val="000000" w:themeColor="text1"/>
        </w:rPr>
        <w:t>运营期水环境影响分析及评价</w:t>
      </w:r>
      <w:bookmarkEnd w:id="195"/>
      <w:bookmarkEnd w:id="197"/>
    </w:p>
    <w:p>
      <w:pPr>
        <w:pStyle w:val="38"/>
        <w:ind w:firstLine="281"/>
        <w:rPr>
          <w:color w:val="000000" w:themeColor="text1"/>
        </w:rPr>
      </w:pPr>
      <w:bookmarkStart w:id="198" w:name="_Toc47375869"/>
      <w:bookmarkStart w:id="199" w:name="_Toc387938380"/>
      <w:bookmarkStart w:id="200" w:name="_Toc143085413"/>
      <w:bookmarkStart w:id="201" w:name="_Toc530059699"/>
      <w:bookmarkStart w:id="202" w:name="_Toc388604081"/>
      <w:r>
        <w:rPr>
          <w:rFonts w:hint="eastAsia"/>
          <w:color w:val="000000" w:themeColor="text1"/>
        </w:rPr>
        <w:t>6.2.1地表水环境影响分析</w:t>
      </w:r>
      <w:bookmarkEnd w:id="198"/>
    </w:p>
    <w:p>
      <w:pPr>
        <w:ind w:firstLine="480"/>
        <w:rPr>
          <w:color w:val="000000" w:themeColor="text1"/>
        </w:rPr>
      </w:pPr>
      <w:r>
        <w:rPr>
          <w:rFonts w:hint="eastAsia"/>
          <w:color w:val="000000" w:themeColor="text1"/>
        </w:rPr>
        <w:t>由工程分析可知，项目运营后废水主要来源于生猪及生鸡的屠宰加工废水、冲洗消毒废水和员工的生活污水。</w:t>
      </w:r>
    </w:p>
    <w:p>
      <w:pPr>
        <w:ind w:firstLine="480"/>
        <w:rPr>
          <w:rFonts w:cs="Times New Roman"/>
          <w:color w:val="000000" w:themeColor="text1"/>
        </w:rPr>
      </w:pPr>
      <w:r>
        <w:rPr>
          <w:rFonts w:cs="Times New Roman"/>
          <w:color w:val="000000" w:themeColor="text1"/>
        </w:rPr>
        <w:t>项目采取雨污分流制，雨水通过雨水沟</w:t>
      </w:r>
      <w:r>
        <w:rPr>
          <w:rFonts w:hint="eastAsia" w:cs="Times New Roman"/>
          <w:color w:val="000000" w:themeColor="text1"/>
        </w:rPr>
        <w:t>收集后</w:t>
      </w:r>
      <w:r>
        <w:rPr>
          <w:rFonts w:cs="Times New Roman"/>
          <w:color w:val="000000" w:themeColor="text1"/>
        </w:rPr>
        <w:t>外排；屠宰废水</w:t>
      </w:r>
      <w:r>
        <w:rPr>
          <w:rFonts w:hint="eastAsia" w:cs="Times New Roman"/>
          <w:color w:val="000000" w:themeColor="text1"/>
        </w:rPr>
        <w:t>、</w:t>
      </w:r>
      <w:r>
        <w:rPr>
          <w:rFonts w:cs="Times New Roman"/>
          <w:color w:val="000000" w:themeColor="text1"/>
        </w:rPr>
        <w:t>冲洗废水</w:t>
      </w:r>
      <w:r>
        <w:rPr>
          <w:rFonts w:hint="eastAsia" w:cs="Times New Roman"/>
          <w:color w:val="000000" w:themeColor="text1"/>
        </w:rPr>
        <w:t>及生活</w:t>
      </w:r>
      <w:r>
        <w:rPr>
          <w:rFonts w:cs="Times New Roman"/>
          <w:color w:val="000000" w:themeColor="text1"/>
        </w:rPr>
        <w:t>污水</w:t>
      </w:r>
      <w:r>
        <w:rPr>
          <w:rFonts w:hint="eastAsia" w:cs="Times New Roman"/>
          <w:color w:val="000000" w:themeColor="text1"/>
        </w:rPr>
        <w:t>都</w:t>
      </w:r>
      <w:r>
        <w:rPr>
          <w:rFonts w:cs="Times New Roman"/>
          <w:color w:val="000000" w:themeColor="text1"/>
        </w:rPr>
        <w:t>排入自建的污水处理站处理</w:t>
      </w:r>
      <w:r>
        <w:rPr>
          <w:rFonts w:hint="eastAsia" w:cs="Times New Roman"/>
          <w:color w:val="000000" w:themeColor="text1"/>
        </w:rPr>
        <w:t>。</w:t>
      </w:r>
      <w:r>
        <w:rPr>
          <w:rFonts w:cs="Times New Roman"/>
          <w:color w:val="000000" w:themeColor="text1"/>
        </w:rPr>
        <w:t>经过污水处理站处理后的废水排入砚山县城市污水管网</w:t>
      </w:r>
      <w:r>
        <w:rPr>
          <w:rFonts w:hint="eastAsia" w:cs="Times New Roman"/>
          <w:color w:val="000000" w:themeColor="text1"/>
        </w:rPr>
        <w:t>，最终进入</w:t>
      </w:r>
      <w:r>
        <w:rPr>
          <w:rFonts w:cs="Times New Roman"/>
          <w:color w:val="000000" w:themeColor="text1"/>
        </w:rPr>
        <w:t>砚山县污水处理厂进一步处理达标后排入听湖水库</w:t>
      </w:r>
      <w:r>
        <w:rPr>
          <w:rFonts w:hint="eastAsia" w:cs="Times New Roman"/>
          <w:color w:val="000000" w:themeColor="text1"/>
        </w:rPr>
        <w:t>。</w:t>
      </w:r>
    </w:p>
    <w:p>
      <w:pPr>
        <w:ind w:firstLine="480"/>
        <w:rPr>
          <w:rFonts w:cs="Times New Roman"/>
          <w:color w:val="000000" w:themeColor="text1"/>
        </w:rPr>
      </w:pPr>
      <w:r>
        <w:rPr>
          <w:rFonts w:hint="eastAsia" w:cs="Times New Roman"/>
          <w:color w:val="000000" w:themeColor="text1"/>
        </w:rPr>
        <w:t>因此，本项目的废水得到妥善处理，不会直接排入外环境，本环评地表水影响分析主要论证排水方案的可行性。</w:t>
      </w:r>
    </w:p>
    <w:p>
      <w:pPr>
        <w:pStyle w:val="57"/>
        <w:ind w:firstLine="482"/>
        <w:rPr>
          <w:color w:val="000000" w:themeColor="text1"/>
        </w:rPr>
      </w:pPr>
      <w:r>
        <w:rPr>
          <w:rFonts w:hint="eastAsia"/>
          <w:color w:val="000000" w:themeColor="text1"/>
        </w:rPr>
        <w:t>6.2.1.1项目污水处理站水质达标分析</w:t>
      </w:r>
    </w:p>
    <w:p>
      <w:pPr>
        <w:ind w:firstLine="480"/>
        <w:rPr>
          <w:color w:val="FF0000"/>
        </w:rPr>
      </w:pPr>
      <w:r>
        <w:rPr>
          <w:rFonts w:hint="eastAsia"/>
          <w:color w:val="000000" w:themeColor="text1"/>
        </w:rPr>
        <w:t>本项目产生的废水以屠宰加工废水为主，根据本项目污水处理站设计资料，本项目废水拟采用“隔油沉砂</w:t>
      </w:r>
      <w:r>
        <w:rPr>
          <w:color w:val="000000" w:themeColor="text1"/>
        </w:rPr>
        <w:t>+</w:t>
      </w:r>
      <w:r>
        <w:rPr>
          <w:rFonts w:hint="eastAsia"/>
          <w:color w:val="000000" w:themeColor="text1"/>
        </w:rPr>
        <w:t>调节</w:t>
      </w:r>
      <w:r>
        <w:rPr>
          <w:color w:val="000000" w:themeColor="text1"/>
        </w:rPr>
        <w:t>+</w:t>
      </w:r>
      <w:r>
        <w:rPr>
          <w:rFonts w:hint="eastAsia"/>
          <w:color w:val="000000" w:themeColor="text1"/>
        </w:rPr>
        <w:t>气浮</w:t>
      </w:r>
      <w:r>
        <w:rPr>
          <w:color w:val="000000" w:themeColor="text1"/>
        </w:rPr>
        <w:t>+</w:t>
      </w:r>
      <w:r>
        <w:rPr>
          <w:rFonts w:hint="eastAsia"/>
          <w:color w:val="000000" w:themeColor="text1"/>
        </w:rPr>
        <w:t>厌氧</w:t>
      </w:r>
      <w:r>
        <w:rPr>
          <w:color w:val="000000" w:themeColor="text1"/>
        </w:rPr>
        <w:t>+</w:t>
      </w:r>
      <w:r>
        <w:rPr>
          <w:rFonts w:hint="eastAsia"/>
          <w:color w:val="000000" w:themeColor="text1"/>
        </w:rPr>
        <w:t>接触氧化</w:t>
      </w:r>
      <w:r>
        <w:rPr>
          <w:color w:val="000000" w:themeColor="text1"/>
        </w:rPr>
        <w:t>+</w:t>
      </w:r>
      <w:r>
        <w:rPr>
          <w:rFonts w:hint="eastAsia"/>
          <w:color w:val="000000" w:themeColor="text1"/>
        </w:rPr>
        <w:t>沉淀消毒”的工艺进行处理，污水站</w:t>
      </w:r>
      <w:r>
        <w:rPr>
          <w:rFonts w:cs="Times New Roman"/>
          <w:color w:val="000000" w:themeColor="text1"/>
        </w:rPr>
        <w:t>处理规模为300m³/d</w:t>
      </w:r>
      <w:r>
        <w:rPr>
          <w:rFonts w:hint="eastAsia" w:cs="Times New Roman"/>
          <w:color w:val="000000" w:themeColor="text1"/>
        </w:rPr>
        <w:t>。</w:t>
      </w:r>
      <w:r>
        <w:rPr>
          <w:rFonts w:hint="eastAsia" w:cs="Times New Roman"/>
          <w:color w:val="FF0000"/>
        </w:rPr>
        <w:t>根据工程分析可知，</w:t>
      </w:r>
      <w:r>
        <w:rPr>
          <w:rFonts w:cs="Times New Roman"/>
          <w:color w:val="FF0000"/>
        </w:rPr>
        <w:t>本项目生猪屠宰</w:t>
      </w:r>
      <w:r>
        <w:rPr>
          <w:rFonts w:hint="eastAsia" w:cs="Times New Roman"/>
          <w:color w:val="FF0000"/>
        </w:rPr>
        <w:t>废水、</w:t>
      </w:r>
      <w:r>
        <w:rPr>
          <w:rFonts w:cs="Times New Roman"/>
          <w:color w:val="FF0000"/>
        </w:rPr>
        <w:t>生鸡屠宰</w:t>
      </w:r>
      <w:r>
        <w:rPr>
          <w:rFonts w:hint="eastAsia" w:cs="Times New Roman"/>
          <w:color w:val="FF0000"/>
        </w:rPr>
        <w:t>废水、</w:t>
      </w:r>
      <w:r>
        <w:rPr>
          <w:rFonts w:cs="Times New Roman"/>
          <w:color w:val="FF0000"/>
        </w:rPr>
        <w:t>全场消毒清洗</w:t>
      </w:r>
      <w:r>
        <w:rPr>
          <w:rFonts w:hint="eastAsia" w:cs="Times New Roman"/>
          <w:color w:val="FF0000"/>
        </w:rPr>
        <w:t>废水及生活</w:t>
      </w:r>
      <w:r>
        <w:rPr>
          <w:rFonts w:cs="Times New Roman"/>
          <w:color w:val="FF0000"/>
        </w:rPr>
        <w:t>污水产生量共合计为234m³/d</w:t>
      </w:r>
      <w:r>
        <w:rPr>
          <w:rFonts w:hint="eastAsia" w:cs="Times New Roman"/>
          <w:color w:val="FF0000"/>
        </w:rPr>
        <w:t>，因此污水处理站规模可满足本项目的需求</w:t>
      </w:r>
      <w:r>
        <w:rPr>
          <w:rFonts w:cs="Times New Roman"/>
          <w:color w:val="FF0000"/>
        </w:rPr>
        <w:t>。</w:t>
      </w:r>
    </w:p>
    <w:p>
      <w:pPr>
        <w:ind w:firstLine="480"/>
        <w:rPr>
          <w:color w:val="000000" w:themeColor="text1"/>
          <w:szCs w:val="24"/>
        </w:rPr>
      </w:pPr>
      <w:r>
        <w:rPr>
          <w:rFonts w:cs="Times New Roman"/>
          <w:color w:val="000000" w:themeColor="text1"/>
        </w:rPr>
        <w:t>根据工程分析</w:t>
      </w:r>
      <w:r>
        <w:rPr>
          <w:rFonts w:hint="eastAsia" w:cs="Times New Roman"/>
          <w:color w:val="000000" w:themeColor="text1"/>
        </w:rPr>
        <w:t>，</w:t>
      </w:r>
      <w:r>
        <w:rPr>
          <w:rFonts w:cs="Times New Roman"/>
          <w:color w:val="000000" w:themeColor="text1"/>
        </w:rPr>
        <w:t>本项目废水进出水质</w:t>
      </w:r>
      <w:r>
        <w:rPr>
          <w:rFonts w:hint="eastAsia" w:cs="Times New Roman"/>
          <w:color w:val="000000" w:themeColor="text1"/>
        </w:rPr>
        <w:t>详情及达标情况见</w:t>
      </w:r>
      <w:r>
        <w:rPr>
          <w:rFonts w:cs="Times New Roman"/>
          <w:color w:val="000000" w:themeColor="text1"/>
        </w:rPr>
        <w:t>表</w:t>
      </w:r>
      <w:r>
        <w:rPr>
          <w:rFonts w:hint="eastAsia"/>
          <w:color w:val="000000" w:themeColor="text1"/>
          <w:szCs w:val="24"/>
        </w:rPr>
        <w:t>6.2.1-1所示。</w:t>
      </w:r>
    </w:p>
    <w:p>
      <w:pPr>
        <w:pStyle w:val="54"/>
        <w:rPr>
          <w:color w:val="000000" w:themeColor="text1"/>
        </w:rPr>
      </w:pPr>
      <w:r>
        <w:rPr>
          <w:rFonts w:hint="eastAsia"/>
          <w:color w:val="000000" w:themeColor="text1"/>
        </w:rPr>
        <w:t>表6.2.1-1  本项目污水处理站进出口水质一览表   单位：</w:t>
      </w:r>
      <w:r>
        <w:rPr>
          <w:color w:val="000000" w:themeColor="text1"/>
        </w:rPr>
        <w:t>mg/L</w:t>
      </w:r>
    </w:p>
    <w:tbl>
      <w:tblPr>
        <w:tblStyle w:val="42"/>
        <w:tblW w:w="8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9"/>
        <w:gridCol w:w="1134"/>
        <w:gridCol w:w="1206"/>
        <w:gridCol w:w="851"/>
        <w:gridCol w:w="992"/>
        <w:gridCol w:w="1417"/>
        <w:gridCol w:w="1276"/>
        <w:gridCol w:w="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8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序号</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污染物</w:t>
            </w:r>
          </w:p>
        </w:tc>
        <w:tc>
          <w:tcPr>
            <w:tcW w:w="120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全厂混水后进口水质</w:t>
            </w: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出口水质</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处理效率</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szCs w:val="24"/>
              </w:rPr>
              <w:t>GB 13457-92</w:t>
            </w:r>
          </w:p>
          <w:p>
            <w:pPr>
              <w:pStyle w:val="55"/>
              <w:rPr>
                <w:color w:val="000000" w:themeColor="text1"/>
              </w:rPr>
            </w:pPr>
            <w:r>
              <w:rPr>
                <w:rFonts w:hint="eastAsia"/>
                <w:color w:val="000000" w:themeColor="text1"/>
              </w:rPr>
              <w:t>禽类屠宰加工三级标准</w:t>
            </w:r>
          </w:p>
        </w:tc>
        <w:tc>
          <w:tcPr>
            <w:tcW w:w="12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szCs w:val="24"/>
              </w:rPr>
              <w:t>GB/T 31962-2015</w:t>
            </w:r>
          </w:p>
          <w:p>
            <w:pPr>
              <w:pStyle w:val="55"/>
              <w:rPr>
                <w:color w:val="000000" w:themeColor="text1"/>
              </w:rPr>
            </w:pPr>
            <w:r>
              <w:rPr>
                <w:rFonts w:hint="eastAsia"/>
                <w:color w:val="000000" w:themeColor="text1"/>
                <w:szCs w:val="24"/>
              </w:rPr>
              <w:t>B级标准</w:t>
            </w:r>
          </w:p>
        </w:tc>
        <w:tc>
          <w:tcPr>
            <w:tcW w:w="74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8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rPr>
              <w:t>1</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rPr>
              <w:t>COD</w:t>
            </w:r>
          </w:p>
        </w:tc>
        <w:tc>
          <w:tcPr>
            <w:tcW w:w="120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1496</w:t>
            </w: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59.84</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96%</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≤500</w:t>
            </w:r>
          </w:p>
        </w:tc>
        <w:tc>
          <w:tcPr>
            <w:tcW w:w="12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≤500</w:t>
            </w:r>
          </w:p>
        </w:tc>
        <w:tc>
          <w:tcPr>
            <w:tcW w:w="74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58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rPr>
              <w:t>2</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rPr>
              <w:t>BOD</w:t>
            </w:r>
            <w:r>
              <w:rPr>
                <w:color w:val="000000" w:themeColor="text1"/>
                <w:vertAlign w:val="subscript"/>
              </w:rPr>
              <w:t>5</w:t>
            </w:r>
          </w:p>
        </w:tc>
        <w:tc>
          <w:tcPr>
            <w:tcW w:w="120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748</w:t>
            </w: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26.4</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96.47%</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≤250</w:t>
            </w:r>
          </w:p>
        </w:tc>
        <w:tc>
          <w:tcPr>
            <w:tcW w:w="12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≤350</w:t>
            </w:r>
          </w:p>
        </w:tc>
        <w:tc>
          <w:tcPr>
            <w:tcW w:w="74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58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rPr>
              <w:t>3</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动植物油</w:t>
            </w:r>
          </w:p>
        </w:tc>
        <w:tc>
          <w:tcPr>
            <w:tcW w:w="120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49</w:t>
            </w: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9.19</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81.25%</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≤50</w:t>
            </w:r>
          </w:p>
        </w:tc>
        <w:tc>
          <w:tcPr>
            <w:tcW w:w="12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≤100</w:t>
            </w:r>
          </w:p>
        </w:tc>
        <w:tc>
          <w:tcPr>
            <w:tcW w:w="74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8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rPr>
              <w:t>4</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rPr>
              <w:t>SS</w:t>
            </w:r>
          </w:p>
        </w:tc>
        <w:tc>
          <w:tcPr>
            <w:tcW w:w="120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798</w:t>
            </w: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79.8</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90%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≤300</w:t>
            </w:r>
          </w:p>
        </w:tc>
        <w:tc>
          <w:tcPr>
            <w:tcW w:w="12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≤400</w:t>
            </w:r>
          </w:p>
        </w:tc>
        <w:tc>
          <w:tcPr>
            <w:tcW w:w="74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8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rPr>
              <w:t>5</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rPr>
              <w:t>NH</w:t>
            </w:r>
            <w:r>
              <w:rPr>
                <w:rFonts w:hint="eastAsia"/>
                <w:color w:val="000000" w:themeColor="text1"/>
                <w:vertAlign w:val="subscript"/>
              </w:rPr>
              <w:t>3</w:t>
            </w:r>
            <w:r>
              <w:rPr>
                <w:color w:val="000000" w:themeColor="text1"/>
              </w:rPr>
              <w:t>-N</w:t>
            </w:r>
          </w:p>
        </w:tc>
        <w:tc>
          <w:tcPr>
            <w:tcW w:w="120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50</w:t>
            </w: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color w:val="000000" w:themeColor="text1"/>
              </w:rPr>
              <w:t>9.38</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81.25%</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w:t>
            </w:r>
          </w:p>
        </w:tc>
        <w:tc>
          <w:tcPr>
            <w:tcW w:w="12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≤45</w:t>
            </w:r>
          </w:p>
        </w:tc>
        <w:tc>
          <w:tcPr>
            <w:tcW w:w="74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58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rPr>
              <w:t>6</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color w:val="000000" w:themeColor="text1"/>
                <w:szCs w:val="20"/>
              </w:rPr>
              <w:t>大肠菌群数</w:t>
            </w:r>
          </w:p>
        </w:tc>
        <w:tc>
          <w:tcPr>
            <w:tcW w:w="120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bCs/>
                <w:color w:val="000000" w:themeColor="text1"/>
              </w:rPr>
              <w:t>4.6*10</w:t>
            </w:r>
            <w:r>
              <w:rPr>
                <w:bCs/>
                <w:color w:val="000000" w:themeColor="text1"/>
                <w:vertAlign w:val="superscript"/>
              </w:rPr>
              <w:t>5</w:t>
            </w:r>
            <w:r>
              <w:rPr>
                <w:bCs/>
                <w:color w:val="000000" w:themeColor="text1"/>
              </w:rPr>
              <w:t>个</w:t>
            </w:r>
            <w:r>
              <w:rPr>
                <w:rFonts w:hint="eastAsia"/>
                <w:bCs/>
                <w:color w:val="000000" w:themeColor="text1"/>
              </w:rPr>
              <w:t>/L</w:t>
            </w:r>
          </w:p>
        </w:tc>
        <w:tc>
          <w:tcPr>
            <w:tcW w:w="85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0"/>
              </w:rPr>
            </w:pPr>
            <w:r>
              <w:rPr>
                <w:rFonts w:hint="eastAsia"/>
                <w:bCs/>
                <w:color w:val="000000" w:themeColor="text1"/>
              </w:rPr>
              <w:t>4600</w:t>
            </w:r>
            <w:r>
              <w:rPr>
                <w:bCs/>
                <w:color w:val="000000" w:themeColor="text1"/>
              </w:rPr>
              <w:t>个</w:t>
            </w:r>
            <w:r>
              <w:rPr>
                <w:rFonts w:hint="eastAsia"/>
                <w:bCs/>
                <w:color w:val="000000" w:themeColor="text1"/>
              </w:rPr>
              <w:t>/L</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99%</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w:t>
            </w:r>
          </w:p>
        </w:tc>
        <w:tc>
          <w:tcPr>
            <w:tcW w:w="12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w:t>
            </w:r>
          </w:p>
        </w:tc>
        <w:tc>
          <w:tcPr>
            <w:tcW w:w="74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w:t>
            </w:r>
          </w:p>
        </w:tc>
      </w:tr>
    </w:tbl>
    <w:p>
      <w:pPr>
        <w:ind w:firstLine="480"/>
        <w:rPr>
          <w:color w:val="000000" w:themeColor="text1"/>
        </w:rPr>
      </w:pPr>
      <w:r>
        <w:rPr>
          <w:rFonts w:hint="eastAsia"/>
          <w:color w:val="000000" w:themeColor="text1"/>
        </w:rPr>
        <w:t>由表6.2.1-1可知，本项目废水经过污水处理站处理后出水水质可同时达到</w:t>
      </w:r>
      <w:r>
        <w:rPr>
          <w:rFonts w:hint="eastAsia"/>
          <w:bCs/>
          <w:color w:val="000000" w:themeColor="text1"/>
          <w:kern w:val="0"/>
          <w:szCs w:val="24"/>
        </w:rPr>
        <w:t>《肉类加工工业水污染物排放标准》（GB 13457-92）中较严格的禽类屠宰加工三级标准和《污水排入城镇下水道水质标准》（GB/T 31962-2015）表1中的B级标准，项目污水可达标排入城镇污水管网。</w:t>
      </w:r>
    </w:p>
    <w:p>
      <w:pPr>
        <w:pStyle w:val="57"/>
        <w:ind w:firstLine="482"/>
        <w:rPr>
          <w:color w:val="000000" w:themeColor="text1"/>
        </w:rPr>
      </w:pPr>
      <w:r>
        <w:rPr>
          <w:rFonts w:hint="eastAsia"/>
          <w:color w:val="000000" w:themeColor="text1"/>
        </w:rPr>
        <w:t>6.2.1.2项目污水排入砚山县污水处理厂的可行性分析</w:t>
      </w:r>
    </w:p>
    <w:p>
      <w:pPr>
        <w:ind w:firstLine="480"/>
        <w:rPr>
          <w:color w:val="000000" w:themeColor="text1"/>
        </w:rPr>
      </w:pPr>
      <w:r>
        <w:rPr>
          <w:rFonts w:hint="eastAsia"/>
          <w:color w:val="000000" w:themeColor="text1"/>
        </w:rPr>
        <w:t>1、砚山县污水处理厂概况</w:t>
      </w:r>
    </w:p>
    <w:p>
      <w:pPr>
        <w:ind w:firstLine="480"/>
        <w:rPr>
          <w:rFonts w:cs="Times New Roman"/>
          <w:color w:val="000000" w:themeColor="text1"/>
          <w:szCs w:val="24"/>
        </w:rPr>
      </w:pPr>
      <w:r>
        <w:rPr>
          <w:rFonts w:hint="eastAsia"/>
          <w:color w:val="000000" w:themeColor="text1"/>
        </w:rPr>
        <w:t>砚山县污水处理厂位于县城东北角，七乡大道旁，距听湖水库约</w:t>
      </w:r>
      <w:r>
        <w:rPr>
          <w:color w:val="000000" w:themeColor="text1"/>
        </w:rPr>
        <w:t>300m</w:t>
      </w:r>
      <w:r>
        <w:rPr>
          <w:rFonts w:hint="eastAsia"/>
          <w:color w:val="000000" w:themeColor="text1"/>
        </w:rPr>
        <w:t>，占地</w:t>
      </w:r>
      <w:r>
        <w:rPr>
          <w:color w:val="000000" w:themeColor="text1"/>
        </w:rPr>
        <w:t>16</w:t>
      </w:r>
      <w:r>
        <w:rPr>
          <w:rFonts w:hint="eastAsia"/>
          <w:color w:val="000000" w:themeColor="text1"/>
        </w:rPr>
        <w:t>亩，污水处理厂原设计处理规模为</w:t>
      </w:r>
      <w:r>
        <w:rPr>
          <w:color w:val="000000" w:themeColor="text1"/>
        </w:rPr>
        <w:t>5000 m³/d</w:t>
      </w:r>
      <w:r>
        <w:rPr>
          <w:rFonts w:hint="eastAsia"/>
          <w:color w:val="000000" w:themeColor="text1"/>
        </w:rPr>
        <w:t>，采用间歇式循环延时曝气活性污泥法</w:t>
      </w:r>
      <w:r>
        <w:rPr>
          <w:color w:val="000000" w:themeColor="text1"/>
        </w:rPr>
        <w:t>ICEAS</w:t>
      </w:r>
      <w:r>
        <w:rPr>
          <w:rFonts w:hint="eastAsia"/>
          <w:color w:val="000000" w:themeColor="text1"/>
        </w:rPr>
        <w:t>工艺，出水水质执行《城镇污水处理厂污染物排放标准》（</w:t>
      </w:r>
      <w:r>
        <w:rPr>
          <w:color w:val="000000" w:themeColor="text1"/>
        </w:rPr>
        <w:t>GB/18918-2002</w:t>
      </w:r>
      <w:r>
        <w:rPr>
          <w:rFonts w:hint="eastAsia"/>
          <w:color w:val="000000" w:themeColor="text1"/>
        </w:rPr>
        <w:t>）一级</w:t>
      </w:r>
      <w:r>
        <w:rPr>
          <w:color w:val="000000" w:themeColor="text1"/>
        </w:rPr>
        <w:t>B</w:t>
      </w:r>
      <w:r>
        <w:rPr>
          <w:rFonts w:hint="eastAsia"/>
          <w:color w:val="000000" w:themeColor="text1"/>
        </w:rPr>
        <w:t>标准。工程于</w:t>
      </w:r>
      <w:r>
        <w:rPr>
          <w:color w:val="000000" w:themeColor="text1"/>
        </w:rPr>
        <w:t>2003</w:t>
      </w:r>
      <w:r>
        <w:rPr>
          <w:rFonts w:hint="eastAsia"/>
          <w:color w:val="000000" w:themeColor="text1"/>
        </w:rPr>
        <w:t>年</w:t>
      </w:r>
      <w:r>
        <w:rPr>
          <w:color w:val="000000" w:themeColor="text1"/>
        </w:rPr>
        <w:t>1</w:t>
      </w:r>
      <w:r>
        <w:rPr>
          <w:rFonts w:hint="eastAsia"/>
          <w:color w:val="000000" w:themeColor="text1"/>
        </w:rPr>
        <w:t>月竣工并投入运行。</w:t>
      </w:r>
      <w:r>
        <w:rPr>
          <w:color w:val="000000" w:themeColor="text1"/>
        </w:rPr>
        <w:t>2013</w:t>
      </w:r>
      <w:r>
        <w:rPr>
          <w:rFonts w:hint="eastAsia"/>
          <w:color w:val="000000" w:themeColor="text1"/>
        </w:rPr>
        <w:t>年</w:t>
      </w:r>
      <w:r>
        <w:rPr>
          <w:color w:val="000000" w:themeColor="text1"/>
        </w:rPr>
        <w:t>10</w:t>
      </w:r>
      <w:r>
        <w:rPr>
          <w:rFonts w:hint="eastAsia"/>
          <w:color w:val="000000" w:themeColor="text1"/>
        </w:rPr>
        <w:t>月由砚山县住房和城乡建设局组织承办，对县城污水处理厂进行了改扩建，建设地点在原污水厂区内，处理规模由原</w:t>
      </w:r>
      <w:r>
        <w:rPr>
          <w:color w:val="000000" w:themeColor="text1"/>
        </w:rPr>
        <w:t>5000 m³/d</w:t>
      </w:r>
      <w:r>
        <w:rPr>
          <w:rFonts w:hint="eastAsia"/>
          <w:color w:val="000000" w:themeColor="text1"/>
        </w:rPr>
        <w:t>扩大到</w:t>
      </w:r>
      <w:r>
        <w:rPr>
          <w:color w:val="000000" w:themeColor="text1"/>
        </w:rPr>
        <w:t>15000 m³/d</w:t>
      </w:r>
      <w:r>
        <w:rPr>
          <w:rFonts w:hint="eastAsia"/>
          <w:color w:val="000000" w:themeColor="text1"/>
        </w:rPr>
        <w:t>，出水水质执行标准提高为《城镇污水处理厂污染物排放标准》（</w:t>
      </w:r>
      <w:r>
        <w:rPr>
          <w:color w:val="000000" w:themeColor="text1"/>
        </w:rPr>
        <w:t>GB/18918-2002</w:t>
      </w:r>
      <w:r>
        <w:rPr>
          <w:rFonts w:hint="eastAsia"/>
          <w:color w:val="000000" w:themeColor="text1"/>
        </w:rPr>
        <w:t>）一级</w:t>
      </w:r>
      <w:r>
        <w:rPr>
          <w:color w:val="000000" w:themeColor="text1"/>
        </w:rPr>
        <w:t>A</w:t>
      </w:r>
      <w:r>
        <w:rPr>
          <w:rFonts w:hint="eastAsia"/>
          <w:color w:val="000000" w:themeColor="text1"/>
        </w:rPr>
        <w:t>标，目前砚山县城污水管网已能基本覆盖砚山县老城区、中部新城区以及北部产业区。砚山县污水处理厂入</w:t>
      </w:r>
      <w:r>
        <w:rPr>
          <w:rFonts w:cs="Times New Roman"/>
          <w:color w:val="000000" w:themeColor="text1"/>
          <w:szCs w:val="24"/>
        </w:rPr>
        <w:t>水水质要求为</w:t>
      </w:r>
      <w:r>
        <w:rPr>
          <w:rFonts w:hAnsi="宋体" w:cs="Times New Roman"/>
          <w:color w:val="000000" w:themeColor="text1"/>
          <w:szCs w:val="24"/>
        </w:rPr>
        <w:t>《污水排入城镇下水道水质标准》（</w:t>
      </w:r>
      <w:r>
        <w:rPr>
          <w:rFonts w:cs="Times New Roman"/>
          <w:color w:val="000000" w:themeColor="text1"/>
          <w:szCs w:val="24"/>
        </w:rPr>
        <w:t>CJ343-2010</w:t>
      </w:r>
      <w:r>
        <w:rPr>
          <w:rFonts w:hAnsi="宋体" w:cs="Times New Roman"/>
          <w:color w:val="000000" w:themeColor="text1"/>
          <w:szCs w:val="24"/>
        </w:rPr>
        <w:t>）</w:t>
      </w:r>
      <w:r>
        <w:rPr>
          <w:rFonts w:cs="Times New Roman"/>
          <w:color w:val="000000" w:themeColor="text1"/>
          <w:szCs w:val="24"/>
        </w:rPr>
        <w:t>B</w:t>
      </w:r>
      <w:r>
        <w:rPr>
          <w:rFonts w:hAnsi="宋体" w:cs="Times New Roman"/>
          <w:color w:val="000000" w:themeColor="text1"/>
          <w:szCs w:val="24"/>
        </w:rPr>
        <w:t>等级标准</w:t>
      </w:r>
      <w:r>
        <w:rPr>
          <w:rFonts w:hint="eastAsia" w:hAnsi="宋体" w:cs="Times New Roman"/>
          <w:color w:val="000000" w:themeColor="text1"/>
          <w:szCs w:val="24"/>
        </w:rPr>
        <w:t>，</w:t>
      </w:r>
      <w:r>
        <w:rPr>
          <w:rFonts w:hAnsi="宋体" w:cs="Times New Roman"/>
          <w:color w:val="000000" w:themeColor="text1"/>
          <w:szCs w:val="24"/>
        </w:rPr>
        <w:t>根据表</w:t>
      </w:r>
      <w:r>
        <w:rPr>
          <w:rFonts w:hint="eastAsia" w:hAnsi="宋体" w:cs="Times New Roman"/>
          <w:color w:val="000000" w:themeColor="text1"/>
          <w:szCs w:val="24"/>
        </w:rPr>
        <w:t>6.2.1-1，项目污水处理站出水水质可达到</w:t>
      </w:r>
      <w:r>
        <w:rPr>
          <w:rFonts w:hAnsi="宋体" w:cs="Times New Roman"/>
          <w:color w:val="000000" w:themeColor="text1"/>
          <w:szCs w:val="24"/>
        </w:rPr>
        <w:t>《污水排入城镇下水道水质标准》（</w:t>
      </w:r>
      <w:r>
        <w:rPr>
          <w:rFonts w:cs="Times New Roman"/>
          <w:color w:val="000000" w:themeColor="text1"/>
          <w:szCs w:val="24"/>
        </w:rPr>
        <w:t>CJ343-2010</w:t>
      </w:r>
      <w:r>
        <w:rPr>
          <w:rFonts w:hAnsi="宋体" w:cs="Times New Roman"/>
          <w:color w:val="000000" w:themeColor="text1"/>
          <w:szCs w:val="24"/>
        </w:rPr>
        <w:t>）</w:t>
      </w:r>
      <w:r>
        <w:rPr>
          <w:rFonts w:cs="Times New Roman"/>
          <w:color w:val="000000" w:themeColor="text1"/>
          <w:szCs w:val="24"/>
        </w:rPr>
        <w:t>B</w:t>
      </w:r>
      <w:r>
        <w:rPr>
          <w:rFonts w:hAnsi="宋体" w:cs="Times New Roman"/>
          <w:color w:val="000000" w:themeColor="text1"/>
          <w:szCs w:val="24"/>
        </w:rPr>
        <w:t>等级标准</w:t>
      </w:r>
      <w:r>
        <w:rPr>
          <w:rFonts w:hint="eastAsia" w:hAnsi="宋体" w:cs="Times New Roman"/>
          <w:color w:val="000000" w:themeColor="text1"/>
          <w:szCs w:val="24"/>
        </w:rPr>
        <w:t>，</w:t>
      </w:r>
      <w:r>
        <w:rPr>
          <w:rFonts w:hAnsi="宋体" w:cs="Times New Roman"/>
          <w:color w:val="000000" w:themeColor="text1"/>
          <w:szCs w:val="24"/>
        </w:rPr>
        <w:t>项目污水水质符合</w:t>
      </w:r>
      <w:r>
        <w:rPr>
          <w:rFonts w:hint="eastAsia"/>
          <w:color w:val="000000" w:themeColor="text1"/>
        </w:rPr>
        <w:t>砚山县污水处理厂入</w:t>
      </w:r>
      <w:r>
        <w:rPr>
          <w:rFonts w:cs="Times New Roman"/>
          <w:color w:val="000000" w:themeColor="text1"/>
          <w:szCs w:val="24"/>
        </w:rPr>
        <w:t>水水质要求。</w:t>
      </w:r>
    </w:p>
    <w:p>
      <w:pPr>
        <w:ind w:firstLine="480"/>
        <w:rPr>
          <w:color w:val="000000" w:themeColor="text1"/>
        </w:rPr>
      </w:pPr>
      <w:r>
        <w:rPr>
          <w:rFonts w:hint="eastAsia"/>
          <w:color w:val="000000" w:themeColor="text1"/>
        </w:rPr>
        <w:t>污水处理厂处理工艺：污水由厂外排水沟渠进入已建粗格栅及提升泵房，提升后的污水通过管道分配进入新建和已建细格栅及沉砂池。污水经格栅及沉砂池去除较大悬浮物颗粒和泥砂后进入生化池配水管，配水管出水管上安装流量计，辅助流量调节，配水管出水分别进入改建及新建的</w:t>
      </w:r>
      <w:r>
        <w:rPr>
          <w:color w:val="000000" w:themeColor="text1"/>
        </w:rPr>
        <w:t>A</w:t>
      </w:r>
      <w:r>
        <w:rPr>
          <w:color w:val="000000" w:themeColor="text1"/>
          <w:vertAlign w:val="superscript"/>
        </w:rPr>
        <w:t>2</w:t>
      </w:r>
      <w:r>
        <w:rPr>
          <w:color w:val="000000" w:themeColor="text1"/>
        </w:rPr>
        <w:t>O</w:t>
      </w:r>
      <w:r>
        <w:rPr>
          <w:rFonts w:hint="eastAsia"/>
          <w:color w:val="000000" w:themeColor="text1"/>
        </w:rPr>
        <w:t>池，改建和新建</w:t>
      </w:r>
      <w:r>
        <w:rPr>
          <w:color w:val="000000" w:themeColor="text1"/>
        </w:rPr>
        <w:t>A</w:t>
      </w:r>
      <w:r>
        <w:rPr>
          <w:color w:val="000000" w:themeColor="text1"/>
          <w:vertAlign w:val="superscript"/>
        </w:rPr>
        <w:t>2</w:t>
      </w:r>
      <w:r>
        <w:rPr>
          <w:color w:val="000000" w:themeColor="text1"/>
        </w:rPr>
        <w:t>O</w:t>
      </w:r>
      <w:r>
        <w:rPr>
          <w:rFonts w:hint="eastAsia"/>
          <w:color w:val="000000" w:themeColor="text1"/>
        </w:rPr>
        <w:t>池的出水均进入新建二沉池配水井，由配水井将污水分配进入新建二沉池，二沉池固液分离后的上清液进入新建混凝反应池，在池内投加</w:t>
      </w:r>
      <w:r>
        <w:rPr>
          <w:color w:val="000000" w:themeColor="text1"/>
        </w:rPr>
        <w:t>PAC</w:t>
      </w:r>
      <w:r>
        <w:rPr>
          <w:rFonts w:hint="eastAsia"/>
          <w:color w:val="000000" w:themeColor="text1"/>
        </w:rPr>
        <w:t>药液，形成絮凝体自流进入新建纤维转盘滤池，进一步降低污水中的有机物及</w:t>
      </w:r>
      <w:r>
        <w:rPr>
          <w:color w:val="000000" w:themeColor="text1"/>
        </w:rPr>
        <w:t>SS</w:t>
      </w:r>
      <w:r>
        <w:rPr>
          <w:rFonts w:hint="eastAsia"/>
          <w:color w:val="000000" w:themeColor="text1"/>
        </w:rPr>
        <w:t>等，滤池出水至新建紫外消毒渠，经过消毒处理后出水达标排放或回用。</w:t>
      </w:r>
    </w:p>
    <w:p>
      <w:pPr>
        <w:ind w:firstLine="480"/>
        <w:rPr>
          <w:color w:val="000000" w:themeColor="text1"/>
        </w:rPr>
      </w:pPr>
      <w:r>
        <w:rPr>
          <w:rFonts w:hint="eastAsia"/>
          <w:color w:val="000000" w:themeColor="text1"/>
        </w:rPr>
        <w:t>2、污水进入污水处理厂可行性分析</w:t>
      </w:r>
    </w:p>
    <w:p>
      <w:pPr>
        <w:ind w:firstLine="480"/>
        <w:rPr>
          <w:color w:val="000000" w:themeColor="text1"/>
          <w:szCs w:val="24"/>
        </w:rPr>
      </w:pPr>
      <w:r>
        <w:rPr>
          <w:rStyle w:val="52"/>
          <w:rFonts w:hint="eastAsia"/>
          <w:b w:val="0"/>
          <w:bCs w:val="0"/>
          <w:i w:val="0"/>
          <w:iCs w:val="0"/>
          <w:color w:val="000000" w:themeColor="text1"/>
          <w:szCs w:val="24"/>
        </w:rPr>
        <w:t>目前，砚山县城镇污水管道还未铺设至本项目区域，但本项目距离砚山县布标工业园区较近，工业园区位于本项目东南侧800m处，园区目前已铺设了城镇污水管道，因此，在取得砚山县污水处理厂的许可之后，本项目设计沿着永红公路向南自行铺设长度约1200m的污水管道后接入砚山县城镇污水管网，污水管道设计图详见附图6。因此，项目建成之后，项目污水排放方案为：本项目污水处理站→项目自建管道→砚山县城镇污水管网→砚山县污水处理厂。</w:t>
      </w:r>
    </w:p>
    <w:p>
      <w:pPr>
        <w:pStyle w:val="57"/>
        <w:ind w:firstLine="482"/>
        <w:rPr>
          <w:color w:val="000000" w:themeColor="text1"/>
        </w:rPr>
      </w:pPr>
      <w:r>
        <w:rPr>
          <w:rFonts w:hint="eastAsia"/>
          <w:color w:val="000000" w:themeColor="text1"/>
        </w:rPr>
        <w:t>6.2.1.3小结</w:t>
      </w:r>
      <w:r>
        <w:rPr>
          <w:color w:val="000000" w:themeColor="text1"/>
        </w:rPr>
        <w:t xml:space="preserve"> </w:t>
      </w:r>
    </w:p>
    <w:p>
      <w:pPr>
        <w:spacing w:line="520" w:lineRule="exact"/>
        <w:ind w:firstLine="480"/>
        <w:rPr>
          <w:rFonts w:hAnsi="宋体"/>
          <w:color w:val="000000" w:themeColor="text1"/>
        </w:rPr>
      </w:pPr>
      <w:r>
        <w:rPr>
          <w:rFonts w:hint="eastAsia" w:ascii="Calibri" w:hAnsi="Calibri"/>
          <w:color w:val="000000" w:themeColor="text1"/>
        </w:rPr>
        <w:t>综上所述，本项目污水处理站规模</w:t>
      </w:r>
      <w:r>
        <w:rPr>
          <w:rFonts w:hAnsi="Calibri" w:cs="Times New Roman"/>
          <w:color w:val="000000" w:themeColor="text1"/>
        </w:rPr>
        <w:t>为</w:t>
      </w:r>
      <w:r>
        <w:rPr>
          <w:rFonts w:cs="Times New Roman"/>
          <w:color w:val="000000" w:themeColor="text1"/>
        </w:rPr>
        <w:t>300m³/d</w:t>
      </w:r>
      <w:r>
        <w:rPr>
          <w:rFonts w:hAnsi="Calibri" w:cs="Times New Roman"/>
          <w:color w:val="000000" w:themeColor="text1"/>
        </w:rPr>
        <w:t>，项目废水产生量为</w:t>
      </w:r>
      <w:r>
        <w:rPr>
          <w:rFonts w:cs="Times New Roman"/>
          <w:color w:val="000000" w:themeColor="text1"/>
        </w:rPr>
        <w:t>234m³/d</w:t>
      </w:r>
      <w:r>
        <w:rPr>
          <w:rFonts w:hint="eastAsia" w:cs="Times New Roman"/>
          <w:color w:val="000000" w:themeColor="text1"/>
        </w:rPr>
        <w:t>，</w:t>
      </w:r>
      <w:r>
        <w:rPr>
          <w:rFonts w:cs="Times New Roman"/>
          <w:color w:val="000000" w:themeColor="text1"/>
        </w:rPr>
        <w:t>污水处理站规模足以满足项目需求</w:t>
      </w:r>
      <w:r>
        <w:rPr>
          <w:rFonts w:hint="eastAsia" w:cs="Times New Roman"/>
          <w:color w:val="000000" w:themeColor="text1"/>
        </w:rPr>
        <w:t>；根据项目污水处理站设计资料可知，本项目</w:t>
      </w:r>
      <w:r>
        <w:rPr>
          <w:rFonts w:hint="eastAsia" w:ascii="宋体" w:hAnsi="宋体" w:cs="宋体"/>
          <w:color w:val="000000" w:themeColor="text1"/>
          <w:szCs w:val="24"/>
        </w:rPr>
        <w:t>污水处理工艺对污染物的去除率为：</w:t>
      </w:r>
      <w:r>
        <w:rPr>
          <w:color w:val="000000" w:themeColor="text1"/>
          <w:szCs w:val="24"/>
        </w:rPr>
        <w:t>COD</w:t>
      </w:r>
      <w:r>
        <w:rPr>
          <w:rFonts w:hint="eastAsia"/>
          <w:color w:val="000000" w:themeColor="text1"/>
          <w:szCs w:val="24"/>
        </w:rPr>
        <w:t>：</w:t>
      </w:r>
      <w:r>
        <w:rPr>
          <w:color w:val="000000" w:themeColor="text1"/>
          <w:szCs w:val="24"/>
        </w:rPr>
        <w:t>96%</w:t>
      </w:r>
      <w:r>
        <w:rPr>
          <w:rFonts w:hint="eastAsia"/>
          <w:color w:val="000000" w:themeColor="text1"/>
          <w:szCs w:val="24"/>
        </w:rPr>
        <w:t>；</w:t>
      </w:r>
      <w:r>
        <w:rPr>
          <w:color w:val="000000" w:themeColor="text1"/>
          <w:szCs w:val="24"/>
        </w:rPr>
        <w:t>BOD</w:t>
      </w:r>
      <w:r>
        <w:rPr>
          <w:color w:val="000000" w:themeColor="text1"/>
          <w:szCs w:val="24"/>
          <w:vertAlign w:val="subscript"/>
        </w:rPr>
        <w:t>5</w:t>
      </w:r>
      <w:r>
        <w:rPr>
          <w:rFonts w:hint="eastAsia"/>
          <w:color w:val="000000" w:themeColor="text1"/>
          <w:szCs w:val="24"/>
        </w:rPr>
        <w:t>：</w:t>
      </w:r>
      <w:r>
        <w:rPr>
          <w:color w:val="000000" w:themeColor="text1"/>
          <w:szCs w:val="24"/>
        </w:rPr>
        <w:t>9</w:t>
      </w:r>
      <w:r>
        <w:rPr>
          <w:rFonts w:hint="eastAsia"/>
          <w:color w:val="000000" w:themeColor="text1"/>
          <w:szCs w:val="24"/>
        </w:rPr>
        <w:t>6.47</w:t>
      </w:r>
      <w:r>
        <w:rPr>
          <w:color w:val="000000" w:themeColor="text1"/>
          <w:szCs w:val="24"/>
        </w:rPr>
        <w:t>%</w:t>
      </w:r>
      <w:r>
        <w:rPr>
          <w:rFonts w:hint="eastAsia"/>
          <w:color w:val="000000" w:themeColor="text1"/>
          <w:szCs w:val="24"/>
        </w:rPr>
        <w:t>；动植物油：81.25</w:t>
      </w:r>
      <w:r>
        <w:rPr>
          <w:color w:val="000000" w:themeColor="text1"/>
          <w:szCs w:val="24"/>
        </w:rPr>
        <w:t>%</w:t>
      </w:r>
      <w:r>
        <w:rPr>
          <w:rFonts w:hint="eastAsia"/>
          <w:color w:val="000000" w:themeColor="text1"/>
          <w:szCs w:val="24"/>
        </w:rPr>
        <w:t>；</w:t>
      </w:r>
      <w:r>
        <w:rPr>
          <w:color w:val="000000" w:themeColor="text1"/>
          <w:szCs w:val="24"/>
        </w:rPr>
        <w:t>SS</w:t>
      </w:r>
      <w:r>
        <w:rPr>
          <w:rFonts w:hint="eastAsia"/>
          <w:color w:val="000000" w:themeColor="text1"/>
          <w:szCs w:val="24"/>
        </w:rPr>
        <w:t>：90</w:t>
      </w:r>
      <w:r>
        <w:rPr>
          <w:color w:val="000000" w:themeColor="text1"/>
          <w:szCs w:val="24"/>
        </w:rPr>
        <w:t>%</w:t>
      </w:r>
      <w:r>
        <w:rPr>
          <w:rFonts w:hint="eastAsia"/>
          <w:color w:val="000000" w:themeColor="text1"/>
          <w:szCs w:val="24"/>
        </w:rPr>
        <w:t>；</w:t>
      </w:r>
      <w:r>
        <w:rPr>
          <w:color w:val="000000" w:themeColor="text1"/>
          <w:szCs w:val="24"/>
        </w:rPr>
        <w:t>NH</w:t>
      </w:r>
      <w:r>
        <w:rPr>
          <w:color w:val="000000" w:themeColor="text1"/>
          <w:szCs w:val="24"/>
          <w:vertAlign w:val="subscript"/>
        </w:rPr>
        <w:t>3</w:t>
      </w:r>
      <w:r>
        <w:rPr>
          <w:color w:val="000000" w:themeColor="text1"/>
          <w:szCs w:val="24"/>
        </w:rPr>
        <w:t>-N</w:t>
      </w:r>
      <w:r>
        <w:rPr>
          <w:rFonts w:hint="eastAsia"/>
          <w:color w:val="000000" w:themeColor="text1"/>
          <w:szCs w:val="24"/>
        </w:rPr>
        <w:t>：81.25</w:t>
      </w:r>
      <w:r>
        <w:rPr>
          <w:color w:val="000000" w:themeColor="text1"/>
          <w:szCs w:val="24"/>
        </w:rPr>
        <w:t>%</w:t>
      </w:r>
      <w:r>
        <w:rPr>
          <w:rFonts w:hint="eastAsia"/>
          <w:color w:val="000000" w:themeColor="text1"/>
          <w:szCs w:val="24"/>
        </w:rPr>
        <w:t>；大肠菌群数：</w:t>
      </w:r>
      <w:r>
        <w:rPr>
          <w:color w:val="000000" w:themeColor="text1"/>
          <w:szCs w:val="24"/>
        </w:rPr>
        <w:t>99%</w:t>
      </w:r>
      <w:r>
        <w:rPr>
          <w:rFonts w:hint="eastAsia" w:ascii="Calibri" w:hAnsi="Calibri"/>
          <w:color w:val="000000" w:themeColor="text1"/>
        </w:rPr>
        <w:t>，经过核算，项目污水经处理后可</w:t>
      </w:r>
      <w:r>
        <w:rPr>
          <w:rFonts w:hint="eastAsia"/>
          <w:color w:val="000000" w:themeColor="text1"/>
        </w:rPr>
        <w:t>同时达到</w:t>
      </w:r>
      <w:r>
        <w:rPr>
          <w:rFonts w:hint="eastAsia"/>
          <w:bCs/>
          <w:color w:val="000000" w:themeColor="text1"/>
          <w:kern w:val="0"/>
          <w:szCs w:val="24"/>
        </w:rPr>
        <w:t>《肉类加工工业水污染物排放标准》（GB 13457-92）中较严格的禽类屠宰加工三级标准和《污水排入城镇下水道水质标准》（GB/T 31962-2015）表1中的B级标准，项目污水可达标排入城镇污水管网</w:t>
      </w:r>
      <w:r>
        <w:rPr>
          <w:rFonts w:hint="eastAsia" w:ascii="Calibri" w:hAnsi="Calibri"/>
          <w:color w:val="000000" w:themeColor="text1"/>
        </w:rPr>
        <w:t>，本项目污水最终排入砚山县污水处理厂进一步处理后最终达标排入听湖水库，项目污水不会直接排放，因此对地表水环境影响较小。</w:t>
      </w:r>
      <w:r>
        <w:rPr>
          <w:rFonts w:hint="eastAsia" w:hAnsi="宋体"/>
          <w:color w:val="000000" w:themeColor="text1"/>
        </w:rPr>
        <w:t>项目地表水环境影响评价自查表，具体见表6.2.1-2。</w:t>
      </w:r>
    </w:p>
    <w:p>
      <w:pPr>
        <w:pStyle w:val="54"/>
        <w:rPr>
          <w:rFonts w:ascii="Calibri" w:hAnsi="Calibri"/>
          <w:color w:val="000000" w:themeColor="text1"/>
        </w:rPr>
      </w:pPr>
      <w:r>
        <w:rPr>
          <w:rFonts w:hint="eastAsia"/>
          <w:color w:val="000000" w:themeColor="text1"/>
        </w:rPr>
        <w:t>表6.2.1-2</w:t>
      </w:r>
      <w:r>
        <w:rPr>
          <w:color w:val="000000" w:themeColor="text1"/>
        </w:rPr>
        <w:t xml:space="preserve"> </w:t>
      </w:r>
      <w:r>
        <w:rPr>
          <w:rFonts w:hint="eastAsia"/>
          <w:color w:val="000000" w:themeColor="text1"/>
        </w:rPr>
        <w:t>建设项目地表水环境影响评价自查表</w:t>
      </w:r>
    </w:p>
    <w:tbl>
      <w:tblPr>
        <w:tblStyle w:val="42"/>
        <w:tblW w:w="9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676"/>
        <w:gridCol w:w="1573"/>
        <w:gridCol w:w="412"/>
        <w:gridCol w:w="455"/>
        <w:gridCol w:w="433"/>
        <w:gridCol w:w="551"/>
        <w:gridCol w:w="749"/>
        <w:gridCol w:w="435"/>
        <w:gridCol w:w="353"/>
        <w:gridCol w:w="512"/>
        <w:gridCol w:w="51"/>
        <w:gridCol w:w="1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2243"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工作内容</w:t>
            </w:r>
          </w:p>
        </w:tc>
        <w:tc>
          <w:tcPr>
            <w:tcW w:w="6778" w:type="dxa"/>
            <w:gridSpan w:val="11"/>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67"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影响识别</w:t>
            </w:r>
          </w:p>
        </w:tc>
        <w:tc>
          <w:tcPr>
            <w:tcW w:w="16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影响类型</w:t>
            </w:r>
          </w:p>
        </w:tc>
        <w:tc>
          <w:tcPr>
            <w:tcW w:w="6778" w:type="dxa"/>
            <w:gridSpan w:val="11"/>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水污染影响型</w:t>
            </w:r>
            <w:r>
              <w:rPr>
                <w:color w:val="000000" w:themeColor="text1"/>
              </w:rPr>
              <w:t xml:space="preserve"> </w:t>
            </w:r>
            <w:r>
              <w:rPr>
                <w:rFonts w:hint="eastAsia" w:ascii="MS Mincho" w:hAnsi="MS Mincho" w:eastAsia="MS Mincho" w:cs="MS Mincho"/>
                <w:color w:val="000000" w:themeColor="text1"/>
                <w:szCs w:val="21"/>
              </w:rPr>
              <w:t>☑</w:t>
            </w:r>
            <w:r>
              <w:rPr>
                <w:rFonts w:hint="eastAsia"/>
                <w:color w:val="000000" w:themeColor="text1"/>
              </w:rPr>
              <w:t>；水文要素影响型</w:t>
            </w:r>
            <w:r>
              <w:rPr>
                <w:color w:val="000000" w:themeColor="text1"/>
              </w:rPr>
              <w:t xml:space="preserve"> </w:t>
            </w:r>
            <w:r>
              <w:rPr>
                <w:color w:val="000000" w:themeColor="text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167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szCs w:val="24"/>
              </w:rPr>
            </w:pPr>
            <w:r>
              <w:rPr>
                <w:rFonts w:hint="eastAsia"/>
                <w:color w:val="000000" w:themeColor="text1"/>
              </w:rPr>
              <w:t>水环境保护目标</w:t>
            </w:r>
          </w:p>
        </w:tc>
        <w:tc>
          <w:tcPr>
            <w:tcW w:w="6778" w:type="dxa"/>
            <w:gridSpan w:val="11"/>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4"/>
              </w:rPr>
            </w:pPr>
            <w:r>
              <w:rPr>
                <w:rFonts w:hint="eastAsia"/>
                <w:color w:val="000000" w:themeColor="text1"/>
              </w:rPr>
              <w:t>饮用水水源保护区</w:t>
            </w:r>
            <w:r>
              <w:rPr>
                <w:color w:val="000000" w:themeColor="text1"/>
              </w:rPr>
              <w:t xml:space="preserve"> </w:t>
            </w:r>
            <w:r>
              <w:rPr>
                <w:color w:val="000000" w:themeColor="text1"/>
                <w:szCs w:val="21"/>
              </w:rPr>
              <w:sym w:font="Wingdings 2" w:char="00A3"/>
            </w:r>
            <w:r>
              <w:rPr>
                <w:rFonts w:hint="eastAsia"/>
                <w:color w:val="000000" w:themeColor="text1"/>
              </w:rPr>
              <w:t>；饮用水取水口</w:t>
            </w:r>
            <w:r>
              <w:rPr>
                <w:color w:val="000000" w:themeColor="text1"/>
              </w:rPr>
              <w:t xml:space="preserve"> </w:t>
            </w:r>
            <w:r>
              <w:rPr>
                <w:color w:val="000000" w:themeColor="text1"/>
                <w:szCs w:val="21"/>
              </w:rPr>
              <w:sym w:font="Wingdings 2" w:char="00A3"/>
            </w:r>
            <w:r>
              <w:rPr>
                <w:rFonts w:hint="eastAsia"/>
                <w:color w:val="000000" w:themeColor="text1"/>
              </w:rPr>
              <w:t>；涉水的自然保护区</w:t>
            </w:r>
            <w:r>
              <w:rPr>
                <w:color w:val="000000" w:themeColor="text1"/>
              </w:rPr>
              <w:t xml:space="preserve"> </w:t>
            </w:r>
            <w:r>
              <w:rPr>
                <w:color w:val="000000" w:themeColor="text1"/>
                <w:szCs w:val="21"/>
              </w:rPr>
              <w:sym w:font="Wingdings 2" w:char="00A3"/>
            </w:r>
            <w:r>
              <w:rPr>
                <w:rFonts w:hint="eastAsia"/>
                <w:color w:val="000000" w:themeColor="text1"/>
              </w:rPr>
              <w:t>；重要湿地</w:t>
            </w:r>
            <w:r>
              <w:rPr>
                <w:color w:val="000000" w:themeColor="text1"/>
              </w:rPr>
              <w:t xml:space="preserve"> </w:t>
            </w:r>
            <w:r>
              <w:rPr>
                <w:color w:val="000000" w:themeColor="text1"/>
                <w:szCs w:val="21"/>
              </w:rPr>
              <w:sym w:font="Wingdings 2" w:char="00A3"/>
            </w:r>
          </w:p>
          <w:p>
            <w:pPr>
              <w:pStyle w:val="55"/>
              <w:rPr>
                <w:color w:val="000000" w:themeColor="text1"/>
                <w:szCs w:val="24"/>
              </w:rPr>
            </w:pPr>
            <w:r>
              <w:rPr>
                <w:rFonts w:hint="eastAsia"/>
                <w:color w:val="000000" w:themeColor="text1"/>
              </w:rPr>
              <w:t>重点保护与珍稀水生生物的栖息地</w:t>
            </w:r>
            <w:r>
              <w:rPr>
                <w:color w:val="000000" w:themeColor="text1"/>
              </w:rPr>
              <w:t xml:space="preserve"> </w:t>
            </w:r>
            <w:r>
              <w:rPr>
                <w:color w:val="000000" w:themeColor="text1"/>
                <w:szCs w:val="21"/>
              </w:rPr>
              <w:sym w:font="Wingdings 2" w:char="00A3"/>
            </w:r>
            <w:r>
              <w:rPr>
                <w:rFonts w:hint="eastAsia"/>
                <w:color w:val="000000" w:themeColor="text1"/>
              </w:rPr>
              <w:t>；重要水生生物的自然产卵场及索饵场、越冬场和洄游通道、天然渔场等渔业水体</w:t>
            </w:r>
            <w:r>
              <w:rPr>
                <w:color w:val="000000" w:themeColor="text1"/>
              </w:rPr>
              <w:t xml:space="preserve"> </w:t>
            </w:r>
            <w:r>
              <w:rPr>
                <w:color w:val="000000" w:themeColor="text1"/>
                <w:szCs w:val="21"/>
              </w:rPr>
              <w:sym w:font="Wingdings 2" w:char="00A3"/>
            </w:r>
            <w:r>
              <w:rPr>
                <w:rFonts w:hint="eastAsia"/>
                <w:color w:val="000000" w:themeColor="text1"/>
              </w:rPr>
              <w:t>；涉水的风景名胜区</w:t>
            </w:r>
            <w:r>
              <w:rPr>
                <w:color w:val="000000" w:themeColor="text1"/>
              </w:rPr>
              <w:t xml:space="preserve"> </w:t>
            </w:r>
            <w:r>
              <w:rPr>
                <w:color w:val="000000" w:themeColor="text1"/>
                <w:szCs w:val="21"/>
              </w:rPr>
              <w:sym w:font="Wingdings 2" w:char="00A3"/>
            </w:r>
            <w:r>
              <w:rPr>
                <w:rFonts w:hint="eastAsia"/>
                <w:color w:val="000000" w:themeColor="text1"/>
              </w:rPr>
              <w:t>；其他</w:t>
            </w:r>
            <w:r>
              <w:rPr>
                <w:color w:val="000000" w:themeColor="text1"/>
              </w:rPr>
              <w:t xml:space="preserve"> </w:t>
            </w:r>
            <w:r>
              <w:rPr>
                <w:rFonts w:hint="eastAsia" w:ascii="MS Mincho" w:hAnsi="MS Mincho" w:eastAsia="MS Mincho" w:cs="MS Mincho"/>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1676"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影响途径</w:t>
            </w:r>
          </w:p>
        </w:tc>
        <w:tc>
          <w:tcPr>
            <w:tcW w:w="3424" w:type="dxa"/>
            <w:gridSpan w:val="5"/>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水污染影响型</w:t>
            </w:r>
          </w:p>
        </w:tc>
        <w:tc>
          <w:tcPr>
            <w:tcW w:w="3354" w:type="dxa"/>
            <w:gridSpan w:val="6"/>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167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3424" w:type="dxa"/>
            <w:gridSpan w:val="5"/>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szCs w:val="24"/>
              </w:rPr>
            </w:pPr>
            <w:r>
              <w:rPr>
                <w:rFonts w:hint="eastAsia"/>
                <w:color w:val="000000" w:themeColor="text1"/>
              </w:rPr>
              <w:t>直接排放</w:t>
            </w:r>
            <w:r>
              <w:rPr>
                <w:color w:val="000000" w:themeColor="text1"/>
              </w:rPr>
              <w:t xml:space="preserve"> </w:t>
            </w:r>
            <w:r>
              <w:rPr>
                <w:color w:val="000000" w:themeColor="text1"/>
                <w:szCs w:val="21"/>
              </w:rPr>
              <w:sym w:font="Wingdings 2" w:char="00A3"/>
            </w:r>
            <w:r>
              <w:rPr>
                <w:rFonts w:hint="eastAsia"/>
                <w:color w:val="000000" w:themeColor="text1"/>
              </w:rPr>
              <w:t>；间接排放</w:t>
            </w:r>
            <w:r>
              <w:rPr>
                <w:rFonts w:hint="eastAsia" w:ascii="MS Mincho" w:hAnsi="MS Mincho" w:eastAsia="MS Mincho" w:cs="MS Mincho"/>
                <w:color w:val="000000" w:themeColor="text1"/>
                <w:szCs w:val="21"/>
              </w:rPr>
              <w:t>☑</w:t>
            </w:r>
            <w:r>
              <w:rPr>
                <w:rFonts w:hint="eastAsia"/>
                <w:color w:val="000000" w:themeColor="text1"/>
              </w:rPr>
              <w:t>；其他</w:t>
            </w:r>
            <w:r>
              <w:rPr>
                <w:color w:val="000000" w:themeColor="text1"/>
                <w:szCs w:val="21"/>
              </w:rPr>
              <w:sym w:font="Wingdings 2" w:char="00A3"/>
            </w:r>
            <w:r>
              <w:rPr>
                <w:color w:val="000000" w:themeColor="text1"/>
              </w:rPr>
              <w:t xml:space="preserve"> </w:t>
            </w:r>
          </w:p>
        </w:tc>
        <w:tc>
          <w:tcPr>
            <w:tcW w:w="3354" w:type="dxa"/>
            <w:gridSpan w:val="6"/>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水温</w:t>
            </w:r>
            <w:r>
              <w:rPr>
                <w:color w:val="000000" w:themeColor="text1"/>
              </w:rPr>
              <w:t xml:space="preserve"> </w:t>
            </w:r>
            <w:r>
              <w:rPr>
                <w:color w:val="000000" w:themeColor="text1"/>
                <w:szCs w:val="21"/>
              </w:rPr>
              <w:sym w:font="Wingdings 2" w:char="00A3"/>
            </w:r>
            <w:r>
              <w:rPr>
                <w:rFonts w:hint="eastAsia"/>
                <w:color w:val="000000" w:themeColor="text1"/>
              </w:rPr>
              <w:t>；径流</w:t>
            </w:r>
            <w:r>
              <w:rPr>
                <w:color w:val="000000" w:themeColor="text1"/>
              </w:rPr>
              <w:t xml:space="preserve"> </w:t>
            </w:r>
            <w:r>
              <w:rPr>
                <w:color w:val="000000" w:themeColor="text1"/>
                <w:szCs w:val="21"/>
              </w:rPr>
              <w:sym w:font="Wingdings 2" w:char="00A3"/>
            </w:r>
            <w:r>
              <w:rPr>
                <w:rFonts w:hint="eastAsia"/>
                <w:color w:val="000000" w:themeColor="text1"/>
              </w:rPr>
              <w:t>；水域面积</w:t>
            </w:r>
            <w:r>
              <w:rPr>
                <w:color w:val="000000" w:themeColor="text1"/>
              </w:rPr>
              <w:t xml:space="preserve"> </w:t>
            </w:r>
            <w:r>
              <w:rPr>
                <w:color w:val="000000" w:themeColor="text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16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影响因子</w:t>
            </w:r>
          </w:p>
        </w:tc>
        <w:tc>
          <w:tcPr>
            <w:tcW w:w="3424" w:type="dxa"/>
            <w:gridSpan w:val="5"/>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持久性污染物</w:t>
            </w:r>
            <w:r>
              <w:rPr>
                <w:color w:val="000000" w:themeColor="text1"/>
              </w:rPr>
              <w:t xml:space="preserve"> </w:t>
            </w:r>
            <w:r>
              <w:rPr>
                <w:color w:val="000000" w:themeColor="text1"/>
                <w:szCs w:val="21"/>
              </w:rPr>
              <w:sym w:font="Wingdings 2" w:char="00A3"/>
            </w:r>
            <w:r>
              <w:rPr>
                <w:rFonts w:hint="eastAsia"/>
                <w:color w:val="000000" w:themeColor="text1"/>
              </w:rPr>
              <w:t>；有毒有害污染物</w:t>
            </w:r>
            <w:r>
              <w:rPr>
                <w:color w:val="000000" w:themeColor="text1"/>
              </w:rPr>
              <w:t xml:space="preserve"> </w:t>
            </w:r>
            <w:r>
              <w:rPr>
                <w:color w:val="000000" w:themeColor="text1"/>
                <w:szCs w:val="21"/>
              </w:rPr>
              <w:sym w:font="Wingdings 2" w:char="00A3"/>
            </w:r>
            <w:r>
              <w:rPr>
                <w:rFonts w:hint="eastAsia"/>
                <w:color w:val="000000" w:themeColor="text1"/>
              </w:rPr>
              <w:t>；非持久性污染物</w:t>
            </w:r>
            <w:r>
              <w:rPr>
                <w:color w:val="000000" w:themeColor="text1"/>
              </w:rPr>
              <w:t xml:space="preserve"> </w:t>
            </w:r>
            <w:r>
              <w:rPr>
                <w:rFonts w:hint="eastAsia" w:ascii="MS Mincho" w:hAnsi="MS Mincho" w:eastAsia="MS Mincho" w:cs="MS Mincho"/>
                <w:color w:val="000000" w:themeColor="text1"/>
                <w:szCs w:val="21"/>
              </w:rPr>
              <w:t>☑</w:t>
            </w:r>
            <w:r>
              <w:rPr>
                <w:rFonts w:hint="eastAsia"/>
                <w:color w:val="000000" w:themeColor="text1"/>
              </w:rPr>
              <w:t>；</w:t>
            </w:r>
            <w:r>
              <w:rPr>
                <w:color w:val="000000" w:themeColor="text1"/>
              </w:rPr>
              <w:t>pH</w:t>
            </w:r>
            <w:r>
              <w:rPr>
                <w:rFonts w:hint="eastAsia"/>
                <w:color w:val="000000" w:themeColor="text1"/>
              </w:rPr>
              <w:t>值</w:t>
            </w:r>
            <w:r>
              <w:rPr>
                <w:color w:val="000000" w:themeColor="text1"/>
              </w:rPr>
              <w:t xml:space="preserve"> </w:t>
            </w:r>
            <w:r>
              <w:rPr>
                <w:color w:val="000000" w:themeColor="text1"/>
                <w:szCs w:val="21"/>
              </w:rPr>
              <w:sym w:font="Wingdings 2" w:char="00A3"/>
            </w:r>
            <w:r>
              <w:rPr>
                <w:rFonts w:hint="eastAsia"/>
                <w:color w:val="000000" w:themeColor="text1"/>
              </w:rPr>
              <w:t>；热污染</w:t>
            </w:r>
            <w:r>
              <w:rPr>
                <w:color w:val="000000" w:themeColor="text1"/>
              </w:rPr>
              <w:t xml:space="preserve"> </w:t>
            </w:r>
            <w:r>
              <w:rPr>
                <w:color w:val="000000" w:themeColor="text1"/>
                <w:szCs w:val="21"/>
              </w:rPr>
              <w:sym w:font="Wingdings 2" w:char="00A3"/>
            </w:r>
            <w:r>
              <w:rPr>
                <w:rFonts w:hint="eastAsia"/>
                <w:color w:val="000000" w:themeColor="text1"/>
              </w:rPr>
              <w:t>；富营养化</w:t>
            </w:r>
            <w:r>
              <w:rPr>
                <w:rFonts w:hint="eastAsia" w:ascii="MS Mincho" w:hAnsi="MS Mincho" w:eastAsia="MS Mincho" w:cs="MS Mincho"/>
                <w:color w:val="000000" w:themeColor="text1"/>
                <w:szCs w:val="21"/>
              </w:rPr>
              <w:t>☑</w:t>
            </w:r>
            <w:r>
              <w:rPr>
                <w:rFonts w:hint="eastAsia"/>
                <w:color w:val="000000" w:themeColor="text1"/>
              </w:rPr>
              <w:t>；其他</w:t>
            </w:r>
            <w:r>
              <w:rPr>
                <w:color w:val="000000" w:themeColor="text1"/>
                <w:szCs w:val="21"/>
              </w:rPr>
              <w:sym w:font="Wingdings 2" w:char="00A3"/>
            </w:r>
          </w:p>
        </w:tc>
        <w:tc>
          <w:tcPr>
            <w:tcW w:w="3354" w:type="dxa"/>
            <w:gridSpan w:val="6"/>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水温</w:t>
            </w:r>
            <w:r>
              <w:rPr>
                <w:color w:val="000000" w:themeColor="text1"/>
              </w:rPr>
              <w:t xml:space="preserve"> </w:t>
            </w:r>
            <w:r>
              <w:rPr>
                <w:color w:val="000000" w:themeColor="text1"/>
                <w:szCs w:val="21"/>
              </w:rPr>
              <w:sym w:font="Wingdings 2" w:char="00A3"/>
            </w:r>
            <w:r>
              <w:rPr>
                <w:rFonts w:hint="eastAsia"/>
                <w:color w:val="000000" w:themeColor="text1"/>
              </w:rPr>
              <w:t>；水位（水深）</w:t>
            </w:r>
            <w:r>
              <w:rPr>
                <w:color w:val="000000" w:themeColor="text1"/>
              </w:rPr>
              <w:t xml:space="preserve"> </w:t>
            </w:r>
            <w:r>
              <w:rPr>
                <w:color w:val="000000" w:themeColor="text1"/>
                <w:szCs w:val="21"/>
              </w:rPr>
              <w:sym w:font="Wingdings 2" w:char="00A3"/>
            </w:r>
            <w:r>
              <w:rPr>
                <w:rFonts w:hint="eastAsia"/>
                <w:color w:val="000000" w:themeColor="text1"/>
              </w:rPr>
              <w:t>；流速</w:t>
            </w:r>
            <w:r>
              <w:rPr>
                <w:color w:val="000000" w:themeColor="text1"/>
              </w:rPr>
              <w:t xml:space="preserve"> </w:t>
            </w:r>
            <w:r>
              <w:rPr>
                <w:color w:val="000000" w:themeColor="text1"/>
                <w:szCs w:val="21"/>
              </w:rPr>
              <w:sym w:font="Wingdings 2" w:char="00A3"/>
            </w:r>
            <w:r>
              <w:rPr>
                <w:rFonts w:hint="eastAsia"/>
                <w:color w:val="000000" w:themeColor="text1"/>
              </w:rPr>
              <w:t>；流量</w:t>
            </w:r>
            <w:r>
              <w:rPr>
                <w:color w:val="000000" w:themeColor="text1"/>
              </w:rPr>
              <w:t xml:space="preserve"> </w:t>
            </w:r>
            <w:r>
              <w:rPr>
                <w:color w:val="000000" w:themeColor="text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2243" w:type="dxa"/>
            <w:gridSpan w:val="2"/>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评价等级</w:t>
            </w:r>
          </w:p>
        </w:tc>
        <w:tc>
          <w:tcPr>
            <w:tcW w:w="3424" w:type="dxa"/>
            <w:gridSpan w:val="5"/>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水污染影响型</w:t>
            </w:r>
          </w:p>
        </w:tc>
        <w:tc>
          <w:tcPr>
            <w:tcW w:w="3354" w:type="dxa"/>
            <w:gridSpan w:val="6"/>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2243"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3424" w:type="dxa"/>
            <w:gridSpan w:val="5"/>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一级</w:t>
            </w:r>
            <w:r>
              <w:rPr>
                <w:color w:val="000000" w:themeColor="text1"/>
              </w:rPr>
              <w:t xml:space="preserve"> </w:t>
            </w:r>
            <w:r>
              <w:rPr>
                <w:color w:val="000000" w:themeColor="text1"/>
                <w:szCs w:val="21"/>
              </w:rPr>
              <w:sym w:font="Wingdings 2" w:char="00A3"/>
            </w:r>
            <w:r>
              <w:rPr>
                <w:rFonts w:hint="eastAsia"/>
                <w:color w:val="000000" w:themeColor="text1"/>
              </w:rPr>
              <w:t>；二级</w:t>
            </w:r>
            <w:r>
              <w:rPr>
                <w:color w:val="000000" w:themeColor="text1"/>
              </w:rPr>
              <w:t xml:space="preserve"> </w:t>
            </w:r>
            <w:r>
              <w:rPr>
                <w:color w:val="000000" w:themeColor="text1"/>
                <w:szCs w:val="21"/>
              </w:rPr>
              <w:sym w:font="Wingdings 2" w:char="00A3"/>
            </w:r>
            <w:r>
              <w:rPr>
                <w:rFonts w:hint="eastAsia"/>
                <w:color w:val="000000" w:themeColor="text1"/>
              </w:rPr>
              <w:t>；三级</w:t>
            </w:r>
            <w:r>
              <w:rPr>
                <w:color w:val="000000" w:themeColor="text1"/>
              </w:rPr>
              <w:t xml:space="preserve">A </w:t>
            </w:r>
            <w:r>
              <w:rPr>
                <w:color w:val="000000" w:themeColor="text1"/>
                <w:szCs w:val="21"/>
              </w:rPr>
              <w:sym w:font="Wingdings 2" w:char="00A3"/>
            </w:r>
            <w:r>
              <w:rPr>
                <w:rFonts w:hint="eastAsia"/>
                <w:color w:val="000000" w:themeColor="text1"/>
              </w:rPr>
              <w:t>；三级</w:t>
            </w:r>
            <w:r>
              <w:rPr>
                <w:color w:val="000000" w:themeColor="text1"/>
              </w:rPr>
              <w:t xml:space="preserve">B </w:t>
            </w:r>
            <w:r>
              <w:rPr>
                <w:rFonts w:hint="eastAsia" w:ascii="MS Mincho" w:hAnsi="MS Mincho" w:eastAsia="MS Mincho" w:cs="MS Mincho"/>
                <w:color w:val="000000" w:themeColor="text1"/>
                <w:szCs w:val="21"/>
              </w:rPr>
              <w:t>☑</w:t>
            </w:r>
          </w:p>
        </w:tc>
        <w:tc>
          <w:tcPr>
            <w:tcW w:w="3354" w:type="dxa"/>
            <w:gridSpan w:val="6"/>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一级</w:t>
            </w:r>
            <w:r>
              <w:rPr>
                <w:color w:val="000000" w:themeColor="text1"/>
              </w:rPr>
              <w:t xml:space="preserve"> </w:t>
            </w:r>
            <w:r>
              <w:rPr>
                <w:color w:val="000000" w:themeColor="text1"/>
                <w:szCs w:val="21"/>
              </w:rPr>
              <w:sym w:font="Wingdings 2" w:char="00A3"/>
            </w:r>
            <w:r>
              <w:rPr>
                <w:rFonts w:hint="eastAsia"/>
                <w:color w:val="000000" w:themeColor="text1"/>
              </w:rPr>
              <w:t>；二级</w:t>
            </w:r>
            <w:r>
              <w:rPr>
                <w:color w:val="000000" w:themeColor="text1"/>
              </w:rPr>
              <w:t xml:space="preserve"> </w:t>
            </w:r>
            <w:r>
              <w:rPr>
                <w:color w:val="000000" w:themeColor="text1"/>
                <w:szCs w:val="21"/>
              </w:rPr>
              <w:sym w:font="Wingdings 2" w:char="00A3"/>
            </w:r>
            <w:r>
              <w:rPr>
                <w:rFonts w:hint="eastAsia"/>
                <w:color w:val="000000" w:themeColor="text1"/>
              </w:rPr>
              <w:t>；三级</w:t>
            </w:r>
            <w:r>
              <w:rPr>
                <w:color w:val="000000" w:themeColor="text1"/>
              </w:rPr>
              <w:t xml:space="preserve"> </w:t>
            </w:r>
            <w:r>
              <w:rPr>
                <w:color w:val="000000" w:themeColor="text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67"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现状调查</w:t>
            </w:r>
          </w:p>
        </w:tc>
        <w:tc>
          <w:tcPr>
            <w:tcW w:w="1676"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区域污染源</w:t>
            </w:r>
          </w:p>
        </w:tc>
        <w:tc>
          <w:tcPr>
            <w:tcW w:w="3424" w:type="dxa"/>
            <w:gridSpan w:val="5"/>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调查项目</w:t>
            </w:r>
          </w:p>
        </w:tc>
        <w:tc>
          <w:tcPr>
            <w:tcW w:w="3354" w:type="dxa"/>
            <w:gridSpan w:val="6"/>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167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已建</w:t>
            </w:r>
            <w:r>
              <w:rPr>
                <w:color w:val="000000" w:themeColor="text1"/>
              </w:rPr>
              <w:t xml:space="preserve"> </w:t>
            </w:r>
            <w:r>
              <w:rPr>
                <w:color w:val="000000" w:themeColor="text1"/>
                <w:szCs w:val="21"/>
              </w:rPr>
              <w:sym w:font="Wingdings 2" w:char="00A3"/>
            </w:r>
            <w:r>
              <w:rPr>
                <w:rFonts w:hint="eastAsia"/>
                <w:color w:val="000000" w:themeColor="text1"/>
              </w:rPr>
              <w:t>；在建</w:t>
            </w:r>
            <w:r>
              <w:rPr>
                <w:color w:val="000000" w:themeColor="text1"/>
              </w:rPr>
              <w:t xml:space="preserve"> </w:t>
            </w:r>
            <w:r>
              <w:rPr>
                <w:color w:val="000000" w:themeColor="text1"/>
                <w:szCs w:val="21"/>
              </w:rPr>
              <w:sym w:font="Wingdings 2" w:char="00A3"/>
            </w:r>
            <w:r>
              <w:rPr>
                <w:rFonts w:hint="eastAsia"/>
                <w:color w:val="000000" w:themeColor="text1"/>
              </w:rPr>
              <w:t>；拟建</w:t>
            </w:r>
            <w:r>
              <w:rPr>
                <w:color w:val="000000" w:themeColor="text1"/>
              </w:rPr>
              <w:t xml:space="preserve"> </w:t>
            </w:r>
            <w:r>
              <w:rPr>
                <w:rFonts w:hint="eastAsia" w:ascii="MS Mincho" w:hAnsi="MS Mincho" w:eastAsia="MS Mincho" w:cs="MS Mincho"/>
                <w:color w:val="000000" w:themeColor="text1"/>
                <w:szCs w:val="21"/>
              </w:rPr>
              <w:t>☑</w:t>
            </w:r>
            <w:r>
              <w:rPr>
                <w:rFonts w:hint="eastAsia"/>
                <w:color w:val="000000" w:themeColor="text1"/>
              </w:rPr>
              <w:t>；其他</w:t>
            </w:r>
            <w:r>
              <w:rPr>
                <w:color w:val="000000" w:themeColor="text1"/>
              </w:rPr>
              <w:t xml:space="preserve"> </w:t>
            </w:r>
            <w:r>
              <w:rPr>
                <w:color w:val="000000" w:themeColor="text1"/>
                <w:szCs w:val="21"/>
              </w:rPr>
              <w:sym w:font="Wingdings 2" w:char="00A3"/>
            </w:r>
          </w:p>
        </w:tc>
        <w:tc>
          <w:tcPr>
            <w:tcW w:w="1439" w:type="dxa"/>
            <w:gridSpan w:val="3"/>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szCs w:val="24"/>
              </w:rPr>
            </w:pPr>
            <w:r>
              <w:rPr>
                <w:rFonts w:hint="eastAsia"/>
                <w:color w:val="000000" w:themeColor="text1"/>
              </w:rPr>
              <w:t>拟替代的污染源</w:t>
            </w:r>
          </w:p>
        </w:tc>
        <w:tc>
          <w:tcPr>
            <w:tcW w:w="3354" w:type="dxa"/>
            <w:gridSpan w:val="6"/>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排污许可证</w:t>
            </w:r>
            <w:r>
              <w:rPr>
                <w:color w:val="000000" w:themeColor="text1"/>
              </w:rPr>
              <w:t xml:space="preserve"> </w:t>
            </w:r>
            <w:r>
              <w:rPr>
                <w:color w:val="000000" w:themeColor="text1"/>
                <w:szCs w:val="21"/>
              </w:rPr>
              <w:sym w:font="Wingdings 2" w:char="00A3"/>
            </w:r>
            <w:r>
              <w:rPr>
                <w:rFonts w:hint="eastAsia"/>
                <w:color w:val="000000" w:themeColor="text1"/>
              </w:rPr>
              <w:t>；环评</w:t>
            </w:r>
            <w:r>
              <w:rPr>
                <w:color w:val="000000" w:themeColor="text1"/>
              </w:rPr>
              <w:t xml:space="preserve"> </w:t>
            </w:r>
            <w:r>
              <w:rPr>
                <w:color w:val="000000" w:themeColor="text1"/>
                <w:szCs w:val="21"/>
              </w:rPr>
              <w:sym w:font="Wingdings 2" w:char="00A3"/>
            </w:r>
            <w:r>
              <w:rPr>
                <w:rFonts w:hint="eastAsia"/>
                <w:color w:val="000000" w:themeColor="text1"/>
              </w:rPr>
              <w:t>；环保验收</w:t>
            </w:r>
            <w:r>
              <w:rPr>
                <w:color w:val="000000" w:themeColor="text1"/>
              </w:rPr>
              <w:t xml:space="preserve"> </w:t>
            </w:r>
            <w:r>
              <w:rPr>
                <w:color w:val="000000" w:themeColor="text1"/>
                <w:szCs w:val="21"/>
              </w:rPr>
              <w:sym w:font="Wingdings 2" w:char="00A3"/>
            </w:r>
            <w:r>
              <w:rPr>
                <w:rFonts w:hint="eastAsia"/>
                <w:color w:val="000000" w:themeColor="text1"/>
              </w:rPr>
              <w:t>；既有实测</w:t>
            </w:r>
            <w:r>
              <w:rPr>
                <w:color w:val="000000" w:themeColor="text1"/>
              </w:rPr>
              <w:t xml:space="preserve"> </w:t>
            </w:r>
            <w:r>
              <w:rPr>
                <w:color w:val="000000" w:themeColor="text1"/>
                <w:szCs w:val="21"/>
              </w:rPr>
              <w:sym w:font="Wingdings 2" w:char="00A3"/>
            </w:r>
            <w:r>
              <w:rPr>
                <w:rFonts w:hint="eastAsia"/>
                <w:color w:val="000000" w:themeColor="text1"/>
              </w:rPr>
              <w:t>；现场监测</w:t>
            </w:r>
            <w:r>
              <w:rPr>
                <w:color w:val="000000" w:themeColor="text1"/>
              </w:rPr>
              <w:t xml:space="preserve"> </w:t>
            </w:r>
            <w:r>
              <w:rPr>
                <w:color w:val="000000" w:themeColor="text1"/>
                <w:szCs w:val="21"/>
              </w:rPr>
              <w:sym w:font="Wingdings 2" w:char="00A3"/>
            </w:r>
            <w:r>
              <w:rPr>
                <w:rFonts w:hint="eastAsia"/>
                <w:color w:val="000000" w:themeColor="text1"/>
              </w:rPr>
              <w:t>；入河排放口数据</w:t>
            </w:r>
            <w:r>
              <w:rPr>
                <w:color w:val="000000" w:themeColor="text1"/>
              </w:rPr>
              <w:t xml:space="preserve"> </w:t>
            </w:r>
            <w:r>
              <w:rPr>
                <w:color w:val="000000" w:themeColor="text1"/>
                <w:szCs w:val="21"/>
              </w:rPr>
              <w:sym w:font="Wingdings 2" w:char="00A3"/>
            </w:r>
            <w:r>
              <w:rPr>
                <w:rFonts w:hint="eastAsia"/>
                <w:color w:val="000000" w:themeColor="text1"/>
              </w:rPr>
              <w:t>；其他</w:t>
            </w:r>
            <w:r>
              <w:rPr>
                <w:color w:val="000000" w:themeColor="text1"/>
              </w:rPr>
              <w:t xml:space="preserve"> </w:t>
            </w:r>
            <w:r>
              <w:rPr>
                <w:rFonts w:hint="eastAsia" w:ascii="MS Mincho" w:hAnsi="MS Mincho" w:eastAsia="MS Mincho" w:cs="MS Mincho"/>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1676"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受影响水体水环境质量</w:t>
            </w:r>
          </w:p>
        </w:tc>
        <w:tc>
          <w:tcPr>
            <w:tcW w:w="3424" w:type="dxa"/>
            <w:gridSpan w:val="5"/>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调查时期</w:t>
            </w:r>
          </w:p>
        </w:tc>
        <w:tc>
          <w:tcPr>
            <w:tcW w:w="3354" w:type="dxa"/>
            <w:gridSpan w:val="6"/>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167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3424" w:type="dxa"/>
            <w:gridSpan w:val="5"/>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1"/>
              </w:rPr>
            </w:pPr>
            <w:r>
              <w:rPr>
                <w:rFonts w:hint="eastAsia"/>
                <w:color w:val="000000" w:themeColor="text1"/>
              </w:rPr>
              <w:t>丰水期</w:t>
            </w:r>
            <w:r>
              <w:rPr>
                <w:color w:val="000000" w:themeColor="text1"/>
              </w:rPr>
              <w:t xml:space="preserve"> </w:t>
            </w:r>
            <w:r>
              <w:rPr>
                <w:color w:val="000000" w:themeColor="text1"/>
                <w:szCs w:val="21"/>
              </w:rPr>
              <w:sym w:font="Wingdings 2" w:char="00A3"/>
            </w:r>
            <w:r>
              <w:rPr>
                <w:rFonts w:hint="eastAsia"/>
                <w:color w:val="000000" w:themeColor="text1"/>
              </w:rPr>
              <w:t>；平水期</w:t>
            </w:r>
            <w:r>
              <w:rPr>
                <w:color w:val="000000" w:themeColor="text1"/>
              </w:rPr>
              <w:t xml:space="preserve"> </w:t>
            </w:r>
            <w:r>
              <w:rPr>
                <w:color w:val="000000" w:themeColor="text1"/>
                <w:szCs w:val="21"/>
              </w:rPr>
              <w:sym w:font="Wingdings 2" w:char="00A3"/>
            </w:r>
            <w:r>
              <w:rPr>
                <w:rFonts w:hint="eastAsia"/>
                <w:color w:val="000000" w:themeColor="text1"/>
              </w:rPr>
              <w:t>；枯水期</w:t>
            </w:r>
            <w:r>
              <w:rPr>
                <w:color w:val="000000" w:themeColor="text1"/>
              </w:rPr>
              <w:t xml:space="preserve"> </w:t>
            </w:r>
            <w:r>
              <w:rPr>
                <w:rFonts w:hint="eastAsia" w:ascii="MS Mincho" w:hAnsi="MS Mincho" w:eastAsia="MS Mincho" w:cs="MS Mincho"/>
                <w:color w:val="000000" w:themeColor="text1"/>
                <w:szCs w:val="21"/>
              </w:rPr>
              <w:t>☑</w:t>
            </w:r>
            <w:r>
              <w:rPr>
                <w:rFonts w:hint="eastAsia"/>
                <w:color w:val="000000" w:themeColor="text1"/>
              </w:rPr>
              <w:t>；冰封期</w:t>
            </w:r>
            <w:r>
              <w:rPr>
                <w:color w:val="000000" w:themeColor="text1"/>
              </w:rPr>
              <w:t xml:space="preserve"> </w:t>
            </w:r>
            <w:r>
              <w:rPr>
                <w:color w:val="000000" w:themeColor="text1"/>
                <w:szCs w:val="21"/>
              </w:rPr>
              <w:sym w:font="Wingdings 2" w:char="00A3"/>
            </w:r>
          </w:p>
          <w:p>
            <w:pPr>
              <w:pStyle w:val="55"/>
              <w:rPr>
                <w:color w:val="000000" w:themeColor="text1"/>
                <w:szCs w:val="24"/>
              </w:rPr>
            </w:pPr>
            <w:r>
              <w:rPr>
                <w:rFonts w:hint="eastAsia"/>
                <w:color w:val="000000" w:themeColor="text1"/>
              </w:rPr>
              <w:t>春季</w:t>
            </w:r>
            <w:r>
              <w:rPr>
                <w:color w:val="000000" w:themeColor="text1"/>
              </w:rPr>
              <w:t xml:space="preserve"> </w:t>
            </w:r>
            <w:r>
              <w:rPr>
                <w:color w:val="000000" w:themeColor="text1"/>
                <w:szCs w:val="21"/>
              </w:rPr>
              <w:sym w:font="Wingdings 2" w:char="00A3"/>
            </w:r>
            <w:r>
              <w:rPr>
                <w:rFonts w:hint="eastAsia"/>
                <w:color w:val="000000" w:themeColor="text1"/>
              </w:rPr>
              <w:t>；夏季</w:t>
            </w:r>
            <w:r>
              <w:rPr>
                <w:color w:val="000000" w:themeColor="text1"/>
              </w:rPr>
              <w:t xml:space="preserve"> </w:t>
            </w:r>
            <w:r>
              <w:rPr>
                <w:color w:val="000000" w:themeColor="text1"/>
                <w:szCs w:val="21"/>
              </w:rPr>
              <w:sym w:font="Wingdings 2" w:char="00A3"/>
            </w:r>
            <w:r>
              <w:rPr>
                <w:rFonts w:hint="eastAsia"/>
                <w:color w:val="000000" w:themeColor="text1"/>
              </w:rPr>
              <w:t>；秋季</w:t>
            </w:r>
            <w:r>
              <w:rPr>
                <w:color w:val="000000" w:themeColor="text1"/>
              </w:rPr>
              <w:t xml:space="preserve"> </w:t>
            </w:r>
            <w:r>
              <w:rPr>
                <w:color w:val="000000" w:themeColor="text1"/>
                <w:szCs w:val="21"/>
              </w:rPr>
              <w:sym w:font="Wingdings 2" w:char="00A3"/>
            </w:r>
            <w:r>
              <w:rPr>
                <w:rFonts w:hint="eastAsia"/>
                <w:color w:val="000000" w:themeColor="text1"/>
              </w:rPr>
              <w:t>；冬季</w:t>
            </w:r>
            <w:r>
              <w:rPr>
                <w:color w:val="000000" w:themeColor="text1"/>
              </w:rPr>
              <w:t xml:space="preserve"> </w:t>
            </w:r>
            <w:r>
              <w:rPr>
                <w:color w:val="000000" w:themeColor="text1"/>
                <w:szCs w:val="21"/>
              </w:rPr>
              <w:sym w:font="Wingdings 2" w:char="00A3"/>
            </w:r>
          </w:p>
        </w:tc>
        <w:tc>
          <w:tcPr>
            <w:tcW w:w="3354" w:type="dxa"/>
            <w:gridSpan w:val="6"/>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生态环境保护主管部门</w:t>
            </w:r>
            <w:r>
              <w:rPr>
                <w:color w:val="000000" w:themeColor="text1"/>
              </w:rPr>
              <w:t xml:space="preserve"> </w:t>
            </w:r>
            <w:r>
              <w:rPr>
                <w:rFonts w:hint="eastAsia" w:ascii="MS Mincho" w:hAnsi="MS Mincho" w:eastAsia="MS Mincho" w:cs="MS Mincho"/>
                <w:color w:val="000000" w:themeColor="text1"/>
                <w:szCs w:val="21"/>
              </w:rPr>
              <w:t>☑</w:t>
            </w:r>
            <w:r>
              <w:rPr>
                <w:rFonts w:hint="eastAsia"/>
                <w:color w:val="000000" w:themeColor="text1"/>
              </w:rPr>
              <w:t>；补充监测</w:t>
            </w:r>
            <w:r>
              <w:rPr>
                <w:color w:val="000000" w:themeColor="text1"/>
              </w:rPr>
              <w:t xml:space="preserve"> </w:t>
            </w:r>
            <w:r>
              <w:rPr>
                <w:color w:val="000000" w:themeColor="text1"/>
                <w:szCs w:val="21"/>
              </w:rPr>
              <w:sym w:font="Wingdings 2" w:char="00A3"/>
            </w:r>
            <w:r>
              <w:rPr>
                <w:rFonts w:hint="eastAsia"/>
                <w:color w:val="000000" w:themeColor="text1"/>
              </w:rPr>
              <w:t>；其他</w:t>
            </w:r>
            <w:r>
              <w:rPr>
                <w:color w:val="000000" w:themeColor="text1"/>
              </w:rPr>
              <w:t xml:space="preserve"> </w:t>
            </w:r>
            <w:r>
              <w:rPr>
                <w:color w:val="000000" w:themeColor="text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16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区域水资源开发利用状况</w:t>
            </w:r>
          </w:p>
        </w:tc>
        <w:tc>
          <w:tcPr>
            <w:tcW w:w="6778" w:type="dxa"/>
            <w:gridSpan w:val="11"/>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未开发</w:t>
            </w:r>
            <w:r>
              <w:rPr>
                <w:color w:val="000000" w:themeColor="text1"/>
              </w:rPr>
              <w:t xml:space="preserve"> </w:t>
            </w:r>
            <w:r>
              <w:rPr>
                <w:color w:val="000000" w:themeColor="text1"/>
                <w:szCs w:val="21"/>
              </w:rPr>
              <w:sym w:font="Wingdings 2" w:char="00A3"/>
            </w:r>
            <w:r>
              <w:rPr>
                <w:rFonts w:hint="eastAsia"/>
                <w:color w:val="000000" w:themeColor="text1"/>
              </w:rPr>
              <w:t>；开发量</w:t>
            </w:r>
            <w:r>
              <w:rPr>
                <w:color w:val="000000" w:themeColor="text1"/>
              </w:rPr>
              <w:t>40%</w:t>
            </w:r>
            <w:r>
              <w:rPr>
                <w:rFonts w:hint="eastAsia"/>
                <w:color w:val="000000" w:themeColor="text1"/>
              </w:rPr>
              <w:t>以下</w:t>
            </w:r>
            <w:r>
              <w:rPr>
                <w:color w:val="000000" w:themeColor="text1"/>
              </w:rPr>
              <w:t xml:space="preserve"> </w:t>
            </w:r>
            <w:r>
              <w:rPr>
                <w:color w:val="000000" w:themeColor="text1"/>
                <w:szCs w:val="21"/>
              </w:rPr>
              <w:sym w:font="Wingdings 2" w:char="00A3"/>
            </w:r>
            <w:r>
              <w:rPr>
                <w:rFonts w:hint="eastAsia"/>
                <w:color w:val="000000" w:themeColor="text1"/>
              </w:rPr>
              <w:t>；开发量</w:t>
            </w:r>
            <w:r>
              <w:rPr>
                <w:color w:val="000000" w:themeColor="text1"/>
              </w:rPr>
              <w:t>40</w:t>
            </w:r>
            <w:r>
              <w:rPr>
                <w:rFonts w:hint="eastAsia"/>
                <w:color w:val="000000" w:themeColor="text1"/>
              </w:rPr>
              <w:t>以上</w:t>
            </w:r>
            <w:r>
              <w:rPr>
                <w:color w:val="000000" w:themeColor="text1"/>
              </w:rPr>
              <w:t xml:space="preserve"> </w:t>
            </w:r>
            <w:r>
              <w:rPr>
                <w:color w:val="000000" w:themeColor="text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1676"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水文情势调查</w:t>
            </w:r>
          </w:p>
        </w:tc>
        <w:tc>
          <w:tcPr>
            <w:tcW w:w="3424" w:type="dxa"/>
            <w:gridSpan w:val="5"/>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调查时期</w:t>
            </w:r>
          </w:p>
        </w:tc>
        <w:tc>
          <w:tcPr>
            <w:tcW w:w="3354" w:type="dxa"/>
            <w:gridSpan w:val="6"/>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167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3424" w:type="dxa"/>
            <w:gridSpan w:val="5"/>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4"/>
              </w:rPr>
            </w:pPr>
            <w:r>
              <w:rPr>
                <w:rFonts w:hint="eastAsia"/>
                <w:color w:val="000000" w:themeColor="text1"/>
              </w:rPr>
              <w:t>丰水期</w:t>
            </w:r>
            <w:r>
              <w:rPr>
                <w:color w:val="000000" w:themeColor="text1"/>
              </w:rPr>
              <w:t xml:space="preserve"> </w:t>
            </w:r>
            <w:r>
              <w:rPr>
                <w:color w:val="000000" w:themeColor="text1"/>
                <w:szCs w:val="21"/>
              </w:rPr>
              <w:sym w:font="Wingdings 2" w:char="00A3"/>
            </w:r>
            <w:r>
              <w:rPr>
                <w:rFonts w:hint="eastAsia"/>
                <w:color w:val="000000" w:themeColor="text1"/>
              </w:rPr>
              <w:t>；平水期</w:t>
            </w:r>
            <w:r>
              <w:rPr>
                <w:color w:val="000000" w:themeColor="text1"/>
              </w:rPr>
              <w:t xml:space="preserve"> </w:t>
            </w:r>
            <w:r>
              <w:rPr>
                <w:color w:val="000000" w:themeColor="text1"/>
                <w:szCs w:val="21"/>
              </w:rPr>
              <w:sym w:font="Wingdings 2" w:char="00A3"/>
            </w:r>
            <w:r>
              <w:rPr>
                <w:rFonts w:hint="eastAsia"/>
                <w:color w:val="000000" w:themeColor="text1"/>
              </w:rPr>
              <w:t>；枯水期</w:t>
            </w:r>
            <w:r>
              <w:rPr>
                <w:color w:val="000000" w:themeColor="text1"/>
                <w:szCs w:val="21"/>
              </w:rPr>
              <w:sym w:font="Wingdings 2" w:char="00A3"/>
            </w:r>
            <w:r>
              <w:rPr>
                <w:rFonts w:hint="eastAsia"/>
                <w:color w:val="000000" w:themeColor="text1"/>
              </w:rPr>
              <w:t>；冰封期</w:t>
            </w:r>
            <w:r>
              <w:rPr>
                <w:color w:val="000000" w:themeColor="text1"/>
              </w:rPr>
              <w:t xml:space="preserve"> </w:t>
            </w:r>
            <w:r>
              <w:rPr>
                <w:color w:val="000000" w:themeColor="text1"/>
                <w:szCs w:val="21"/>
              </w:rPr>
              <w:sym w:font="Wingdings 2" w:char="00A3"/>
            </w:r>
          </w:p>
          <w:p>
            <w:pPr>
              <w:pStyle w:val="55"/>
              <w:rPr>
                <w:color w:val="000000" w:themeColor="text1"/>
                <w:szCs w:val="24"/>
              </w:rPr>
            </w:pPr>
            <w:r>
              <w:rPr>
                <w:rFonts w:hint="eastAsia"/>
                <w:color w:val="000000" w:themeColor="text1"/>
              </w:rPr>
              <w:t>春季</w:t>
            </w:r>
            <w:r>
              <w:rPr>
                <w:color w:val="000000" w:themeColor="text1"/>
              </w:rPr>
              <w:t xml:space="preserve"> </w:t>
            </w:r>
            <w:r>
              <w:rPr>
                <w:color w:val="000000" w:themeColor="text1"/>
                <w:szCs w:val="21"/>
              </w:rPr>
              <w:sym w:font="Wingdings 2" w:char="00A3"/>
            </w:r>
            <w:r>
              <w:rPr>
                <w:rFonts w:hint="eastAsia"/>
                <w:color w:val="000000" w:themeColor="text1"/>
              </w:rPr>
              <w:t>；夏季</w:t>
            </w:r>
            <w:r>
              <w:rPr>
                <w:color w:val="000000" w:themeColor="text1"/>
              </w:rPr>
              <w:t xml:space="preserve"> </w:t>
            </w:r>
            <w:r>
              <w:rPr>
                <w:color w:val="000000" w:themeColor="text1"/>
                <w:szCs w:val="21"/>
              </w:rPr>
              <w:sym w:font="Wingdings 2" w:char="00A3"/>
            </w:r>
            <w:r>
              <w:rPr>
                <w:rFonts w:hint="eastAsia"/>
                <w:color w:val="000000" w:themeColor="text1"/>
              </w:rPr>
              <w:t>；秋季</w:t>
            </w:r>
            <w:r>
              <w:rPr>
                <w:color w:val="000000" w:themeColor="text1"/>
              </w:rPr>
              <w:t xml:space="preserve"> </w:t>
            </w:r>
            <w:r>
              <w:rPr>
                <w:color w:val="000000" w:themeColor="text1"/>
                <w:szCs w:val="21"/>
              </w:rPr>
              <w:sym w:font="Wingdings 2" w:char="00A3"/>
            </w:r>
            <w:r>
              <w:rPr>
                <w:rFonts w:hint="eastAsia"/>
                <w:color w:val="000000" w:themeColor="text1"/>
              </w:rPr>
              <w:t>；冬季</w:t>
            </w:r>
            <w:r>
              <w:rPr>
                <w:color w:val="000000" w:themeColor="text1"/>
              </w:rPr>
              <w:t xml:space="preserve"> </w:t>
            </w:r>
            <w:r>
              <w:rPr>
                <w:color w:val="000000" w:themeColor="text1"/>
                <w:szCs w:val="21"/>
              </w:rPr>
              <w:sym w:font="Wingdings 2" w:char="00A3"/>
            </w:r>
          </w:p>
        </w:tc>
        <w:tc>
          <w:tcPr>
            <w:tcW w:w="3354" w:type="dxa"/>
            <w:gridSpan w:val="6"/>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水行政主管部门</w:t>
            </w:r>
            <w:r>
              <w:rPr>
                <w:color w:val="000000" w:themeColor="text1"/>
              </w:rPr>
              <w:t xml:space="preserve"> </w:t>
            </w:r>
            <w:r>
              <w:rPr>
                <w:color w:val="000000" w:themeColor="text1"/>
                <w:szCs w:val="21"/>
              </w:rPr>
              <w:sym w:font="Wingdings 2" w:char="00A3"/>
            </w:r>
            <w:r>
              <w:rPr>
                <w:rFonts w:hint="eastAsia"/>
                <w:color w:val="000000" w:themeColor="text1"/>
              </w:rPr>
              <w:t>；补充监测</w:t>
            </w:r>
            <w:r>
              <w:rPr>
                <w:color w:val="000000" w:themeColor="text1"/>
              </w:rPr>
              <w:t xml:space="preserve"> </w:t>
            </w:r>
            <w:r>
              <w:rPr>
                <w:color w:val="000000" w:themeColor="text1"/>
                <w:szCs w:val="21"/>
              </w:rPr>
              <w:sym w:font="Wingdings 2" w:char="00A3"/>
            </w:r>
            <w:r>
              <w:rPr>
                <w:rFonts w:hint="eastAsia"/>
                <w:color w:val="000000" w:themeColor="text1"/>
              </w:rPr>
              <w:t>；其他</w:t>
            </w:r>
            <w:r>
              <w:rPr>
                <w:color w:val="000000" w:themeColor="text1"/>
              </w:rPr>
              <w:t xml:space="preserve"> </w:t>
            </w:r>
            <w:r>
              <w:rPr>
                <w:color w:val="000000" w:themeColor="text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1676"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补充监测</w:t>
            </w:r>
          </w:p>
        </w:tc>
        <w:tc>
          <w:tcPr>
            <w:tcW w:w="3424" w:type="dxa"/>
            <w:gridSpan w:val="5"/>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监测时期</w:t>
            </w:r>
          </w:p>
        </w:tc>
        <w:tc>
          <w:tcPr>
            <w:tcW w:w="1537"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监测因子</w:t>
            </w:r>
          </w:p>
        </w:tc>
        <w:tc>
          <w:tcPr>
            <w:tcW w:w="1817" w:type="dxa"/>
            <w:gridSpan w:val="3"/>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szCs w:val="24"/>
              </w:rPr>
            </w:pPr>
            <w:r>
              <w:rPr>
                <w:rFonts w:hint="eastAsia"/>
                <w:color w:val="000000" w:themeColor="text1"/>
              </w:rPr>
              <w:t>监测断面或点位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167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3424" w:type="dxa"/>
            <w:gridSpan w:val="5"/>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4"/>
              </w:rPr>
            </w:pPr>
            <w:r>
              <w:rPr>
                <w:rFonts w:hint="eastAsia"/>
                <w:color w:val="000000" w:themeColor="text1"/>
              </w:rPr>
              <w:t>丰水期</w:t>
            </w:r>
            <w:r>
              <w:rPr>
                <w:color w:val="000000" w:themeColor="text1"/>
              </w:rPr>
              <w:t xml:space="preserve"> </w:t>
            </w:r>
            <w:r>
              <w:rPr>
                <w:color w:val="000000" w:themeColor="text1"/>
                <w:szCs w:val="21"/>
              </w:rPr>
              <w:sym w:font="Wingdings 2" w:char="00A3"/>
            </w:r>
            <w:r>
              <w:rPr>
                <w:rFonts w:hint="eastAsia"/>
                <w:color w:val="000000" w:themeColor="text1"/>
              </w:rPr>
              <w:t>；平水期</w:t>
            </w:r>
            <w:r>
              <w:rPr>
                <w:color w:val="000000" w:themeColor="text1"/>
              </w:rPr>
              <w:t xml:space="preserve"> </w:t>
            </w:r>
            <w:r>
              <w:rPr>
                <w:color w:val="000000" w:themeColor="text1"/>
                <w:szCs w:val="21"/>
              </w:rPr>
              <w:sym w:font="Wingdings 2" w:char="00A3"/>
            </w:r>
            <w:r>
              <w:rPr>
                <w:rFonts w:hint="eastAsia"/>
                <w:color w:val="000000" w:themeColor="text1"/>
              </w:rPr>
              <w:t>；枯水期</w:t>
            </w:r>
            <w:r>
              <w:rPr>
                <w:color w:val="000000" w:themeColor="text1"/>
              </w:rPr>
              <w:t xml:space="preserve"> </w:t>
            </w:r>
            <w:r>
              <w:rPr>
                <w:color w:val="000000" w:themeColor="text1"/>
                <w:szCs w:val="21"/>
              </w:rPr>
              <w:sym w:font="Wingdings 2" w:char="00A3"/>
            </w:r>
            <w:r>
              <w:rPr>
                <w:rFonts w:hint="eastAsia"/>
                <w:color w:val="000000" w:themeColor="text1"/>
              </w:rPr>
              <w:t>；冰封期</w:t>
            </w:r>
            <w:r>
              <w:rPr>
                <w:color w:val="000000" w:themeColor="text1"/>
              </w:rPr>
              <w:t xml:space="preserve"> </w:t>
            </w:r>
            <w:r>
              <w:rPr>
                <w:color w:val="000000" w:themeColor="text1"/>
                <w:szCs w:val="21"/>
              </w:rPr>
              <w:sym w:font="Wingdings 2" w:char="00A3"/>
            </w:r>
          </w:p>
          <w:p>
            <w:pPr>
              <w:pStyle w:val="55"/>
              <w:rPr>
                <w:color w:val="000000" w:themeColor="text1"/>
                <w:szCs w:val="24"/>
              </w:rPr>
            </w:pPr>
            <w:r>
              <w:rPr>
                <w:rFonts w:hint="eastAsia"/>
                <w:color w:val="000000" w:themeColor="text1"/>
              </w:rPr>
              <w:t>春季</w:t>
            </w:r>
            <w:r>
              <w:rPr>
                <w:color w:val="000000" w:themeColor="text1"/>
              </w:rPr>
              <w:t xml:space="preserve"> </w:t>
            </w:r>
            <w:r>
              <w:rPr>
                <w:color w:val="000000" w:themeColor="text1"/>
                <w:szCs w:val="21"/>
              </w:rPr>
              <w:sym w:font="Wingdings 2" w:char="00A3"/>
            </w:r>
            <w:r>
              <w:rPr>
                <w:rFonts w:hint="eastAsia"/>
                <w:color w:val="000000" w:themeColor="text1"/>
              </w:rPr>
              <w:t>；夏季</w:t>
            </w:r>
            <w:r>
              <w:rPr>
                <w:color w:val="000000" w:themeColor="text1"/>
              </w:rPr>
              <w:t xml:space="preserve"> </w:t>
            </w:r>
            <w:r>
              <w:rPr>
                <w:color w:val="000000" w:themeColor="text1"/>
                <w:szCs w:val="21"/>
              </w:rPr>
              <w:sym w:font="Wingdings 2" w:char="00A3"/>
            </w:r>
            <w:r>
              <w:rPr>
                <w:rFonts w:hint="eastAsia"/>
                <w:color w:val="000000" w:themeColor="text1"/>
              </w:rPr>
              <w:t>；秋季</w:t>
            </w:r>
            <w:r>
              <w:rPr>
                <w:color w:val="000000" w:themeColor="text1"/>
              </w:rPr>
              <w:t xml:space="preserve"> </w:t>
            </w:r>
            <w:r>
              <w:rPr>
                <w:color w:val="000000" w:themeColor="text1"/>
                <w:szCs w:val="21"/>
              </w:rPr>
              <w:sym w:font="Wingdings 2" w:char="00A3"/>
            </w:r>
            <w:r>
              <w:rPr>
                <w:rFonts w:hint="eastAsia"/>
                <w:color w:val="000000" w:themeColor="text1"/>
              </w:rPr>
              <w:t>；冬季</w:t>
            </w:r>
            <w:r>
              <w:rPr>
                <w:color w:val="000000" w:themeColor="text1"/>
              </w:rPr>
              <w:t xml:space="preserve"> </w:t>
            </w:r>
            <w:r>
              <w:rPr>
                <w:color w:val="000000" w:themeColor="text1"/>
                <w:szCs w:val="21"/>
              </w:rPr>
              <w:sym w:font="Wingdings 2" w:char="00A3"/>
            </w:r>
          </w:p>
        </w:tc>
        <w:tc>
          <w:tcPr>
            <w:tcW w:w="1537"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w:t>
            </w:r>
          </w:p>
        </w:tc>
        <w:tc>
          <w:tcPr>
            <w:tcW w:w="1817"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监测断面或点位个数（）个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67"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现状评价</w:t>
            </w:r>
          </w:p>
        </w:tc>
        <w:tc>
          <w:tcPr>
            <w:tcW w:w="16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评价范围</w:t>
            </w:r>
          </w:p>
        </w:tc>
        <w:tc>
          <w:tcPr>
            <w:tcW w:w="6778" w:type="dxa"/>
            <w:gridSpan w:val="11"/>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河流：长度（</w:t>
            </w:r>
            <w:r>
              <w:rPr>
                <w:color w:val="000000" w:themeColor="text1"/>
              </w:rPr>
              <w:t xml:space="preserve"> </w:t>
            </w:r>
            <w:r>
              <w:rPr>
                <w:rFonts w:hint="eastAsia"/>
                <w:color w:val="000000" w:themeColor="text1"/>
              </w:rPr>
              <w:t>）</w:t>
            </w:r>
            <w:r>
              <w:rPr>
                <w:color w:val="000000" w:themeColor="text1"/>
              </w:rPr>
              <w:t>km</w:t>
            </w:r>
            <w:r>
              <w:rPr>
                <w:rFonts w:hint="eastAsia"/>
                <w:color w:val="000000" w:themeColor="text1"/>
              </w:rPr>
              <w:t>；湖库、河口及近岸海域：面积（4.20）</w:t>
            </w:r>
            <w:r>
              <w:rPr>
                <w:color w:val="000000" w:themeColor="text1"/>
              </w:rPr>
              <w:t>km</w:t>
            </w:r>
            <w:r>
              <w:rPr>
                <w:color w:val="000000" w:themeColor="text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16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评价因子</w:t>
            </w:r>
          </w:p>
        </w:tc>
        <w:tc>
          <w:tcPr>
            <w:tcW w:w="6778" w:type="dxa"/>
            <w:gridSpan w:val="11"/>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w:t>
            </w:r>
            <w:r>
              <w:rPr>
                <w:rFonts w:hint="eastAsia"/>
                <w:bCs/>
                <w:color w:val="000000" w:themeColor="text1"/>
                <w:kern w:val="0"/>
                <w:szCs w:val="21"/>
              </w:rPr>
              <w:t>水温、</w:t>
            </w:r>
            <w:r>
              <w:rPr>
                <w:bCs/>
                <w:color w:val="000000" w:themeColor="text1"/>
                <w:kern w:val="0"/>
                <w:szCs w:val="21"/>
              </w:rPr>
              <w:t>pH</w:t>
            </w:r>
            <w:r>
              <w:rPr>
                <w:rFonts w:hint="eastAsia"/>
                <w:bCs/>
                <w:color w:val="000000" w:themeColor="text1"/>
                <w:kern w:val="0"/>
                <w:szCs w:val="21"/>
              </w:rPr>
              <w:t>、溶解氧、高锰酸盐指数、化学需氧量、五日生化需氧量、氨氮、总磷、总氮、铜、锌、氟化物、硒、砷、汞、镉、六价铬、铅、氰化物、挥发酚、石油类、阴离子表面活性剂、硫化物、粪大肠杆菌</w:t>
            </w:r>
            <w:r>
              <w:rPr>
                <w:rFonts w:hint="eastAsia"/>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16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评价标准</w:t>
            </w:r>
          </w:p>
        </w:tc>
        <w:tc>
          <w:tcPr>
            <w:tcW w:w="6778" w:type="dxa"/>
            <w:gridSpan w:val="11"/>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河流、湖库、河口：</w:t>
            </w:r>
            <w:r>
              <w:rPr>
                <w:rFonts w:hint="eastAsia" w:ascii="宋体" w:hAnsi="宋体" w:cs="宋体"/>
                <w:color w:val="000000" w:themeColor="text1"/>
              </w:rPr>
              <w:t>Ⅰ</w:t>
            </w:r>
            <w:r>
              <w:rPr>
                <w:rFonts w:hint="eastAsia"/>
                <w:color w:val="000000" w:themeColor="text1"/>
              </w:rPr>
              <w:t>类</w:t>
            </w:r>
            <w:r>
              <w:rPr>
                <w:color w:val="000000" w:themeColor="text1"/>
                <w:szCs w:val="21"/>
              </w:rPr>
              <w:sym w:font="Wingdings 2" w:char="00A3"/>
            </w:r>
            <w:r>
              <w:rPr>
                <w:rFonts w:hint="eastAsia"/>
                <w:color w:val="000000" w:themeColor="text1"/>
              </w:rPr>
              <w:t>；</w:t>
            </w:r>
            <w:r>
              <w:rPr>
                <w:rFonts w:hint="eastAsia" w:ascii="宋体" w:hAnsi="宋体" w:cs="宋体"/>
                <w:color w:val="000000" w:themeColor="text1"/>
              </w:rPr>
              <w:t>Ⅱ</w:t>
            </w:r>
            <w:r>
              <w:rPr>
                <w:rFonts w:hint="eastAsia"/>
                <w:color w:val="000000" w:themeColor="text1"/>
              </w:rPr>
              <w:t>类</w:t>
            </w:r>
            <w:r>
              <w:rPr>
                <w:color w:val="000000" w:themeColor="text1"/>
                <w:szCs w:val="21"/>
              </w:rPr>
              <w:sym w:font="Wingdings 2" w:char="00A3"/>
            </w:r>
            <w:r>
              <w:rPr>
                <w:rFonts w:hint="eastAsia"/>
                <w:color w:val="000000" w:themeColor="text1"/>
              </w:rPr>
              <w:t>；</w:t>
            </w:r>
            <w:r>
              <w:rPr>
                <w:rFonts w:hint="eastAsia" w:ascii="宋体" w:hAnsi="宋体" w:cs="宋体"/>
                <w:color w:val="000000" w:themeColor="text1"/>
              </w:rPr>
              <w:t>Ⅲ</w:t>
            </w:r>
            <w:r>
              <w:rPr>
                <w:rFonts w:hint="eastAsia"/>
                <w:color w:val="000000" w:themeColor="text1"/>
              </w:rPr>
              <w:t>类</w:t>
            </w:r>
            <w:r>
              <w:rPr>
                <w:rFonts w:hint="eastAsia" w:ascii="MS Mincho" w:hAnsi="MS Mincho" w:eastAsia="MS Mincho" w:cs="MS Mincho"/>
                <w:color w:val="000000" w:themeColor="text1"/>
                <w:szCs w:val="21"/>
              </w:rPr>
              <w:t>☑</w:t>
            </w:r>
            <w:r>
              <w:rPr>
                <w:rFonts w:hint="eastAsia"/>
                <w:color w:val="000000" w:themeColor="text1"/>
              </w:rPr>
              <w:t>；</w:t>
            </w:r>
            <w:r>
              <w:rPr>
                <w:rFonts w:hint="eastAsia" w:ascii="宋体" w:hAnsi="宋体" w:cs="宋体"/>
                <w:color w:val="000000" w:themeColor="text1"/>
              </w:rPr>
              <w:t>Ⅳ</w:t>
            </w:r>
            <w:r>
              <w:rPr>
                <w:rFonts w:hint="eastAsia"/>
                <w:color w:val="000000" w:themeColor="text1"/>
              </w:rPr>
              <w:t>类</w:t>
            </w:r>
            <w:r>
              <w:rPr>
                <w:color w:val="000000" w:themeColor="text1"/>
                <w:szCs w:val="21"/>
              </w:rPr>
              <w:sym w:font="Wingdings 2" w:char="00A3"/>
            </w:r>
            <w:r>
              <w:rPr>
                <w:rFonts w:hint="eastAsia"/>
                <w:color w:val="000000" w:themeColor="text1"/>
              </w:rPr>
              <w:t>；</w:t>
            </w:r>
            <w:r>
              <w:rPr>
                <w:rFonts w:hint="eastAsia" w:ascii="宋体" w:hAnsi="宋体" w:cs="宋体"/>
                <w:color w:val="000000" w:themeColor="text1"/>
              </w:rPr>
              <w:t>Ⅴ</w:t>
            </w:r>
            <w:r>
              <w:rPr>
                <w:rFonts w:hint="eastAsia"/>
                <w:color w:val="000000" w:themeColor="text1"/>
              </w:rPr>
              <w:t>类</w:t>
            </w:r>
            <w:r>
              <w:rPr>
                <w:color w:val="000000" w:themeColor="text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16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评价时期</w:t>
            </w:r>
          </w:p>
        </w:tc>
        <w:tc>
          <w:tcPr>
            <w:tcW w:w="6778" w:type="dxa"/>
            <w:gridSpan w:val="11"/>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4"/>
              </w:rPr>
            </w:pPr>
            <w:r>
              <w:rPr>
                <w:rFonts w:hint="eastAsia"/>
                <w:color w:val="000000" w:themeColor="text1"/>
              </w:rPr>
              <w:t>丰水期</w:t>
            </w:r>
            <w:r>
              <w:rPr>
                <w:color w:val="000000" w:themeColor="text1"/>
              </w:rPr>
              <w:t xml:space="preserve"> </w:t>
            </w:r>
            <w:r>
              <w:rPr>
                <w:color w:val="000000" w:themeColor="text1"/>
                <w:szCs w:val="21"/>
              </w:rPr>
              <w:sym w:font="Wingdings 2" w:char="00A3"/>
            </w:r>
            <w:r>
              <w:rPr>
                <w:rFonts w:hint="eastAsia"/>
                <w:color w:val="000000" w:themeColor="text1"/>
              </w:rPr>
              <w:t>；平水期</w:t>
            </w:r>
            <w:r>
              <w:rPr>
                <w:color w:val="000000" w:themeColor="text1"/>
              </w:rPr>
              <w:t xml:space="preserve"> </w:t>
            </w:r>
            <w:r>
              <w:rPr>
                <w:color w:val="000000" w:themeColor="text1"/>
                <w:szCs w:val="21"/>
              </w:rPr>
              <w:sym w:font="Wingdings 2" w:char="00A3"/>
            </w:r>
            <w:r>
              <w:rPr>
                <w:rFonts w:hint="eastAsia"/>
                <w:color w:val="000000" w:themeColor="text1"/>
              </w:rPr>
              <w:t>；枯水期</w:t>
            </w:r>
            <w:r>
              <w:rPr>
                <w:color w:val="000000" w:themeColor="text1"/>
              </w:rPr>
              <w:t xml:space="preserve"> </w:t>
            </w:r>
            <w:r>
              <w:rPr>
                <w:rFonts w:hint="eastAsia" w:ascii="MS Mincho" w:hAnsi="MS Mincho" w:eastAsia="MS Mincho" w:cs="MS Mincho"/>
                <w:color w:val="000000" w:themeColor="text1"/>
                <w:szCs w:val="21"/>
              </w:rPr>
              <w:t>☑</w:t>
            </w:r>
            <w:r>
              <w:rPr>
                <w:rFonts w:hint="eastAsia"/>
                <w:color w:val="000000" w:themeColor="text1"/>
              </w:rPr>
              <w:t>；冰封期</w:t>
            </w:r>
            <w:r>
              <w:rPr>
                <w:color w:val="000000" w:themeColor="text1"/>
              </w:rPr>
              <w:t xml:space="preserve"> </w:t>
            </w:r>
            <w:r>
              <w:rPr>
                <w:color w:val="000000" w:themeColor="text1"/>
                <w:szCs w:val="21"/>
              </w:rPr>
              <w:sym w:font="Wingdings 2" w:char="00A3"/>
            </w:r>
          </w:p>
          <w:p>
            <w:pPr>
              <w:pStyle w:val="55"/>
              <w:rPr>
                <w:color w:val="000000" w:themeColor="text1"/>
                <w:szCs w:val="24"/>
              </w:rPr>
            </w:pPr>
            <w:r>
              <w:rPr>
                <w:rFonts w:hint="eastAsia"/>
                <w:color w:val="000000" w:themeColor="text1"/>
              </w:rPr>
              <w:t>春季</w:t>
            </w:r>
            <w:r>
              <w:rPr>
                <w:color w:val="000000" w:themeColor="text1"/>
              </w:rPr>
              <w:t xml:space="preserve"> </w:t>
            </w:r>
            <w:r>
              <w:rPr>
                <w:color w:val="000000" w:themeColor="text1"/>
                <w:szCs w:val="21"/>
              </w:rPr>
              <w:sym w:font="Wingdings 2" w:char="00A3"/>
            </w:r>
            <w:r>
              <w:rPr>
                <w:rFonts w:hint="eastAsia"/>
                <w:color w:val="000000" w:themeColor="text1"/>
              </w:rPr>
              <w:t>；夏季</w:t>
            </w:r>
            <w:r>
              <w:rPr>
                <w:color w:val="000000" w:themeColor="text1"/>
              </w:rPr>
              <w:t xml:space="preserve"> </w:t>
            </w:r>
            <w:r>
              <w:rPr>
                <w:color w:val="000000" w:themeColor="text1"/>
                <w:szCs w:val="21"/>
              </w:rPr>
              <w:sym w:font="Wingdings 2" w:char="00A3"/>
            </w:r>
            <w:r>
              <w:rPr>
                <w:rFonts w:hint="eastAsia"/>
                <w:color w:val="000000" w:themeColor="text1"/>
              </w:rPr>
              <w:t>；秋季</w:t>
            </w:r>
            <w:r>
              <w:rPr>
                <w:color w:val="000000" w:themeColor="text1"/>
              </w:rPr>
              <w:t xml:space="preserve"> </w:t>
            </w:r>
            <w:r>
              <w:rPr>
                <w:color w:val="000000" w:themeColor="text1"/>
                <w:szCs w:val="21"/>
              </w:rPr>
              <w:sym w:font="Wingdings 2" w:char="00A3"/>
            </w:r>
            <w:r>
              <w:rPr>
                <w:rFonts w:hint="eastAsia"/>
                <w:color w:val="000000" w:themeColor="text1"/>
              </w:rPr>
              <w:t>；冬季</w:t>
            </w:r>
            <w:r>
              <w:rPr>
                <w:color w:val="000000" w:themeColor="text1"/>
              </w:rPr>
              <w:t xml:space="preserve"> </w:t>
            </w:r>
            <w:r>
              <w:rPr>
                <w:color w:val="000000" w:themeColor="text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16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评价结论</w:t>
            </w:r>
          </w:p>
        </w:tc>
        <w:tc>
          <w:tcPr>
            <w:tcW w:w="5524" w:type="dxa"/>
            <w:gridSpan w:val="10"/>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4"/>
              </w:rPr>
            </w:pPr>
            <w:r>
              <w:rPr>
                <w:rFonts w:hint="eastAsia"/>
                <w:color w:val="000000" w:themeColor="text1"/>
              </w:rPr>
              <w:t>水环境功能区或水功能区、近岸海域环境功能区水质达标状况</w:t>
            </w:r>
            <w:r>
              <w:rPr>
                <w:color w:val="000000" w:themeColor="text1"/>
                <w:szCs w:val="21"/>
              </w:rPr>
              <w:sym w:font="Wingdings 2" w:char="00A3"/>
            </w:r>
            <w:r>
              <w:rPr>
                <w:rFonts w:hint="eastAsia"/>
                <w:color w:val="000000" w:themeColor="text1"/>
              </w:rPr>
              <w:t>：达标</w:t>
            </w:r>
            <w:r>
              <w:rPr>
                <w:color w:val="000000" w:themeColor="text1"/>
                <w:szCs w:val="21"/>
              </w:rPr>
              <w:sym w:font="Wingdings 2" w:char="00A3"/>
            </w:r>
            <w:r>
              <w:rPr>
                <w:rFonts w:hint="eastAsia"/>
                <w:color w:val="000000" w:themeColor="text1"/>
              </w:rPr>
              <w:t>；不达标</w:t>
            </w:r>
            <w:r>
              <w:rPr>
                <w:rFonts w:hint="eastAsia" w:ascii="MS Mincho" w:hAnsi="MS Mincho" w:eastAsia="MS Mincho" w:cs="MS Mincho"/>
                <w:color w:val="000000" w:themeColor="text1"/>
                <w:szCs w:val="21"/>
              </w:rPr>
              <w:t>☑</w:t>
            </w:r>
          </w:p>
          <w:p>
            <w:pPr>
              <w:pStyle w:val="55"/>
              <w:rPr>
                <w:color w:val="000000" w:themeColor="text1"/>
              </w:rPr>
            </w:pPr>
            <w:r>
              <w:rPr>
                <w:rFonts w:hint="eastAsia"/>
                <w:color w:val="000000" w:themeColor="text1"/>
              </w:rPr>
              <w:t>水环境控制单元或断面水质达标状况</w:t>
            </w:r>
            <w:r>
              <w:rPr>
                <w:color w:val="000000" w:themeColor="text1"/>
              </w:rPr>
              <w:t xml:space="preserve"> </w:t>
            </w:r>
            <w:r>
              <w:rPr>
                <w:color w:val="000000" w:themeColor="text1"/>
                <w:szCs w:val="21"/>
              </w:rPr>
              <w:sym w:font="Wingdings 2" w:char="00A3"/>
            </w:r>
            <w:r>
              <w:rPr>
                <w:rFonts w:hint="eastAsia"/>
                <w:color w:val="000000" w:themeColor="text1"/>
              </w:rPr>
              <w:t>：达标</w:t>
            </w:r>
            <w:r>
              <w:rPr>
                <w:color w:val="000000" w:themeColor="text1"/>
              </w:rPr>
              <w:t xml:space="preserve"> </w:t>
            </w:r>
            <w:r>
              <w:rPr>
                <w:color w:val="000000" w:themeColor="text1"/>
                <w:szCs w:val="21"/>
              </w:rPr>
              <w:sym w:font="Wingdings 2" w:char="00A3"/>
            </w:r>
            <w:r>
              <w:rPr>
                <w:rFonts w:hint="eastAsia"/>
                <w:color w:val="000000" w:themeColor="text1"/>
              </w:rPr>
              <w:t>；不达标</w:t>
            </w:r>
            <w:r>
              <w:rPr>
                <w:color w:val="000000" w:themeColor="text1"/>
                <w:szCs w:val="21"/>
              </w:rPr>
              <w:sym w:font="Wingdings 2" w:char="00A3"/>
            </w:r>
          </w:p>
          <w:p>
            <w:pPr>
              <w:pStyle w:val="55"/>
              <w:rPr>
                <w:color w:val="000000" w:themeColor="text1"/>
              </w:rPr>
            </w:pPr>
            <w:r>
              <w:rPr>
                <w:rFonts w:hint="eastAsia"/>
                <w:color w:val="000000" w:themeColor="text1"/>
              </w:rPr>
              <w:t>水环境保护目标质量状况</w:t>
            </w:r>
            <w:r>
              <w:rPr>
                <w:color w:val="000000" w:themeColor="text1"/>
              </w:rPr>
              <w:t xml:space="preserve"> </w:t>
            </w:r>
            <w:r>
              <w:rPr>
                <w:color w:val="000000" w:themeColor="text1"/>
                <w:szCs w:val="21"/>
              </w:rPr>
              <w:sym w:font="Wingdings 2" w:char="00A3"/>
            </w:r>
            <w:r>
              <w:rPr>
                <w:rFonts w:hint="eastAsia"/>
                <w:color w:val="000000" w:themeColor="text1"/>
              </w:rPr>
              <w:t>：达标</w:t>
            </w:r>
            <w:r>
              <w:rPr>
                <w:color w:val="000000" w:themeColor="text1"/>
                <w:szCs w:val="21"/>
              </w:rPr>
              <w:sym w:font="Wingdings 2" w:char="00A3"/>
            </w:r>
            <w:r>
              <w:rPr>
                <w:rFonts w:hint="eastAsia"/>
                <w:color w:val="000000" w:themeColor="text1"/>
              </w:rPr>
              <w:t>；不达标</w:t>
            </w:r>
            <w:r>
              <w:rPr>
                <w:rFonts w:hint="eastAsia" w:ascii="MS Mincho" w:hAnsi="MS Mincho" w:eastAsia="MS Mincho" w:cs="MS Mincho"/>
                <w:color w:val="000000" w:themeColor="text1"/>
                <w:szCs w:val="21"/>
              </w:rPr>
              <w:t>☑</w:t>
            </w:r>
            <w:r>
              <w:rPr>
                <w:color w:val="000000" w:themeColor="text1"/>
              </w:rPr>
              <w:t xml:space="preserve"> </w:t>
            </w:r>
          </w:p>
          <w:p>
            <w:pPr>
              <w:pStyle w:val="55"/>
              <w:rPr>
                <w:color w:val="000000" w:themeColor="text1"/>
              </w:rPr>
            </w:pPr>
            <w:r>
              <w:rPr>
                <w:rFonts w:hint="eastAsia"/>
                <w:color w:val="000000" w:themeColor="text1"/>
              </w:rPr>
              <w:t>对照断面、控制断面等代表性断面的水质状况</w:t>
            </w:r>
            <w:r>
              <w:rPr>
                <w:color w:val="000000" w:themeColor="text1"/>
              </w:rPr>
              <w:t xml:space="preserve"> </w:t>
            </w:r>
            <w:r>
              <w:rPr>
                <w:color w:val="000000" w:themeColor="text1"/>
                <w:szCs w:val="21"/>
              </w:rPr>
              <w:sym w:font="Wingdings 2" w:char="00A3"/>
            </w:r>
            <w:r>
              <w:rPr>
                <w:rFonts w:hint="eastAsia"/>
                <w:color w:val="000000" w:themeColor="text1"/>
              </w:rPr>
              <w:t>：达标</w:t>
            </w:r>
            <w:r>
              <w:rPr>
                <w:color w:val="000000" w:themeColor="text1"/>
              </w:rPr>
              <w:t xml:space="preserve"> </w:t>
            </w:r>
            <w:r>
              <w:rPr>
                <w:color w:val="000000" w:themeColor="text1"/>
                <w:szCs w:val="21"/>
              </w:rPr>
              <w:sym w:font="Wingdings 2" w:char="00A3"/>
            </w:r>
            <w:r>
              <w:rPr>
                <w:rFonts w:hint="eastAsia"/>
                <w:color w:val="000000" w:themeColor="text1"/>
              </w:rPr>
              <w:t>；不达标</w:t>
            </w:r>
            <w:r>
              <w:rPr>
                <w:color w:val="000000" w:themeColor="text1"/>
              </w:rPr>
              <w:t xml:space="preserve"> </w:t>
            </w:r>
            <w:r>
              <w:rPr>
                <w:color w:val="000000" w:themeColor="text1"/>
                <w:szCs w:val="21"/>
              </w:rPr>
              <w:sym w:font="Wingdings 2" w:char="00A3"/>
            </w:r>
          </w:p>
          <w:p>
            <w:pPr>
              <w:pStyle w:val="55"/>
              <w:rPr>
                <w:color w:val="000000" w:themeColor="text1"/>
              </w:rPr>
            </w:pPr>
            <w:r>
              <w:rPr>
                <w:rFonts w:hint="eastAsia"/>
                <w:color w:val="000000" w:themeColor="text1"/>
              </w:rPr>
              <w:t>底泥污染评价</w:t>
            </w:r>
            <w:r>
              <w:rPr>
                <w:color w:val="000000" w:themeColor="text1"/>
              </w:rPr>
              <w:t xml:space="preserve"> </w:t>
            </w:r>
            <w:r>
              <w:rPr>
                <w:color w:val="000000" w:themeColor="text1"/>
                <w:szCs w:val="21"/>
              </w:rPr>
              <w:sym w:font="Wingdings 2" w:char="00A3"/>
            </w:r>
          </w:p>
          <w:p>
            <w:pPr>
              <w:pStyle w:val="55"/>
              <w:rPr>
                <w:color w:val="000000" w:themeColor="text1"/>
              </w:rPr>
            </w:pPr>
            <w:r>
              <w:rPr>
                <w:rFonts w:hint="eastAsia"/>
                <w:color w:val="000000" w:themeColor="text1"/>
              </w:rPr>
              <w:t>水资源与开发利用程度及其水文情势评价</w:t>
            </w:r>
            <w:r>
              <w:rPr>
                <w:color w:val="000000" w:themeColor="text1"/>
              </w:rPr>
              <w:t xml:space="preserve"> </w:t>
            </w:r>
            <w:r>
              <w:rPr>
                <w:color w:val="000000" w:themeColor="text1"/>
                <w:szCs w:val="21"/>
              </w:rPr>
              <w:sym w:font="Wingdings 2" w:char="00A3"/>
            </w:r>
          </w:p>
          <w:p>
            <w:pPr>
              <w:pStyle w:val="55"/>
              <w:rPr>
                <w:color w:val="000000" w:themeColor="text1"/>
              </w:rPr>
            </w:pPr>
            <w:r>
              <w:rPr>
                <w:rFonts w:hint="eastAsia"/>
                <w:color w:val="000000" w:themeColor="text1"/>
              </w:rPr>
              <w:t>水环境质量回顾评价</w:t>
            </w:r>
            <w:r>
              <w:rPr>
                <w:color w:val="000000" w:themeColor="text1"/>
              </w:rPr>
              <w:t xml:space="preserve"> </w:t>
            </w:r>
            <w:r>
              <w:rPr>
                <w:color w:val="000000" w:themeColor="text1"/>
                <w:szCs w:val="21"/>
              </w:rPr>
              <w:sym w:font="Wingdings 2" w:char="00A3"/>
            </w:r>
          </w:p>
          <w:p>
            <w:pPr>
              <w:pStyle w:val="55"/>
              <w:rPr>
                <w:color w:val="000000" w:themeColor="text1"/>
                <w:szCs w:val="24"/>
              </w:rPr>
            </w:pPr>
            <w:r>
              <w:rPr>
                <w:rFonts w:hint="eastAsia"/>
                <w:color w:val="000000" w:themeColor="text1"/>
              </w:rPr>
              <w:t>流域（区域）水资源（包括谁能资源）与开发利用总体状况、生态流量管理要求与现状满足程度、建设项目占用水域空间的水流状况与河流演变状况</w:t>
            </w:r>
            <w:r>
              <w:rPr>
                <w:color w:val="000000" w:themeColor="text1"/>
              </w:rPr>
              <w:t xml:space="preserve"> </w:t>
            </w:r>
            <w:r>
              <w:rPr>
                <w:color w:val="000000" w:themeColor="text1"/>
                <w:szCs w:val="21"/>
              </w:rPr>
              <w:sym w:font="Wingdings 2" w:char="00A3"/>
            </w:r>
          </w:p>
        </w:tc>
        <w:tc>
          <w:tcPr>
            <w:tcW w:w="125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rFonts w:cs="Times New Roman"/>
                <w:color w:val="000000" w:themeColor="text1"/>
                <w:szCs w:val="24"/>
              </w:rPr>
            </w:pPr>
            <w:r>
              <w:rPr>
                <w:rFonts w:hint="eastAsia"/>
                <w:color w:val="000000" w:themeColor="text1"/>
              </w:rPr>
              <w:t>达标区</w:t>
            </w:r>
            <w:r>
              <w:rPr>
                <w:color w:val="000000" w:themeColor="text1"/>
              </w:rPr>
              <w:t xml:space="preserve"> </w:t>
            </w:r>
            <w:r>
              <w:rPr>
                <w:color w:val="000000" w:themeColor="text1"/>
                <w:szCs w:val="21"/>
              </w:rPr>
              <w:sym w:font="Wingdings 2" w:char="00A3"/>
            </w:r>
          </w:p>
          <w:p>
            <w:pPr>
              <w:pStyle w:val="55"/>
              <w:rPr>
                <w:color w:val="000000" w:themeColor="text1"/>
                <w:szCs w:val="24"/>
              </w:rPr>
            </w:pPr>
            <w:r>
              <w:rPr>
                <w:rFonts w:hint="eastAsia"/>
                <w:color w:val="000000" w:themeColor="text1"/>
              </w:rPr>
              <w:t>不达标区</w:t>
            </w:r>
            <w:r>
              <w:rPr>
                <w:color w:val="000000" w:themeColor="text1"/>
              </w:rPr>
              <w:t xml:space="preserve"> </w:t>
            </w:r>
            <w:r>
              <w:rPr>
                <w:rFonts w:hint="eastAsia" w:ascii="MS Mincho" w:hAnsi="MS Mincho" w:eastAsia="MS Mincho" w:cs="MS Mincho"/>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影响预测</w:t>
            </w:r>
          </w:p>
        </w:tc>
        <w:tc>
          <w:tcPr>
            <w:tcW w:w="16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预测范围</w:t>
            </w:r>
          </w:p>
        </w:tc>
        <w:tc>
          <w:tcPr>
            <w:tcW w:w="6778" w:type="dxa"/>
            <w:gridSpan w:val="11"/>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河流：长度（</w:t>
            </w:r>
            <w:r>
              <w:rPr>
                <w:color w:val="000000" w:themeColor="text1"/>
              </w:rPr>
              <w:t xml:space="preserve"> </w:t>
            </w:r>
            <w:r>
              <w:rPr>
                <w:rFonts w:hint="eastAsia"/>
                <w:color w:val="000000" w:themeColor="text1"/>
              </w:rPr>
              <w:t>）</w:t>
            </w:r>
            <w:r>
              <w:rPr>
                <w:color w:val="000000" w:themeColor="text1"/>
              </w:rPr>
              <w:t>km</w:t>
            </w:r>
            <w:r>
              <w:rPr>
                <w:rFonts w:hint="eastAsia"/>
                <w:color w:val="000000" w:themeColor="text1"/>
              </w:rPr>
              <w:t>；湖库、河口及近岸海域：面积（</w:t>
            </w:r>
            <w:r>
              <w:rPr>
                <w:color w:val="000000" w:themeColor="text1"/>
              </w:rPr>
              <w:t xml:space="preserve"> </w:t>
            </w:r>
            <w:r>
              <w:rPr>
                <w:rFonts w:hint="eastAsia"/>
                <w:color w:val="000000" w:themeColor="text1"/>
              </w:rPr>
              <w:t>）</w:t>
            </w:r>
            <w:r>
              <w:rPr>
                <w:color w:val="000000" w:themeColor="text1"/>
              </w:rPr>
              <w:t>km</w:t>
            </w:r>
            <w:r>
              <w:rPr>
                <w:color w:val="000000" w:themeColor="text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16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预测因子</w:t>
            </w:r>
          </w:p>
        </w:tc>
        <w:tc>
          <w:tcPr>
            <w:tcW w:w="6778" w:type="dxa"/>
            <w:gridSpan w:val="11"/>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w:t>
            </w:r>
            <w:r>
              <w:rPr>
                <w:color w:val="000000" w:themeColor="text1"/>
              </w:rPr>
              <w:t xml:space="preserve">  </w:t>
            </w:r>
            <w:r>
              <w:rPr>
                <w:rFonts w:hint="eastAsia"/>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16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预测时期</w:t>
            </w:r>
          </w:p>
        </w:tc>
        <w:tc>
          <w:tcPr>
            <w:tcW w:w="6778" w:type="dxa"/>
            <w:gridSpan w:val="11"/>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丰水期</w:t>
            </w:r>
            <w:r>
              <w:rPr>
                <w:color w:val="000000" w:themeColor="text1"/>
              </w:rPr>
              <w:t xml:space="preserve"> </w:t>
            </w:r>
            <w:r>
              <w:rPr>
                <w:color w:val="000000" w:themeColor="text1"/>
                <w:szCs w:val="21"/>
              </w:rPr>
              <w:sym w:font="Wingdings 2" w:char="00A3"/>
            </w:r>
            <w:r>
              <w:rPr>
                <w:rFonts w:hint="eastAsia"/>
                <w:color w:val="000000" w:themeColor="text1"/>
              </w:rPr>
              <w:t>；平水期</w:t>
            </w:r>
            <w:r>
              <w:rPr>
                <w:color w:val="000000" w:themeColor="text1"/>
              </w:rPr>
              <w:t xml:space="preserve"> </w:t>
            </w:r>
            <w:r>
              <w:rPr>
                <w:color w:val="000000" w:themeColor="text1"/>
                <w:szCs w:val="21"/>
              </w:rPr>
              <w:sym w:font="Wingdings 2" w:char="00A3"/>
            </w:r>
            <w:r>
              <w:rPr>
                <w:rFonts w:hint="eastAsia"/>
                <w:color w:val="000000" w:themeColor="text1"/>
              </w:rPr>
              <w:t>；枯水期</w:t>
            </w:r>
            <w:r>
              <w:rPr>
                <w:color w:val="000000" w:themeColor="text1"/>
              </w:rPr>
              <w:t xml:space="preserve"> </w:t>
            </w:r>
            <w:r>
              <w:rPr>
                <w:color w:val="000000" w:themeColor="text1"/>
                <w:szCs w:val="21"/>
              </w:rPr>
              <w:sym w:font="Wingdings 2" w:char="00A3"/>
            </w:r>
            <w:r>
              <w:rPr>
                <w:rFonts w:hint="eastAsia"/>
                <w:color w:val="000000" w:themeColor="text1"/>
              </w:rPr>
              <w:t>；冰封期</w:t>
            </w:r>
            <w:r>
              <w:rPr>
                <w:color w:val="000000" w:themeColor="text1"/>
              </w:rPr>
              <w:t xml:space="preserve"> </w:t>
            </w:r>
            <w:r>
              <w:rPr>
                <w:color w:val="000000" w:themeColor="text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16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预测情景</w:t>
            </w:r>
          </w:p>
        </w:tc>
        <w:tc>
          <w:tcPr>
            <w:tcW w:w="6778" w:type="dxa"/>
            <w:gridSpan w:val="11"/>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4"/>
              </w:rPr>
            </w:pPr>
            <w:r>
              <w:rPr>
                <w:rFonts w:hint="eastAsia"/>
                <w:color w:val="000000" w:themeColor="text1"/>
              </w:rPr>
              <w:t>建设期</w:t>
            </w:r>
            <w:r>
              <w:rPr>
                <w:color w:val="000000" w:themeColor="text1"/>
              </w:rPr>
              <w:t xml:space="preserve"> </w:t>
            </w:r>
            <w:r>
              <w:rPr>
                <w:color w:val="000000" w:themeColor="text1"/>
                <w:szCs w:val="21"/>
              </w:rPr>
              <w:sym w:font="Wingdings 2" w:char="00A3"/>
            </w:r>
            <w:r>
              <w:rPr>
                <w:rFonts w:hint="eastAsia"/>
                <w:color w:val="000000" w:themeColor="text1"/>
              </w:rPr>
              <w:t>；生产运行期</w:t>
            </w:r>
            <w:r>
              <w:rPr>
                <w:color w:val="000000" w:themeColor="text1"/>
              </w:rPr>
              <w:t xml:space="preserve"> </w:t>
            </w:r>
            <w:r>
              <w:rPr>
                <w:color w:val="000000" w:themeColor="text1"/>
                <w:szCs w:val="21"/>
              </w:rPr>
              <w:sym w:font="Wingdings 2" w:char="00A3"/>
            </w:r>
            <w:r>
              <w:rPr>
                <w:rFonts w:hint="eastAsia"/>
                <w:color w:val="000000" w:themeColor="text1"/>
              </w:rPr>
              <w:t>；服务期满后</w:t>
            </w:r>
            <w:r>
              <w:rPr>
                <w:color w:val="000000" w:themeColor="text1"/>
              </w:rPr>
              <w:t xml:space="preserve"> </w:t>
            </w:r>
            <w:r>
              <w:rPr>
                <w:color w:val="000000" w:themeColor="text1"/>
                <w:szCs w:val="21"/>
              </w:rPr>
              <w:sym w:font="Wingdings 2" w:char="00A3"/>
            </w:r>
          </w:p>
          <w:p>
            <w:pPr>
              <w:pStyle w:val="55"/>
              <w:rPr>
                <w:color w:val="000000" w:themeColor="text1"/>
              </w:rPr>
            </w:pPr>
            <w:r>
              <w:rPr>
                <w:rFonts w:hint="eastAsia"/>
                <w:color w:val="000000" w:themeColor="text1"/>
              </w:rPr>
              <w:t>正常工况</w:t>
            </w:r>
            <w:r>
              <w:rPr>
                <w:color w:val="000000" w:themeColor="text1"/>
              </w:rPr>
              <w:t xml:space="preserve"> </w:t>
            </w:r>
            <w:r>
              <w:rPr>
                <w:color w:val="000000" w:themeColor="text1"/>
                <w:szCs w:val="21"/>
              </w:rPr>
              <w:sym w:font="Wingdings 2" w:char="00A3"/>
            </w:r>
            <w:r>
              <w:rPr>
                <w:rFonts w:hint="eastAsia"/>
                <w:color w:val="000000" w:themeColor="text1"/>
              </w:rPr>
              <w:t>；非正常工况</w:t>
            </w:r>
            <w:r>
              <w:rPr>
                <w:color w:val="000000" w:themeColor="text1"/>
              </w:rPr>
              <w:t xml:space="preserve"> </w:t>
            </w:r>
            <w:r>
              <w:rPr>
                <w:color w:val="000000" w:themeColor="text1"/>
                <w:szCs w:val="21"/>
              </w:rPr>
              <w:sym w:font="Wingdings 2" w:char="00A3"/>
            </w:r>
          </w:p>
          <w:p>
            <w:pPr>
              <w:pStyle w:val="55"/>
              <w:rPr>
                <w:color w:val="000000" w:themeColor="text1"/>
              </w:rPr>
            </w:pPr>
            <w:r>
              <w:rPr>
                <w:rFonts w:hint="eastAsia"/>
                <w:color w:val="000000" w:themeColor="text1"/>
              </w:rPr>
              <w:t>污染控制和减缓措施方案</w:t>
            </w:r>
            <w:r>
              <w:rPr>
                <w:color w:val="000000" w:themeColor="text1"/>
              </w:rPr>
              <w:t xml:space="preserve"> </w:t>
            </w:r>
            <w:r>
              <w:rPr>
                <w:color w:val="000000" w:themeColor="text1"/>
                <w:szCs w:val="21"/>
              </w:rPr>
              <w:sym w:font="Wingdings 2" w:char="00A3"/>
            </w:r>
          </w:p>
          <w:p>
            <w:pPr>
              <w:pStyle w:val="55"/>
              <w:rPr>
                <w:color w:val="000000" w:themeColor="text1"/>
                <w:szCs w:val="24"/>
              </w:rPr>
            </w:pPr>
            <w:r>
              <w:rPr>
                <w:rFonts w:hint="eastAsia"/>
                <w:color w:val="000000" w:themeColor="text1"/>
              </w:rPr>
              <w:t>区（流）域环境质量改善目标要求情景</w:t>
            </w:r>
            <w:r>
              <w:rPr>
                <w:color w:val="000000" w:themeColor="text1"/>
              </w:rPr>
              <w:t xml:space="preserve"> </w:t>
            </w:r>
            <w:r>
              <w:rPr>
                <w:color w:val="000000" w:themeColor="text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16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预测方法</w:t>
            </w:r>
          </w:p>
        </w:tc>
        <w:tc>
          <w:tcPr>
            <w:tcW w:w="6778" w:type="dxa"/>
            <w:gridSpan w:val="11"/>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4"/>
              </w:rPr>
            </w:pPr>
            <w:r>
              <w:rPr>
                <w:rFonts w:hint="eastAsia"/>
                <w:color w:val="000000" w:themeColor="text1"/>
              </w:rPr>
              <w:t>数值解</w:t>
            </w:r>
            <w:r>
              <w:rPr>
                <w:color w:val="000000" w:themeColor="text1"/>
              </w:rPr>
              <w:t xml:space="preserve"> </w:t>
            </w:r>
            <w:r>
              <w:rPr>
                <w:color w:val="000000" w:themeColor="text1"/>
                <w:szCs w:val="21"/>
              </w:rPr>
              <w:sym w:font="Wingdings 2" w:char="00A3"/>
            </w:r>
            <w:r>
              <w:rPr>
                <w:rFonts w:hint="eastAsia"/>
                <w:color w:val="000000" w:themeColor="text1"/>
              </w:rPr>
              <w:t>；解析解</w:t>
            </w:r>
            <w:r>
              <w:rPr>
                <w:color w:val="000000" w:themeColor="text1"/>
              </w:rPr>
              <w:t xml:space="preserve"> </w:t>
            </w:r>
            <w:r>
              <w:rPr>
                <w:color w:val="000000" w:themeColor="text1"/>
                <w:szCs w:val="21"/>
              </w:rPr>
              <w:sym w:font="Wingdings 2" w:char="00A3"/>
            </w:r>
            <w:r>
              <w:rPr>
                <w:rFonts w:hint="eastAsia"/>
                <w:color w:val="000000" w:themeColor="text1"/>
              </w:rPr>
              <w:t>；其他</w:t>
            </w:r>
            <w:r>
              <w:rPr>
                <w:color w:val="000000" w:themeColor="text1"/>
              </w:rPr>
              <w:t xml:space="preserve"> </w:t>
            </w:r>
            <w:r>
              <w:rPr>
                <w:color w:val="000000" w:themeColor="text1"/>
                <w:szCs w:val="21"/>
              </w:rPr>
              <w:sym w:font="Wingdings 2" w:char="00A3"/>
            </w:r>
          </w:p>
          <w:p>
            <w:pPr>
              <w:pStyle w:val="55"/>
              <w:rPr>
                <w:color w:val="000000" w:themeColor="text1"/>
                <w:szCs w:val="24"/>
              </w:rPr>
            </w:pPr>
            <w:r>
              <w:rPr>
                <w:rFonts w:hint="eastAsia"/>
                <w:color w:val="000000" w:themeColor="text1"/>
              </w:rPr>
              <w:t>导则推荐模式</w:t>
            </w:r>
            <w:r>
              <w:rPr>
                <w:color w:val="000000" w:themeColor="text1"/>
              </w:rPr>
              <w:t xml:space="preserve"> </w:t>
            </w:r>
            <w:r>
              <w:rPr>
                <w:color w:val="000000" w:themeColor="text1"/>
                <w:szCs w:val="21"/>
              </w:rPr>
              <w:sym w:font="Wingdings 2" w:char="00A3"/>
            </w:r>
            <w:r>
              <w:rPr>
                <w:rFonts w:hint="eastAsia"/>
                <w:color w:val="000000" w:themeColor="text1"/>
              </w:rPr>
              <w:t>；其他</w:t>
            </w:r>
            <w:r>
              <w:rPr>
                <w:color w:val="000000" w:themeColor="text1"/>
              </w:rPr>
              <w:t xml:space="preserve"> </w:t>
            </w:r>
            <w:r>
              <w:rPr>
                <w:color w:val="000000" w:themeColor="text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567"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影响评价</w:t>
            </w:r>
          </w:p>
        </w:tc>
        <w:tc>
          <w:tcPr>
            <w:tcW w:w="167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szCs w:val="24"/>
              </w:rPr>
            </w:pPr>
            <w:r>
              <w:rPr>
                <w:rFonts w:hint="eastAsia"/>
                <w:color w:val="000000" w:themeColor="text1"/>
              </w:rPr>
              <w:t>水污染控制和水环境影响减缓措施有效性评价</w:t>
            </w:r>
          </w:p>
        </w:tc>
        <w:tc>
          <w:tcPr>
            <w:tcW w:w="6778" w:type="dxa"/>
            <w:gridSpan w:val="11"/>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区（流）域环境质量改善目标</w:t>
            </w:r>
            <w:r>
              <w:rPr>
                <w:color w:val="000000" w:themeColor="text1"/>
              </w:rPr>
              <w:t xml:space="preserve"> </w:t>
            </w:r>
            <w:r>
              <w:rPr>
                <w:rFonts w:hint="eastAsia" w:ascii="MS Mincho" w:hAnsi="MS Mincho" w:eastAsia="MS Mincho" w:cs="MS Mincho"/>
                <w:color w:val="000000" w:themeColor="text1"/>
                <w:szCs w:val="21"/>
              </w:rPr>
              <w:t>☑</w:t>
            </w:r>
            <w:r>
              <w:rPr>
                <w:rFonts w:hint="eastAsia"/>
                <w:color w:val="000000" w:themeColor="text1"/>
              </w:rPr>
              <w:t>；替代削减源</w:t>
            </w:r>
            <w:r>
              <w:rPr>
                <w:color w:val="000000" w:themeColor="text1"/>
              </w:rPr>
              <w:t xml:space="preserve"> </w:t>
            </w:r>
            <w:r>
              <w:rPr>
                <w:color w:val="000000" w:themeColor="text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167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szCs w:val="24"/>
              </w:rPr>
            </w:pPr>
            <w:r>
              <w:rPr>
                <w:rFonts w:hint="eastAsia"/>
                <w:color w:val="000000" w:themeColor="text1"/>
              </w:rPr>
              <w:t>水环境影响评价</w:t>
            </w:r>
          </w:p>
        </w:tc>
        <w:tc>
          <w:tcPr>
            <w:tcW w:w="6778" w:type="dxa"/>
            <w:gridSpan w:val="11"/>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4"/>
              </w:rPr>
            </w:pPr>
            <w:r>
              <w:rPr>
                <w:rFonts w:hint="eastAsia"/>
                <w:color w:val="000000" w:themeColor="text1"/>
              </w:rPr>
              <w:t>排放口混合区外满足水环境管理要求</w:t>
            </w:r>
            <w:r>
              <w:rPr>
                <w:color w:val="000000" w:themeColor="text1"/>
              </w:rPr>
              <w:t xml:space="preserve"> </w:t>
            </w:r>
            <w:r>
              <w:rPr>
                <w:color w:val="000000" w:themeColor="text1"/>
                <w:szCs w:val="21"/>
              </w:rPr>
              <w:sym w:font="Wingdings 2" w:char="00A3"/>
            </w:r>
          </w:p>
          <w:p>
            <w:pPr>
              <w:pStyle w:val="55"/>
              <w:rPr>
                <w:color w:val="000000" w:themeColor="text1"/>
              </w:rPr>
            </w:pPr>
            <w:r>
              <w:rPr>
                <w:rFonts w:hint="eastAsia"/>
                <w:color w:val="000000" w:themeColor="text1"/>
              </w:rPr>
              <w:t>水环境功能区或水功能区、近岸海域环境功能区水质达标</w:t>
            </w:r>
            <w:r>
              <w:rPr>
                <w:color w:val="000000" w:themeColor="text1"/>
              </w:rPr>
              <w:t xml:space="preserve"> </w:t>
            </w:r>
            <w:r>
              <w:rPr>
                <w:rFonts w:hint="eastAsia" w:ascii="MS Mincho" w:hAnsi="MS Mincho" w:eastAsia="MS Mincho" w:cs="MS Mincho"/>
                <w:color w:val="000000" w:themeColor="text1"/>
                <w:szCs w:val="21"/>
              </w:rPr>
              <w:t>☑</w:t>
            </w:r>
          </w:p>
          <w:p>
            <w:pPr>
              <w:pStyle w:val="55"/>
              <w:rPr>
                <w:color w:val="000000" w:themeColor="text1"/>
              </w:rPr>
            </w:pPr>
            <w:r>
              <w:rPr>
                <w:rFonts w:hint="eastAsia"/>
                <w:color w:val="000000" w:themeColor="text1"/>
              </w:rPr>
              <w:t>满足水环境保护目标水域水环境质量要求</w:t>
            </w:r>
            <w:r>
              <w:rPr>
                <w:color w:val="000000" w:themeColor="text1"/>
              </w:rPr>
              <w:t xml:space="preserve"> </w:t>
            </w:r>
            <w:r>
              <w:rPr>
                <w:color w:val="000000" w:themeColor="text1"/>
                <w:szCs w:val="21"/>
              </w:rPr>
              <w:sym w:font="Wingdings 2" w:char="00A3"/>
            </w:r>
          </w:p>
          <w:p>
            <w:pPr>
              <w:pStyle w:val="55"/>
              <w:rPr>
                <w:color w:val="000000" w:themeColor="text1"/>
              </w:rPr>
            </w:pPr>
            <w:r>
              <w:rPr>
                <w:rFonts w:hint="eastAsia"/>
                <w:color w:val="000000" w:themeColor="text1"/>
              </w:rPr>
              <w:t>水环境控制单元或断面水质达标</w:t>
            </w:r>
            <w:r>
              <w:rPr>
                <w:color w:val="000000" w:themeColor="text1"/>
              </w:rPr>
              <w:t xml:space="preserve"> </w:t>
            </w:r>
            <w:r>
              <w:rPr>
                <w:color w:val="000000" w:themeColor="text1"/>
                <w:szCs w:val="21"/>
              </w:rPr>
              <w:sym w:font="Wingdings 2" w:char="00A3"/>
            </w:r>
          </w:p>
          <w:p>
            <w:pPr>
              <w:pStyle w:val="55"/>
              <w:rPr>
                <w:color w:val="000000" w:themeColor="text1"/>
              </w:rPr>
            </w:pPr>
            <w:r>
              <w:rPr>
                <w:rFonts w:hint="eastAsia"/>
                <w:color w:val="000000" w:themeColor="text1"/>
              </w:rPr>
              <w:t>满足重点水污染物排放总量控制指标要求，重点行业建设项目，主要污染物排放满足等量或减量替代要求</w:t>
            </w:r>
            <w:r>
              <w:rPr>
                <w:color w:val="000000" w:themeColor="text1"/>
              </w:rPr>
              <w:t xml:space="preserve"> </w:t>
            </w:r>
            <w:r>
              <w:rPr>
                <w:color w:val="000000" w:themeColor="text1"/>
                <w:szCs w:val="21"/>
              </w:rPr>
              <w:sym w:font="Wingdings 2" w:char="00A3"/>
            </w:r>
          </w:p>
          <w:p>
            <w:pPr>
              <w:pStyle w:val="55"/>
              <w:rPr>
                <w:color w:val="000000" w:themeColor="text1"/>
              </w:rPr>
            </w:pPr>
            <w:r>
              <w:rPr>
                <w:rFonts w:hint="eastAsia"/>
                <w:color w:val="000000" w:themeColor="text1"/>
              </w:rPr>
              <w:t>满足区（流）域水环境质量改善目标要求</w:t>
            </w:r>
            <w:r>
              <w:rPr>
                <w:color w:val="000000" w:themeColor="text1"/>
              </w:rPr>
              <w:t xml:space="preserve"> </w:t>
            </w:r>
            <w:r>
              <w:rPr>
                <w:color w:val="000000" w:themeColor="text1"/>
                <w:szCs w:val="21"/>
              </w:rPr>
              <w:sym w:font="Wingdings 2" w:char="00A3"/>
            </w:r>
          </w:p>
          <w:p>
            <w:pPr>
              <w:pStyle w:val="55"/>
              <w:rPr>
                <w:color w:val="000000" w:themeColor="text1"/>
              </w:rPr>
            </w:pPr>
            <w:r>
              <w:rPr>
                <w:rFonts w:hint="eastAsia"/>
                <w:color w:val="000000" w:themeColor="text1"/>
              </w:rPr>
              <w:t>水文要素影响型建设项目同时应包括水文情势变化评价、主要水文特征值影响评价、生态流量符合性评价</w:t>
            </w:r>
            <w:r>
              <w:rPr>
                <w:color w:val="000000" w:themeColor="text1"/>
              </w:rPr>
              <w:t xml:space="preserve"> </w:t>
            </w:r>
            <w:r>
              <w:rPr>
                <w:color w:val="000000" w:themeColor="text1"/>
                <w:szCs w:val="21"/>
              </w:rPr>
              <w:sym w:font="Wingdings 2" w:char="00A3"/>
            </w:r>
          </w:p>
          <w:p>
            <w:pPr>
              <w:pStyle w:val="55"/>
              <w:rPr>
                <w:color w:val="000000" w:themeColor="text1"/>
              </w:rPr>
            </w:pPr>
            <w:r>
              <w:rPr>
                <w:rFonts w:hint="eastAsia"/>
                <w:color w:val="000000" w:themeColor="text1"/>
              </w:rPr>
              <w:t>对于新设或调整入河（湖库、近岸海域）排放口的建设项目，应包括排放口设置的环境合理性评价</w:t>
            </w:r>
            <w:r>
              <w:rPr>
                <w:color w:val="000000" w:themeColor="text1"/>
              </w:rPr>
              <w:t xml:space="preserve"> </w:t>
            </w:r>
            <w:r>
              <w:rPr>
                <w:color w:val="000000" w:themeColor="text1"/>
                <w:szCs w:val="21"/>
              </w:rPr>
              <w:sym w:font="Wingdings 2" w:char="00A3"/>
            </w:r>
          </w:p>
          <w:p>
            <w:pPr>
              <w:pStyle w:val="55"/>
              <w:rPr>
                <w:color w:val="000000" w:themeColor="text1"/>
                <w:szCs w:val="24"/>
              </w:rPr>
            </w:pPr>
            <w:r>
              <w:rPr>
                <w:rFonts w:hint="eastAsia"/>
                <w:color w:val="000000" w:themeColor="text1"/>
              </w:rPr>
              <w:t>满足生态保护红线、水环境质量底线、资源利用上线和环境准入清单管理要求</w:t>
            </w:r>
            <w:r>
              <w:rPr>
                <w:color w:val="000000" w:themeColor="text1"/>
              </w:rPr>
              <w:t xml:space="preserve"> </w:t>
            </w:r>
            <w:r>
              <w:rPr>
                <w:color w:val="000000" w:themeColor="text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1676" w:type="dxa"/>
            <w:vMerge w:val="restar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szCs w:val="24"/>
              </w:rPr>
            </w:pPr>
            <w:r>
              <w:rPr>
                <w:rFonts w:hint="eastAsia"/>
                <w:color w:val="000000" w:themeColor="text1"/>
              </w:rPr>
              <w:t>污染源排放量核算</w:t>
            </w:r>
          </w:p>
        </w:tc>
        <w:tc>
          <w:tcPr>
            <w:tcW w:w="2440"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污染物名称</w:t>
            </w:r>
          </w:p>
        </w:tc>
        <w:tc>
          <w:tcPr>
            <w:tcW w:w="2168" w:type="dxa"/>
            <w:gridSpan w:val="4"/>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排放量</w:t>
            </w:r>
            <w:r>
              <w:rPr>
                <w:color w:val="000000" w:themeColor="text1"/>
              </w:rPr>
              <w:t>/</w:t>
            </w:r>
            <w:r>
              <w:rPr>
                <w:rFonts w:hint="eastAsia"/>
                <w:color w:val="000000" w:themeColor="text1"/>
              </w:rPr>
              <w:t>（</w:t>
            </w:r>
            <w:r>
              <w:rPr>
                <w:color w:val="000000" w:themeColor="text1"/>
              </w:rPr>
              <w:t>t/a</w:t>
            </w:r>
            <w:r>
              <w:rPr>
                <w:rFonts w:hint="eastAsia"/>
                <w:color w:val="000000" w:themeColor="text1"/>
              </w:rPr>
              <w:t>）</w:t>
            </w:r>
          </w:p>
        </w:tc>
        <w:tc>
          <w:tcPr>
            <w:tcW w:w="2170" w:type="dxa"/>
            <w:gridSpan w:val="4"/>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排放浓度</w:t>
            </w:r>
            <w:r>
              <w:rPr>
                <w:color w:val="000000" w:themeColor="text1"/>
              </w:rPr>
              <w:t>/</w:t>
            </w:r>
            <w:r>
              <w:rPr>
                <w:rFonts w:hint="eastAsia"/>
                <w:color w:val="000000" w:themeColor="text1"/>
              </w:rPr>
              <w:t>（</w:t>
            </w:r>
            <w:r>
              <w:rPr>
                <w:color w:val="000000" w:themeColor="text1"/>
              </w:rPr>
              <w:t>mg/L</w:t>
            </w:r>
            <w:r>
              <w:rPr>
                <w:rFonts w:hint="eastAsia"/>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167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2440"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（COD）</w:t>
            </w:r>
          </w:p>
        </w:tc>
        <w:tc>
          <w:tcPr>
            <w:tcW w:w="2168" w:type="dxa"/>
            <w:gridSpan w:val="4"/>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（5.098）</w:t>
            </w:r>
          </w:p>
        </w:tc>
        <w:tc>
          <w:tcPr>
            <w:tcW w:w="2170" w:type="dxa"/>
            <w:gridSpan w:val="4"/>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（59.84）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167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2440"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（BOD</w:t>
            </w:r>
            <w:r>
              <w:rPr>
                <w:rFonts w:hint="eastAsia"/>
                <w:color w:val="000000" w:themeColor="text1"/>
                <w:vertAlign w:val="subscript"/>
              </w:rPr>
              <w:t>5</w:t>
            </w:r>
            <w:r>
              <w:rPr>
                <w:rFonts w:hint="eastAsia"/>
                <w:color w:val="000000" w:themeColor="text1"/>
              </w:rPr>
              <w:t>）</w:t>
            </w:r>
          </w:p>
        </w:tc>
        <w:tc>
          <w:tcPr>
            <w:tcW w:w="2168" w:type="dxa"/>
            <w:gridSpan w:val="4"/>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（2.249）</w:t>
            </w:r>
          </w:p>
        </w:tc>
        <w:tc>
          <w:tcPr>
            <w:tcW w:w="2170" w:type="dxa"/>
            <w:gridSpan w:val="4"/>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167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2440"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w:t>
            </w:r>
            <w:r>
              <w:rPr>
                <w:color w:val="000000" w:themeColor="text1"/>
                <w:szCs w:val="24"/>
              </w:rPr>
              <w:t>NH</w:t>
            </w:r>
            <w:r>
              <w:rPr>
                <w:color w:val="000000" w:themeColor="text1"/>
                <w:szCs w:val="24"/>
                <w:vertAlign w:val="subscript"/>
              </w:rPr>
              <w:t>3</w:t>
            </w:r>
            <w:r>
              <w:rPr>
                <w:color w:val="000000" w:themeColor="text1"/>
                <w:szCs w:val="24"/>
              </w:rPr>
              <w:t>-N</w:t>
            </w:r>
            <w:r>
              <w:rPr>
                <w:rFonts w:hint="eastAsia"/>
                <w:color w:val="000000" w:themeColor="text1"/>
              </w:rPr>
              <w:t>）</w:t>
            </w:r>
          </w:p>
        </w:tc>
        <w:tc>
          <w:tcPr>
            <w:tcW w:w="2168" w:type="dxa"/>
            <w:gridSpan w:val="4"/>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（0.798）</w:t>
            </w:r>
          </w:p>
        </w:tc>
        <w:tc>
          <w:tcPr>
            <w:tcW w:w="2170" w:type="dxa"/>
            <w:gridSpan w:val="4"/>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1676" w:type="dxa"/>
            <w:vMerge w:val="restar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szCs w:val="24"/>
              </w:rPr>
            </w:pPr>
            <w:r>
              <w:rPr>
                <w:rFonts w:hint="eastAsia"/>
                <w:color w:val="000000" w:themeColor="text1"/>
              </w:rPr>
              <w:t>替代源排放情况</w:t>
            </w:r>
          </w:p>
        </w:tc>
        <w:tc>
          <w:tcPr>
            <w:tcW w:w="157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污染源名称</w:t>
            </w:r>
          </w:p>
        </w:tc>
        <w:tc>
          <w:tcPr>
            <w:tcW w:w="1300"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排污许可证编号</w:t>
            </w:r>
          </w:p>
        </w:tc>
        <w:tc>
          <w:tcPr>
            <w:tcW w:w="1300"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污染物名称</w:t>
            </w:r>
          </w:p>
        </w:tc>
        <w:tc>
          <w:tcPr>
            <w:tcW w:w="1300"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排放量</w:t>
            </w:r>
            <w:r>
              <w:rPr>
                <w:color w:val="000000" w:themeColor="text1"/>
              </w:rPr>
              <w:t>/</w:t>
            </w:r>
            <w:r>
              <w:rPr>
                <w:rFonts w:hint="eastAsia"/>
                <w:color w:val="000000" w:themeColor="text1"/>
              </w:rPr>
              <w:t>（</w:t>
            </w:r>
            <w:r>
              <w:rPr>
                <w:color w:val="000000" w:themeColor="text1"/>
              </w:rPr>
              <w:t>t/a</w:t>
            </w:r>
            <w:r>
              <w:rPr>
                <w:rFonts w:hint="eastAsia"/>
                <w:color w:val="000000" w:themeColor="text1"/>
              </w:rPr>
              <w:t>）</w:t>
            </w:r>
          </w:p>
        </w:tc>
        <w:tc>
          <w:tcPr>
            <w:tcW w:w="1305"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排放浓度</w:t>
            </w:r>
            <w:r>
              <w:rPr>
                <w:color w:val="000000" w:themeColor="text1"/>
              </w:rPr>
              <w:t>/</w:t>
            </w:r>
            <w:r>
              <w:rPr>
                <w:rFonts w:hint="eastAsia"/>
                <w:color w:val="000000" w:themeColor="text1"/>
              </w:rPr>
              <w:t>（</w:t>
            </w:r>
            <w:r>
              <w:rPr>
                <w:color w:val="000000" w:themeColor="text1"/>
              </w:rPr>
              <w:t>mg/L</w:t>
            </w:r>
            <w:r>
              <w:rPr>
                <w:rFonts w:hint="eastAsia"/>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167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157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w:t>
            </w:r>
            <w:r>
              <w:rPr>
                <w:color w:val="000000" w:themeColor="text1"/>
              </w:rPr>
              <w:t xml:space="preserve"> </w:t>
            </w:r>
            <w:r>
              <w:rPr>
                <w:rFonts w:hint="eastAsia"/>
                <w:color w:val="000000" w:themeColor="text1"/>
              </w:rPr>
              <w:t>）</w:t>
            </w:r>
          </w:p>
        </w:tc>
        <w:tc>
          <w:tcPr>
            <w:tcW w:w="1300"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w:t>
            </w:r>
            <w:r>
              <w:rPr>
                <w:color w:val="000000" w:themeColor="text1"/>
              </w:rPr>
              <w:t xml:space="preserve"> </w:t>
            </w:r>
            <w:r>
              <w:rPr>
                <w:rFonts w:hint="eastAsia"/>
                <w:color w:val="000000" w:themeColor="text1"/>
              </w:rPr>
              <w:t>）</w:t>
            </w:r>
          </w:p>
        </w:tc>
        <w:tc>
          <w:tcPr>
            <w:tcW w:w="1300"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w:t>
            </w:r>
            <w:r>
              <w:rPr>
                <w:color w:val="000000" w:themeColor="text1"/>
              </w:rPr>
              <w:t xml:space="preserve"> </w:t>
            </w:r>
            <w:r>
              <w:rPr>
                <w:rFonts w:hint="eastAsia"/>
                <w:color w:val="000000" w:themeColor="text1"/>
              </w:rPr>
              <w:t>）</w:t>
            </w:r>
          </w:p>
        </w:tc>
        <w:tc>
          <w:tcPr>
            <w:tcW w:w="1300"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w:t>
            </w:r>
            <w:r>
              <w:rPr>
                <w:color w:val="000000" w:themeColor="text1"/>
              </w:rPr>
              <w:t xml:space="preserve"> </w:t>
            </w:r>
            <w:r>
              <w:rPr>
                <w:rFonts w:hint="eastAsia"/>
                <w:color w:val="000000" w:themeColor="text1"/>
              </w:rPr>
              <w:t>）</w:t>
            </w:r>
          </w:p>
        </w:tc>
        <w:tc>
          <w:tcPr>
            <w:tcW w:w="1305"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w:t>
            </w:r>
            <w:r>
              <w:rPr>
                <w:color w:val="000000" w:themeColor="text1"/>
              </w:rPr>
              <w:t xml:space="preserve"> </w:t>
            </w:r>
            <w:r>
              <w:rPr>
                <w:rFonts w:hint="eastAsia"/>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16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生态流量确定</w:t>
            </w:r>
          </w:p>
        </w:tc>
        <w:tc>
          <w:tcPr>
            <w:tcW w:w="6778" w:type="dxa"/>
            <w:gridSpan w:val="11"/>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4"/>
              </w:rPr>
            </w:pPr>
            <w:r>
              <w:rPr>
                <w:rFonts w:hint="eastAsia"/>
                <w:color w:val="000000" w:themeColor="text1"/>
              </w:rPr>
              <w:t>生态流量：一般水期（</w:t>
            </w:r>
            <w:r>
              <w:rPr>
                <w:color w:val="000000" w:themeColor="text1"/>
              </w:rPr>
              <w:t xml:space="preserve"> </w:t>
            </w:r>
            <w:r>
              <w:rPr>
                <w:rFonts w:hint="eastAsia"/>
                <w:color w:val="000000" w:themeColor="text1"/>
              </w:rPr>
              <w:t>）</w:t>
            </w:r>
            <w:r>
              <w:rPr>
                <w:color w:val="000000" w:themeColor="text1"/>
              </w:rPr>
              <w:t>m</w:t>
            </w:r>
            <w:r>
              <w:rPr>
                <w:color w:val="000000" w:themeColor="text1"/>
                <w:vertAlign w:val="superscript"/>
              </w:rPr>
              <w:t>3</w:t>
            </w:r>
            <w:r>
              <w:rPr>
                <w:color w:val="000000" w:themeColor="text1"/>
              </w:rPr>
              <w:t>/s</w:t>
            </w:r>
            <w:r>
              <w:rPr>
                <w:rFonts w:hint="eastAsia"/>
                <w:color w:val="000000" w:themeColor="text1"/>
              </w:rPr>
              <w:t>；鱼类繁殖期（</w:t>
            </w:r>
            <w:r>
              <w:rPr>
                <w:color w:val="000000" w:themeColor="text1"/>
              </w:rPr>
              <w:t xml:space="preserve"> </w:t>
            </w:r>
            <w:r>
              <w:rPr>
                <w:rFonts w:hint="eastAsia"/>
                <w:color w:val="000000" w:themeColor="text1"/>
              </w:rPr>
              <w:t>）</w:t>
            </w:r>
            <w:r>
              <w:rPr>
                <w:color w:val="000000" w:themeColor="text1"/>
              </w:rPr>
              <w:t>m</w:t>
            </w:r>
            <w:r>
              <w:rPr>
                <w:color w:val="000000" w:themeColor="text1"/>
                <w:vertAlign w:val="superscript"/>
              </w:rPr>
              <w:t>3</w:t>
            </w:r>
            <w:r>
              <w:rPr>
                <w:color w:val="000000" w:themeColor="text1"/>
              </w:rPr>
              <w:t>/s</w:t>
            </w:r>
            <w:r>
              <w:rPr>
                <w:rFonts w:hint="eastAsia"/>
                <w:color w:val="000000" w:themeColor="text1"/>
              </w:rPr>
              <w:t>；其他（</w:t>
            </w:r>
            <w:r>
              <w:rPr>
                <w:color w:val="000000" w:themeColor="text1"/>
              </w:rPr>
              <w:t xml:space="preserve"> </w:t>
            </w:r>
            <w:r>
              <w:rPr>
                <w:rFonts w:hint="eastAsia"/>
                <w:color w:val="000000" w:themeColor="text1"/>
              </w:rPr>
              <w:t>）</w:t>
            </w:r>
            <w:r>
              <w:rPr>
                <w:color w:val="000000" w:themeColor="text1"/>
              </w:rPr>
              <w:t>m</w:t>
            </w:r>
            <w:r>
              <w:rPr>
                <w:color w:val="000000" w:themeColor="text1"/>
                <w:vertAlign w:val="superscript"/>
              </w:rPr>
              <w:t>3</w:t>
            </w:r>
            <w:r>
              <w:rPr>
                <w:color w:val="000000" w:themeColor="text1"/>
              </w:rPr>
              <w:t>/s</w:t>
            </w:r>
          </w:p>
          <w:p>
            <w:pPr>
              <w:pStyle w:val="55"/>
              <w:rPr>
                <w:color w:val="000000" w:themeColor="text1"/>
                <w:szCs w:val="24"/>
              </w:rPr>
            </w:pPr>
            <w:r>
              <w:rPr>
                <w:rFonts w:hint="eastAsia"/>
                <w:color w:val="000000" w:themeColor="text1"/>
              </w:rPr>
              <w:t>生态水位：一般水期（</w:t>
            </w:r>
            <w:r>
              <w:rPr>
                <w:color w:val="000000" w:themeColor="text1"/>
              </w:rPr>
              <w:t xml:space="preserve"> </w:t>
            </w:r>
            <w:r>
              <w:rPr>
                <w:rFonts w:hint="eastAsia"/>
                <w:color w:val="000000" w:themeColor="text1"/>
              </w:rPr>
              <w:t>）</w:t>
            </w:r>
            <w:r>
              <w:rPr>
                <w:color w:val="000000" w:themeColor="text1"/>
              </w:rPr>
              <w:t>m</w:t>
            </w:r>
            <w:r>
              <w:rPr>
                <w:rFonts w:hint="eastAsia"/>
                <w:color w:val="000000" w:themeColor="text1"/>
              </w:rPr>
              <w:t>；鱼类繁殖期（</w:t>
            </w:r>
            <w:r>
              <w:rPr>
                <w:color w:val="000000" w:themeColor="text1"/>
              </w:rPr>
              <w:t xml:space="preserve"> </w:t>
            </w:r>
            <w:r>
              <w:rPr>
                <w:rFonts w:hint="eastAsia"/>
                <w:color w:val="000000" w:themeColor="text1"/>
              </w:rPr>
              <w:t>）</w:t>
            </w:r>
            <w:r>
              <w:rPr>
                <w:color w:val="000000" w:themeColor="text1"/>
              </w:rPr>
              <w:t>m</w:t>
            </w:r>
            <w:r>
              <w:rPr>
                <w:rFonts w:hint="eastAsia"/>
                <w:color w:val="000000" w:themeColor="text1"/>
              </w:rPr>
              <w:t>；其他（</w:t>
            </w:r>
            <w:r>
              <w:rPr>
                <w:color w:val="000000" w:themeColor="text1"/>
              </w:rPr>
              <w:t xml:space="preserve"> </w:t>
            </w:r>
            <w:r>
              <w:rPr>
                <w:rFonts w:hint="eastAsia"/>
                <w:color w:val="000000" w:themeColor="text1"/>
              </w:rPr>
              <w:t>）</w:t>
            </w:r>
            <w:r>
              <w:rPr>
                <w:color w:val="000000" w:themeColor="text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567"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防治措施</w:t>
            </w:r>
          </w:p>
        </w:tc>
        <w:tc>
          <w:tcPr>
            <w:tcW w:w="16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环保措施</w:t>
            </w:r>
          </w:p>
        </w:tc>
        <w:tc>
          <w:tcPr>
            <w:tcW w:w="6778" w:type="dxa"/>
            <w:gridSpan w:val="11"/>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污水处理设施</w:t>
            </w:r>
            <w:r>
              <w:rPr>
                <w:rFonts w:hint="eastAsia" w:ascii="MS Mincho" w:hAnsi="MS Mincho" w:eastAsia="MS Mincho" w:cs="MS Mincho"/>
                <w:color w:val="000000" w:themeColor="text1"/>
                <w:szCs w:val="21"/>
              </w:rPr>
              <w:t>☑</w:t>
            </w:r>
            <w:r>
              <w:rPr>
                <w:rFonts w:hint="eastAsia"/>
                <w:color w:val="000000" w:themeColor="text1"/>
              </w:rPr>
              <w:t>；水文减缓设施</w:t>
            </w:r>
            <w:r>
              <w:rPr>
                <w:color w:val="000000" w:themeColor="text1"/>
              </w:rPr>
              <w:t xml:space="preserve"> </w:t>
            </w:r>
            <w:r>
              <w:rPr>
                <w:color w:val="000000" w:themeColor="text1"/>
                <w:szCs w:val="21"/>
              </w:rPr>
              <w:sym w:font="Wingdings 2" w:char="00A3"/>
            </w:r>
            <w:r>
              <w:rPr>
                <w:rFonts w:hint="eastAsia"/>
                <w:color w:val="000000" w:themeColor="text1"/>
              </w:rPr>
              <w:t>；生态流量保障设施</w:t>
            </w:r>
            <w:r>
              <w:rPr>
                <w:color w:val="000000" w:themeColor="text1"/>
              </w:rPr>
              <w:t xml:space="preserve"> </w:t>
            </w:r>
            <w:r>
              <w:rPr>
                <w:color w:val="000000" w:themeColor="text1"/>
                <w:szCs w:val="21"/>
              </w:rPr>
              <w:sym w:font="Wingdings 2" w:char="00A3"/>
            </w:r>
            <w:r>
              <w:rPr>
                <w:rFonts w:hint="eastAsia"/>
                <w:color w:val="000000" w:themeColor="text1"/>
              </w:rPr>
              <w:t>；区域削减</w:t>
            </w:r>
            <w:r>
              <w:rPr>
                <w:color w:val="000000" w:themeColor="text1"/>
              </w:rPr>
              <w:t xml:space="preserve"> </w:t>
            </w:r>
            <w:r>
              <w:rPr>
                <w:color w:val="000000" w:themeColor="text1"/>
                <w:szCs w:val="21"/>
              </w:rPr>
              <w:sym w:font="Wingdings 2" w:char="00A3"/>
            </w:r>
            <w:r>
              <w:rPr>
                <w:rFonts w:hint="eastAsia"/>
                <w:color w:val="000000" w:themeColor="text1"/>
              </w:rPr>
              <w:t>；依托其他工程措施</w:t>
            </w:r>
            <w:r>
              <w:rPr>
                <w:color w:val="000000" w:themeColor="text1"/>
              </w:rPr>
              <w:t xml:space="preserve"> </w:t>
            </w:r>
            <w:r>
              <w:rPr>
                <w:color w:val="000000" w:themeColor="text1"/>
                <w:szCs w:val="21"/>
              </w:rPr>
              <w:sym w:font="Wingdings 2" w:char="00A3"/>
            </w:r>
            <w:r>
              <w:rPr>
                <w:rFonts w:hint="eastAsia"/>
                <w:color w:val="000000" w:themeColor="text1"/>
              </w:rPr>
              <w:t>；其他</w:t>
            </w:r>
            <w:r>
              <w:rPr>
                <w:color w:val="000000" w:themeColor="text1"/>
              </w:rPr>
              <w:t xml:space="preserve"> </w:t>
            </w:r>
            <w:r>
              <w:rPr>
                <w:color w:val="000000" w:themeColor="text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1676"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监测计划</w:t>
            </w:r>
          </w:p>
        </w:tc>
        <w:tc>
          <w:tcPr>
            <w:tcW w:w="2440"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color w:val="000000" w:themeColor="text1"/>
              </w:rPr>
              <w:t>-</w:t>
            </w:r>
          </w:p>
        </w:tc>
        <w:tc>
          <w:tcPr>
            <w:tcW w:w="2168" w:type="dxa"/>
            <w:gridSpan w:val="4"/>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环境质量</w:t>
            </w:r>
          </w:p>
        </w:tc>
        <w:tc>
          <w:tcPr>
            <w:tcW w:w="2170" w:type="dxa"/>
            <w:gridSpan w:val="4"/>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167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2440"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监测方式</w:t>
            </w:r>
          </w:p>
        </w:tc>
        <w:tc>
          <w:tcPr>
            <w:tcW w:w="2168" w:type="dxa"/>
            <w:gridSpan w:val="4"/>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手动</w:t>
            </w:r>
            <w:r>
              <w:rPr>
                <w:color w:val="000000" w:themeColor="text1"/>
              </w:rPr>
              <w:t xml:space="preserve"> </w:t>
            </w:r>
            <w:r>
              <w:rPr>
                <w:color w:val="000000" w:themeColor="text1"/>
                <w:szCs w:val="21"/>
              </w:rPr>
              <w:sym w:font="Wingdings 2" w:char="00A3"/>
            </w:r>
            <w:r>
              <w:rPr>
                <w:rFonts w:hint="eastAsia"/>
                <w:color w:val="000000" w:themeColor="text1"/>
              </w:rPr>
              <w:t>；自动</w:t>
            </w:r>
            <w:r>
              <w:rPr>
                <w:color w:val="000000" w:themeColor="text1"/>
              </w:rPr>
              <w:t xml:space="preserve"> </w:t>
            </w:r>
            <w:r>
              <w:rPr>
                <w:color w:val="000000" w:themeColor="text1"/>
                <w:szCs w:val="21"/>
              </w:rPr>
              <w:sym w:font="Wingdings 2" w:char="00A3"/>
            </w:r>
            <w:r>
              <w:rPr>
                <w:rFonts w:hint="eastAsia"/>
                <w:color w:val="000000" w:themeColor="text1"/>
              </w:rPr>
              <w:t>；无监测</w:t>
            </w:r>
            <w:r>
              <w:rPr>
                <w:color w:val="000000" w:themeColor="text1"/>
              </w:rPr>
              <w:t xml:space="preserve"> </w:t>
            </w:r>
            <w:r>
              <w:rPr>
                <w:color w:val="000000" w:themeColor="text1"/>
                <w:szCs w:val="21"/>
              </w:rPr>
              <w:sym w:font="Wingdings 2" w:char="00A3"/>
            </w:r>
          </w:p>
        </w:tc>
        <w:tc>
          <w:tcPr>
            <w:tcW w:w="2170" w:type="dxa"/>
            <w:gridSpan w:val="4"/>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手动</w:t>
            </w:r>
            <w:r>
              <w:rPr>
                <w:color w:val="000000" w:themeColor="text1"/>
              </w:rPr>
              <w:t xml:space="preserve"> </w:t>
            </w:r>
            <w:r>
              <w:rPr>
                <w:rFonts w:hint="eastAsia" w:ascii="MS Mincho" w:hAnsi="MS Mincho" w:eastAsia="MS Mincho" w:cs="MS Mincho"/>
                <w:color w:val="000000" w:themeColor="text1"/>
                <w:szCs w:val="21"/>
              </w:rPr>
              <w:t>☑</w:t>
            </w:r>
            <w:r>
              <w:rPr>
                <w:rFonts w:hint="eastAsia"/>
                <w:color w:val="000000" w:themeColor="text1"/>
              </w:rPr>
              <w:t>；自动</w:t>
            </w:r>
            <w:r>
              <w:rPr>
                <w:color w:val="000000" w:themeColor="text1"/>
              </w:rPr>
              <w:t xml:space="preserve"> </w:t>
            </w:r>
            <w:r>
              <w:rPr>
                <w:color w:val="000000" w:themeColor="text1"/>
                <w:szCs w:val="21"/>
              </w:rPr>
              <w:sym w:font="Wingdings 2" w:char="00A3"/>
            </w:r>
            <w:r>
              <w:rPr>
                <w:rFonts w:hint="eastAsia"/>
                <w:color w:val="000000" w:themeColor="text1"/>
              </w:rPr>
              <w:t>；无监测</w:t>
            </w:r>
            <w:r>
              <w:rPr>
                <w:color w:val="000000" w:themeColor="text1"/>
              </w:rPr>
              <w:t xml:space="preserve"> </w:t>
            </w:r>
            <w:r>
              <w:rPr>
                <w:color w:val="000000" w:themeColor="text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167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2440"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监测点位</w:t>
            </w:r>
          </w:p>
        </w:tc>
        <w:tc>
          <w:tcPr>
            <w:tcW w:w="2168" w:type="dxa"/>
            <w:gridSpan w:val="4"/>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w:t>
            </w:r>
            <w:r>
              <w:rPr>
                <w:color w:val="000000" w:themeColor="text1"/>
              </w:rPr>
              <w:t xml:space="preserve"> </w:t>
            </w:r>
            <w:r>
              <w:rPr>
                <w:rFonts w:hint="eastAsia"/>
                <w:color w:val="000000" w:themeColor="text1"/>
              </w:rPr>
              <w:t>）</w:t>
            </w:r>
          </w:p>
        </w:tc>
        <w:tc>
          <w:tcPr>
            <w:tcW w:w="2170" w:type="dxa"/>
            <w:gridSpan w:val="4"/>
            <w:tcBorders>
              <w:top w:val="single" w:color="auto" w:sz="4" w:space="0"/>
              <w:left w:val="single" w:color="auto" w:sz="4" w:space="0"/>
              <w:bottom w:val="single" w:color="auto" w:sz="4" w:space="0"/>
              <w:right w:val="single" w:color="auto" w:sz="4" w:space="0"/>
            </w:tcBorders>
            <w:vAlign w:val="center"/>
          </w:tcPr>
          <w:p>
            <w:pPr>
              <w:pStyle w:val="55"/>
              <w:jc w:val="both"/>
              <w:rPr>
                <w:color w:val="000000" w:themeColor="text1"/>
                <w:szCs w:val="24"/>
              </w:rPr>
            </w:pPr>
            <w:r>
              <w:rPr>
                <w:rFonts w:hint="eastAsia"/>
                <w:color w:val="000000" w:themeColor="text1"/>
              </w:rPr>
              <w:t>（污水处理站进出口）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167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2440"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监测因子</w:t>
            </w:r>
          </w:p>
        </w:tc>
        <w:tc>
          <w:tcPr>
            <w:tcW w:w="2168" w:type="dxa"/>
            <w:gridSpan w:val="4"/>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w:t>
            </w:r>
            <w:r>
              <w:rPr>
                <w:color w:val="000000" w:themeColor="text1"/>
              </w:rPr>
              <w:t xml:space="preserve"> </w:t>
            </w:r>
            <w:r>
              <w:rPr>
                <w:rFonts w:hint="eastAsia"/>
                <w:color w:val="000000" w:themeColor="text1"/>
              </w:rPr>
              <w:t>）</w:t>
            </w:r>
          </w:p>
        </w:tc>
        <w:tc>
          <w:tcPr>
            <w:tcW w:w="2170" w:type="dxa"/>
            <w:gridSpan w:val="4"/>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szCs w:val="24"/>
              </w:rPr>
            </w:pPr>
            <w:r>
              <w:rPr>
                <w:rFonts w:hint="eastAsia"/>
                <w:color w:val="000000" w:themeColor="text1"/>
              </w:rPr>
              <w:t>（</w:t>
            </w:r>
            <w:r>
              <w:rPr>
                <w:color w:val="000000" w:themeColor="text1"/>
                <w:szCs w:val="24"/>
              </w:rPr>
              <w:t>COD</w:t>
            </w:r>
            <w:r>
              <w:rPr>
                <w:rFonts w:hint="eastAsia"/>
                <w:color w:val="000000" w:themeColor="text1"/>
                <w:szCs w:val="24"/>
              </w:rPr>
              <w:t>；</w:t>
            </w:r>
            <w:r>
              <w:rPr>
                <w:color w:val="000000" w:themeColor="text1"/>
                <w:szCs w:val="24"/>
              </w:rPr>
              <w:t>BOD</w:t>
            </w:r>
            <w:r>
              <w:rPr>
                <w:color w:val="000000" w:themeColor="text1"/>
                <w:szCs w:val="24"/>
                <w:vertAlign w:val="subscript"/>
              </w:rPr>
              <w:t>5</w:t>
            </w:r>
            <w:r>
              <w:rPr>
                <w:rFonts w:hint="eastAsia"/>
                <w:color w:val="000000" w:themeColor="text1"/>
                <w:szCs w:val="24"/>
              </w:rPr>
              <w:t>；动植物油；</w:t>
            </w:r>
            <w:r>
              <w:rPr>
                <w:color w:val="000000" w:themeColor="text1"/>
                <w:szCs w:val="24"/>
              </w:rPr>
              <w:t>SS</w:t>
            </w:r>
            <w:r>
              <w:rPr>
                <w:rFonts w:hint="eastAsia"/>
                <w:color w:val="000000" w:themeColor="text1"/>
                <w:szCs w:val="24"/>
              </w:rPr>
              <w:t>；</w:t>
            </w:r>
            <w:r>
              <w:rPr>
                <w:color w:val="000000" w:themeColor="text1"/>
                <w:szCs w:val="24"/>
              </w:rPr>
              <w:t>NH</w:t>
            </w:r>
            <w:r>
              <w:rPr>
                <w:color w:val="000000" w:themeColor="text1"/>
                <w:szCs w:val="24"/>
                <w:vertAlign w:val="subscript"/>
              </w:rPr>
              <w:t>3</w:t>
            </w:r>
            <w:r>
              <w:rPr>
                <w:color w:val="000000" w:themeColor="text1"/>
                <w:szCs w:val="24"/>
              </w:rPr>
              <w:t>-N</w:t>
            </w:r>
            <w:r>
              <w:rPr>
                <w:rFonts w:hint="eastAsia"/>
                <w:color w:val="000000" w:themeColor="text1"/>
                <w:szCs w:val="24"/>
              </w:rPr>
              <w:t>；大肠菌群数等</w:t>
            </w:r>
            <w:r>
              <w:rPr>
                <w:rFonts w:hint="eastAsia"/>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167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szCs w:val="24"/>
              </w:rPr>
            </w:pPr>
            <w:r>
              <w:rPr>
                <w:rFonts w:hint="eastAsia"/>
                <w:color w:val="000000" w:themeColor="text1"/>
              </w:rPr>
              <w:t>污染物排放清单</w:t>
            </w:r>
          </w:p>
        </w:tc>
        <w:tc>
          <w:tcPr>
            <w:tcW w:w="6778" w:type="dxa"/>
            <w:gridSpan w:val="11"/>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color w:val="000000" w:themeColor="text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p>
        </w:tc>
        <w:tc>
          <w:tcPr>
            <w:tcW w:w="16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评价结论</w:t>
            </w:r>
          </w:p>
        </w:tc>
        <w:tc>
          <w:tcPr>
            <w:tcW w:w="6778" w:type="dxa"/>
            <w:gridSpan w:val="11"/>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可以接受</w:t>
            </w:r>
            <w:r>
              <w:rPr>
                <w:color w:val="000000" w:themeColor="text1"/>
              </w:rPr>
              <w:t xml:space="preserve"> </w:t>
            </w:r>
            <w:r>
              <w:rPr>
                <w:rFonts w:hint="eastAsia" w:ascii="MS Mincho" w:hAnsi="MS Mincho" w:eastAsia="MS Mincho" w:cs="MS Mincho"/>
                <w:color w:val="000000" w:themeColor="text1"/>
                <w:szCs w:val="21"/>
              </w:rPr>
              <w:t>☑</w:t>
            </w:r>
            <w:r>
              <w:rPr>
                <w:rFonts w:hint="eastAsia"/>
                <w:color w:val="000000" w:themeColor="text1"/>
              </w:rPr>
              <w:t>；不可以接受</w:t>
            </w:r>
            <w:r>
              <w:rPr>
                <w:color w:val="000000" w:themeColor="text1"/>
              </w:rPr>
              <w:t xml:space="preserve"> </w:t>
            </w:r>
            <w:r>
              <w:rPr>
                <w:color w:val="000000" w:themeColor="text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021" w:type="dxa"/>
            <w:gridSpan w:val="13"/>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注：“</w:t>
            </w:r>
            <w:r>
              <w:rPr>
                <w:color w:val="000000" w:themeColor="text1"/>
                <w:szCs w:val="21"/>
              </w:rPr>
              <w:sym w:font="Wingdings 2" w:char="00A3"/>
            </w:r>
            <w:r>
              <w:rPr>
                <w:rFonts w:hint="eastAsia"/>
                <w:color w:val="000000" w:themeColor="text1"/>
              </w:rPr>
              <w:t>”为勾选项，可</w:t>
            </w:r>
            <w:r>
              <w:rPr>
                <w:rFonts w:hint="eastAsia"/>
                <w:color w:val="000000" w:themeColor="text1"/>
                <w:sz w:val="18"/>
                <w:szCs w:val="18"/>
              </w:rPr>
              <w:t>√</w:t>
            </w:r>
            <w:r>
              <w:rPr>
                <w:rFonts w:hint="eastAsia"/>
                <w:color w:val="000000" w:themeColor="text1"/>
              </w:rPr>
              <w:t>；“（）为内容填写项”；“备注”为其他补充内容。</w:t>
            </w:r>
          </w:p>
        </w:tc>
      </w:tr>
    </w:tbl>
    <w:p>
      <w:pPr>
        <w:pStyle w:val="38"/>
        <w:ind w:firstLine="281"/>
        <w:rPr>
          <w:color w:val="000000" w:themeColor="text1"/>
        </w:rPr>
      </w:pPr>
      <w:bookmarkStart w:id="203" w:name="_Toc47375870"/>
      <w:r>
        <w:rPr>
          <w:rFonts w:hint="eastAsia"/>
          <w:color w:val="000000" w:themeColor="text1"/>
        </w:rPr>
        <w:t>6.2.2地下水环境影响预测与评价</w:t>
      </w:r>
      <w:bookmarkEnd w:id="203"/>
    </w:p>
    <w:p>
      <w:pPr>
        <w:pStyle w:val="57"/>
        <w:ind w:firstLine="482"/>
        <w:rPr>
          <w:color w:val="000000" w:themeColor="text1"/>
          <w:szCs w:val="24"/>
        </w:rPr>
      </w:pPr>
      <w:r>
        <w:rPr>
          <w:rFonts w:hint="eastAsia"/>
          <w:color w:val="000000" w:themeColor="text1"/>
          <w:szCs w:val="24"/>
        </w:rPr>
        <w:t>6.2.2.1</w:t>
      </w:r>
      <w:r>
        <w:rPr>
          <w:color w:val="000000" w:themeColor="text1"/>
          <w:szCs w:val="24"/>
        </w:rPr>
        <w:t>项目区域水文</w:t>
      </w:r>
      <w:r>
        <w:rPr>
          <w:rFonts w:hint="eastAsia"/>
          <w:color w:val="000000" w:themeColor="text1"/>
          <w:szCs w:val="24"/>
        </w:rPr>
        <w:t>地质特征</w:t>
      </w:r>
    </w:p>
    <w:p>
      <w:pPr>
        <w:ind w:firstLine="480"/>
        <w:rPr>
          <w:color w:val="000000" w:themeColor="text1"/>
          <w:kern w:val="0"/>
        </w:rPr>
      </w:pPr>
      <w:r>
        <w:rPr>
          <w:rFonts w:hint="eastAsia"/>
          <w:color w:val="000000" w:themeColor="text1"/>
          <w:kern w:val="0"/>
        </w:rPr>
        <w:t>1、项目区水文地质特征</w:t>
      </w:r>
    </w:p>
    <w:p>
      <w:pPr>
        <w:ind w:firstLine="480"/>
        <w:rPr>
          <w:color w:val="000000" w:themeColor="text1"/>
          <w:kern w:val="0"/>
        </w:rPr>
      </w:pPr>
      <w:r>
        <w:rPr>
          <w:rFonts w:hint="eastAsia"/>
          <w:color w:val="000000" w:themeColor="text1"/>
          <w:kern w:val="0"/>
        </w:rPr>
        <w:t>砚山盆地的延伸受北东向构造控制，北宽南窄，宽2-7公里，长22公里，面积128平方公里。砚山盆地为构造溶蚀一堆积盆地。盆地内第三纪地层厚897米，第四纪红土厚5-22米，基底为P</w:t>
      </w:r>
      <w:r>
        <w:rPr>
          <w:rFonts w:hint="eastAsia"/>
          <w:color w:val="000000" w:themeColor="text1"/>
          <w:kern w:val="0"/>
          <w:vertAlign w:val="subscript"/>
        </w:rPr>
        <w:t>1</w:t>
      </w:r>
      <w:r>
        <w:rPr>
          <w:rFonts w:hint="eastAsia"/>
          <w:color w:val="000000" w:themeColor="text1"/>
          <w:kern w:val="0"/>
        </w:rPr>
        <w:t>、T</w:t>
      </w:r>
      <w:r>
        <w:rPr>
          <w:rFonts w:hint="eastAsia"/>
          <w:color w:val="000000" w:themeColor="text1"/>
          <w:kern w:val="0"/>
          <w:vertAlign w:val="subscript"/>
        </w:rPr>
        <w:t>2</w:t>
      </w:r>
      <w:r>
        <w:rPr>
          <w:rFonts w:hint="eastAsia"/>
          <w:color w:val="000000" w:themeColor="text1"/>
          <w:kern w:val="0"/>
        </w:rPr>
        <w:t>g</w:t>
      </w:r>
      <w:r>
        <w:rPr>
          <w:rFonts w:hint="eastAsia"/>
          <w:color w:val="000000" w:themeColor="text1"/>
          <w:kern w:val="0"/>
          <w:vertAlign w:val="superscript"/>
        </w:rPr>
        <w:t>a</w:t>
      </w:r>
      <w:r>
        <w:rPr>
          <w:rFonts w:hint="eastAsia"/>
          <w:color w:val="000000" w:themeColor="text1"/>
          <w:kern w:val="0"/>
        </w:rPr>
        <w:t>灰岩与白云岩。基底在盆地中部、南部的部份地段埋深较浅，多呈溶峰裸露地表。在新第三纪时盆地内裸露的碳酸盐岩曾受到强烈的溶蚀，遗留下二层溶洞及孤峰平原式的石林期剥蚀面。</w:t>
      </w:r>
    </w:p>
    <w:p>
      <w:pPr>
        <w:ind w:firstLine="480"/>
        <w:rPr>
          <w:color w:val="000000" w:themeColor="text1"/>
          <w:kern w:val="0"/>
        </w:rPr>
      </w:pPr>
      <w:r>
        <w:rPr>
          <w:rFonts w:hint="eastAsia"/>
          <w:color w:val="000000" w:themeColor="text1"/>
          <w:kern w:val="0"/>
        </w:rPr>
        <w:t>砚山盆地现处于南盘江与红河水系的分水岭地带，海拔1550米，四周为多形态的岩溶地貌类型，南、北两面的峰丛洼地的洼地面低于盆地面，东面峰丛谷地面与盆地面海拔相近，仅西面由下古生界碳酸盐岩构成的岩溶低中山海拔高于盆地面，高程1600-1900米。由此可见，砚山盆地内的地下水主要形成于盆地本身，少量可能依赖于西部山区的补给。</w:t>
      </w:r>
    </w:p>
    <w:p>
      <w:pPr>
        <w:ind w:firstLine="480"/>
        <w:rPr>
          <w:bCs/>
          <w:color w:val="000000" w:themeColor="text1"/>
          <w:kern w:val="0"/>
          <w:szCs w:val="24"/>
        </w:rPr>
      </w:pPr>
      <w:r>
        <w:rPr>
          <w:rFonts w:hint="eastAsia"/>
          <w:color w:val="000000" w:themeColor="text1"/>
          <w:kern w:val="0"/>
        </w:rPr>
        <w:t>评价区位于珠江水系与红河水系分水岭，即树皮～砚山～珠街分水岭的南侧斜坡地段。地层以古生代、中生代海相沉积地层为主，陆相地层出露范围相对较小，评价区内出露的地层由老到新主要为寒武系上统歇场</w:t>
      </w:r>
      <w:r>
        <w:rPr>
          <w:rFonts w:cs="Times New Roman"/>
          <w:color w:val="000000" w:themeColor="text1"/>
          <w:kern w:val="0"/>
        </w:rPr>
        <w:t>组（</w:t>
      </w:r>
      <w:r>
        <w:rPr>
          <w:rFonts w:hint="eastAsia" w:ascii="宋体" w:hAnsi="宋体" w:cs="宋体"/>
          <w:color w:val="000000" w:themeColor="text1"/>
          <w:kern w:val="0"/>
        </w:rPr>
        <w:t>∈</w:t>
      </w:r>
      <w:r>
        <w:rPr>
          <w:rFonts w:cs="Times New Roman"/>
          <w:color w:val="000000" w:themeColor="text1"/>
          <w:kern w:val="0"/>
          <w:vertAlign w:val="subscript"/>
        </w:rPr>
        <w:t>3x</w:t>
      </w:r>
      <w:r>
        <w:rPr>
          <w:rFonts w:cs="Times New Roman"/>
          <w:color w:val="000000" w:themeColor="text1"/>
          <w:kern w:val="0"/>
        </w:rPr>
        <w:t>）</w:t>
      </w:r>
      <w:r>
        <w:rPr>
          <w:rFonts w:hint="eastAsia" w:cs="Times New Roman"/>
          <w:color w:val="000000" w:themeColor="text1"/>
          <w:kern w:val="0"/>
        </w:rPr>
        <w:t>、泥盆系下统</w:t>
      </w:r>
      <w:r>
        <w:rPr>
          <w:rFonts w:hint="eastAsia"/>
          <w:bCs/>
          <w:color w:val="000000" w:themeColor="text1"/>
          <w:kern w:val="0"/>
          <w:szCs w:val="24"/>
        </w:rPr>
        <w:t>坡脚组（</w:t>
      </w:r>
      <w:r>
        <w:rPr>
          <w:bCs/>
          <w:color w:val="000000" w:themeColor="text1"/>
          <w:kern w:val="0"/>
          <w:szCs w:val="24"/>
        </w:rPr>
        <w:t>D</w:t>
      </w:r>
      <w:r>
        <w:rPr>
          <w:bCs/>
          <w:color w:val="000000" w:themeColor="text1"/>
          <w:kern w:val="0"/>
          <w:szCs w:val="24"/>
          <w:vertAlign w:val="subscript"/>
        </w:rPr>
        <w:t>1</w:t>
      </w:r>
      <w:r>
        <w:rPr>
          <w:bCs/>
          <w:color w:val="000000" w:themeColor="text1"/>
          <w:kern w:val="0"/>
          <w:szCs w:val="24"/>
        </w:rPr>
        <w:t>p</w:t>
      </w:r>
      <w:r>
        <w:rPr>
          <w:rFonts w:hint="eastAsia"/>
          <w:bCs/>
          <w:color w:val="000000" w:themeColor="text1"/>
          <w:kern w:val="0"/>
          <w:szCs w:val="24"/>
        </w:rPr>
        <w:t>）、翠峰山组（D</w:t>
      </w:r>
      <w:r>
        <w:rPr>
          <w:rFonts w:hint="eastAsia"/>
          <w:bCs/>
          <w:color w:val="000000" w:themeColor="text1"/>
          <w:kern w:val="0"/>
          <w:szCs w:val="24"/>
          <w:vertAlign w:val="subscript"/>
        </w:rPr>
        <w:t>1</w:t>
      </w:r>
      <w:r>
        <w:rPr>
          <w:rFonts w:hint="eastAsia"/>
          <w:bCs/>
          <w:color w:val="000000" w:themeColor="text1"/>
          <w:kern w:val="0"/>
          <w:szCs w:val="24"/>
        </w:rPr>
        <w:t>c）、芭蕉箐组（D</w:t>
      </w:r>
      <w:r>
        <w:rPr>
          <w:rFonts w:hint="eastAsia"/>
          <w:bCs/>
          <w:color w:val="000000" w:themeColor="text1"/>
          <w:kern w:val="0"/>
          <w:szCs w:val="24"/>
          <w:vertAlign w:val="subscript"/>
        </w:rPr>
        <w:t>1</w:t>
      </w:r>
      <w:r>
        <w:rPr>
          <w:rFonts w:hint="eastAsia"/>
          <w:bCs/>
          <w:color w:val="000000" w:themeColor="text1"/>
          <w:kern w:val="0"/>
          <w:szCs w:val="24"/>
        </w:rPr>
        <w:t>b）。</w:t>
      </w:r>
    </w:p>
    <w:p>
      <w:pPr>
        <w:ind w:firstLine="480"/>
        <w:rPr>
          <w:color w:val="000000" w:themeColor="text1"/>
        </w:rPr>
      </w:pPr>
      <w:r>
        <w:rPr>
          <w:rFonts w:hint="eastAsia"/>
          <w:color w:val="000000" w:themeColor="text1"/>
          <w:kern w:val="0"/>
        </w:rPr>
        <w:t>（1）寒武系统歇场</w:t>
      </w:r>
      <w:r>
        <w:rPr>
          <w:rFonts w:cs="Times New Roman"/>
          <w:color w:val="000000" w:themeColor="text1"/>
          <w:kern w:val="0"/>
        </w:rPr>
        <w:t>组（</w:t>
      </w:r>
      <w:r>
        <w:rPr>
          <w:rFonts w:hint="eastAsia" w:ascii="宋体" w:hAnsi="宋体" w:cs="宋体"/>
          <w:color w:val="000000" w:themeColor="text1"/>
          <w:kern w:val="0"/>
        </w:rPr>
        <w:t>∈</w:t>
      </w:r>
      <w:r>
        <w:rPr>
          <w:rFonts w:cs="Times New Roman"/>
          <w:color w:val="000000" w:themeColor="text1"/>
          <w:kern w:val="0"/>
          <w:vertAlign w:val="subscript"/>
        </w:rPr>
        <w:t>3x</w:t>
      </w:r>
      <w:r>
        <w:rPr>
          <w:rFonts w:cs="Times New Roman"/>
          <w:color w:val="000000" w:themeColor="text1"/>
          <w:kern w:val="0"/>
        </w:rPr>
        <w:t>）</w:t>
      </w:r>
      <w:r>
        <w:rPr>
          <w:rFonts w:hint="eastAsia" w:cs="Times New Roman"/>
          <w:color w:val="000000" w:themeColor="text1"/>
          <w:kern w:val="0"/>
        </w:rPr>
        <w:t>：</w:t>
      </w:r>
      <w:r>
        <w:rPr>
          <w:rFonts w:hint="eastAsia" w:cs="宋体"/>
          <w:color w:val="000000" w:themeColor="text1"/>
        </w:rPr>
        <w:t>出露于本项目所在地，呈北东-南西向展布，分布于F2阻水断层西侧，为布标村地下水主要含水层，岩性主要为中厚层为主白云质灰岩夹泥质条带灰岩夹白云岩，局部夹砂质泥灰岩，钙质及泥质粉砂，该含水层被泥盆系下统坡脚组和翠峰山组弱透水层及F</w:t>
      </w:r>
      <w:r>
        <w:rPr>
          <w:rFonts w:hint="eastAsia" w:cs="宋体"/>
          <w:color w:val="000000" w:themeColor="text1"/>
          <w:vertAlign w:val="subscript"/>
        </w:rPr>
        <w:t>2</w:t>
      </w:r>
      <w:r>
        <w:rPr>
          <w:rFonts w:hint="eastAsia" w:cs="宋体"/>
          <w:color w:val="000000" w:themeColor="text1"/>
        </w:rPr>
        <w:t>阻水断层阻隔，仅在布标一带有泉点出露</w:t>
      </w:r>
      <w:r>
        <w:rPr>
          <w:color w:val="000000" w:themeColor="text1"/>
        </w:rPr>
        <w:t>。</w:t>
      </w:r>
    </w:p>
    <w:p>
      <w:pPr>
        <w:ind w:firstLine="480"/>
        <w:rPr>
          <w:bCs/>
          <w:color w:val="000000" w:themeColor="text1"/>
          <w:kern w:val="0"/>
          <w:szCs w:val="24"/>
        </w:rPr>
      </w:pPr>
      <w:r>
        <w:rPr>
          <w:rFonts w:hint="eastAsia"/>
          <w:color w:val="000000" w:themeColor="text1"/>
        </w:rPr>
        <w:t>F</w:t>
      </w:r>
      <w:r>
        <w:rPr>
          <w:rFonts w:hint="eastAsia"/>
          <w:color w:val="000000" w:themeColor="text1"/>
          <w:vertAlign w:val="subscript"/>
        </w:rPr>
        <w:t>2</w:t>
      </w:r>
      <w:r>
        <w:rPr>
          <w:rFonts w:hint="eastAsia"/>
          <w:color w:val="000000" w:themeColor="text1"/>
        </w:rPr>
        <w:t>断层：分布于项目区东侧，断裂起于文山盆地北侧，向北东约55°左右延伸，经砚山盆地西侧边缘，止于干河东侧约2km处，于砚山盆地内被第四系覆盖，属北东向构造的一条断裂，倾向南东，倾角78°，区域长度30km左右。断层北西盘上升，南东盘下降。</w:t>
      </w:r>
    </w:p>
    <w:p>
      <w:pPr>
        <w:ind w:firstLine="480"/>
        <w:rPr>
          <w:bCs/>
          <w:color w:val="000000" w:themeColor="text1"/>
          <w:kern w:val="0"/>
          <w:szCs w:val="24"/>
        </w:rPr>
      </w:pPr>
      <w:r>
        <w:rPr>
          <w:rFonts w:hint="eastAsia"/>
          <w:color w:val="000000" w:themeColor="text1"/>
        </w:rPr>
        <w:t>（2）</w:t>
      </w:r>
      <w:r>
        <w:rPr>
          <w:rFonts w:hint="eastAsia" w:cs="Times New Roman"/>
          <w:color w:val="000000" w:themeColor="text1"/>
          <w:kern w:val="0"/>
        </w:rPr>
        <w:t>泥盆系下统</w:t>
      </w:r>
      <w:r>
        <w:rPr>
          <w:rFonts w:hint="eastAsia"/>
          <w:bCs/>
          <w:color w:val="000000" w:themeColor="text1"/>
          <w:kern w:val="0"/>
          <w:szCs w:val="24"/>
        </w:rPr>
        <w:t>坡脚组（</w:t>
      </w:r>
      <w:r>
        <w:rPr>
          <w:bCs/>
          <w:color w:val="000000" w:themeColor="text1"/>
          <w:kern w:val="0"/>
          <w:szCs w:val="24"/>
        </w:rPr>
        <w:t>D</w:t>
      </w:r>
      <w:r>
        <w:rPr>
          <w:bCs/>
          <w:color w:val="000000" w:themeColor="text1"/>
          <w:kern w:val="0"/>
          <w:szCs w:val="24"/>
          <w:vertAlign w:val="subscript"/>
        </w:rPr>
        <w:t>1</w:t>
      </w:r>
      <w:r>
        <w:rPr>
          <w:bCs/>
          <w:color w:val="000000" w:themeColor="text1"/>
          <w:kern w:val="0"/>
          <w:szCs w:val="24"/>
        </w:rPr>
        <w:t>p</w:t>
      </w:r>
      <w:r>
        <w:rPr>
          <w:rFonts w:hint="eastAsia"/>
          <w:bCs/>
          <w:color w:val="000000" w:themeColor="text1"/>
          <w:kern w:val="0"/>
          <w:szCs w:val="24"/>
        </w:rPr>
        <w:t>）：主要分布于调查区北侧，项目区北侧及西侧，与翠峰山组整合接触，岩性为泥岩及泥质粉砂岩，富水性较弱，主要构成调查评价区北侧弱透水边界，厚43-264m。</w:t>
      </w:r>
    </w:p>
    <w:p>
      <w:pPr>
        <w:ind w:firstLine="480"/>
        <w:rPr>
          <w:bCs/>
          <w:color w:val="000000" w:themeColor="text1"/>
          <w:kern w:val="0"/>
          <w:szCs w:val="24"/>
        </w:rPr>
      </w:pPr>
      <w:r>
        <w:rPr>
          <w:rFonts w:hint="eastAsia"/>
          <w:color w:val="000000" w:themeColor="text1"/>
        </w:rPr>
        <w:t>（3）</w:t>
      </w:r>
      <w:r>
        <w:rPr>
          <w:rFonts w:hint="eastAsia" w:cs="Times New Roman"/>
          <w:color w:val="000000" w:themeColor="text1"/>
          <w:kern w:val="0"/>
        </w:rPr>
        <w:t>泥盆系下统</w:t>
      </w:r>
      <w:r>
        <w:rPr>
          <w:rFonts w:hint="eastAsia"/>
          <w:bCs/>
          <w:color w:val="000000" w:themeColor="text1"/>
          <w:kern w:val="0"/>
          <w:szCs w:val="24"/>
        </w:rPr>
        <w:t>翠峰山组（D</w:t>
      </w:r>
      <w:r>
        <w:rPr>
          <w:rFonts w:hint="eastAsia"/>
          <w:bCs/>
          <w:color w:val="000000" w:themeColor="text1"/>
          <w:kern w:val="0"/>
          <w:szCs w:val="24"/>
          <w:vertAlign w:val="subscript"/>
        </w:rPr>
        <w:t>1</w:t>
      </w:r>
      <w:r>
        <w:rPr>
          <w:rFonts w:hint="eastAsia"/>
          <w:bCs/>
          <w:color w:val="000000" w:themeColor="text1"/>
          <w:kern w:val="0"/>
          <w:szCs w:val="24"/>
        </w:rPr>
        <w:t>c）：主要分布于调查区北侧，项目区北侧及西侧，下部与寒武系呈不整合接触，岩性主要为泥质粉砂岩，石英细砂岩，富水性较弱，主要构成调查评价区南侧弱透水边界，厚91-1334m。</w:t>
      </w:r>
    </w:p>
    <w:p>
      <w:pPr>
        <w:ind w:firstLine="480"/>
        <w:rPr>
          <w:bCs/>
          <w:color w:val="000000" w:themeColor="text1"/>
          <w:kern w:val="0"/>
          <w:szCs w:val="24"/>
        </w:rPr>
      </w:pPr>
      <w:r>
        <w:rPr>
          <w:rFonts w:hint="eastAsia"/>
          <w:color w:val="000000" w:themeColor="text1"/>
          <w:kern w:val="0"/>
        </w:rPr>
        <w:t>（4）芭蕉菁组（D</w:t>
      </w:r>
      <w:r>
        <w:rPr>
          <w:rFonts w:hint="eastAsia"/>
          <w:color w:val="000000" w:themeColor="text1"/>
          <w:kern w:val="0"/>
          <w:vertAlign w:val="subscript"/>
        </w:rPr>
        <w:t>1</w:t>
      </w:r>
      <w:r>
        <w:rPr>
          <w:rFonts w:hint="eastAsia"/>
          <w:color w:val="000000" w:themeColor="text1"/>
          <w:kern w:val="0"/>
        </w:rPr>
        <w:t>b）：主要分布于调查区北侧，项目区北侧，成条带状近东西走向展布，与坡脚组整合接触，岩性为白云岩、白云质灰岩、泥灰岩，富水性强，厚50-335m。本项目</w:t>
      </w:r>
      <w:r>
        <w:rPr>
          <w:rFonts w:hint="eastAsia"/>
          <w:bCs/>
          <w:color w:val="000000" w:themeColor="text1"/>
          <w:kern w:val="0"/>
          <w:szCs w:val="24"/>
        </w:rPr>
        <w:t>区地下水水文条件见图6.2.2-1。</w:t>
      </w:r>
    </w:p>
    <w:p>
      <w:pPr>
        <w:pStyle w:val="54"/>
        <w:rPr>
          <w:color w:val="000000" w:themeColor="text1"/>
          <w:kern w:val="0"/>
        </w:rPr>
      </w:pPr>
      <w:r>
        <w:rPr>
          <w:color w:val="000000" w:themeColor="text1"/>
          <w:kern w:val="0"/>
        </w:rPr>
        <w:pict>
          <v:shape id="_x0000_s1348" o:spid="_x0000_s1348" o:spt="13" type="#_x0000_t13" style="position:absolute;left:0pt;margin-left:212.25pt;margin-top:159.3pt;height:25.5pt;width:50.25pt;rotation:-2087442f;z-index:251661312;mso-width-relative:page;mso-height-relative:page;" fillcolor="#548DD4" filled="t" stroked="t" coordsize="21600,21600">
            <v:path/>
            <v:fill on="t" opacity="45875f" focussize="0,0"/>
            <v:stroke color="#548DD4" joinstyle="miter"/>
            <v:imagedata o:title=""/>
            <o:lock v:ext="edit"/>
          </v:shape>
        </w:pict>
      </w:r>
      <w:r>
        <w:rPr>
          <w:color w:val="000000" w:themeColor="text1"/>
          <w:kern w:val="0"/>
        </w:rPr>
        <w:pict>
          <v:shape id="_x0000_s1347" o:spid="_x0000_s1347" o:spt="32" type="#_x0000_t32" style="position:absolute;left:0pt;flip:x y;margin-left:126.75pt;margin-top:145.65pt;height:13.65pt;width:10.5pt;z-index:251660288;mso-width-relative:page;mso-height-relative:page;" o:connectortype="straight" filled="f" coordsize="21600,21600">
            <v:path arrowok="t"/>
            <v:fill on="f" focussize="0,0"/>
            <v:stroke endarrow="block"/>
            <v:imagedata o:title=""/>
            <o:lock v:ext="edit"/>
          </v:shape>
        </w:pict>
      </w:r>
      <w:r>
        <w:rPr>
          <w:color w:val="000000" w:themeColor="text1"/>
          <w:kern w:val="0"/>
        </w:rPr>
        <w:pict>
          <v:shape id="_x0000_s1346" o:spid="_x0000_s1346" o:spt="202" type="#_x0000_t202" style="position:absolute;left:0pt;margin-left:114.75pt;margin-top:124.05pt;height:21.6pt;width:48.75pt;z-index:251659264;mso-width-relative:page;mso-height-relative:page;" coordsize="21600,21600">
            <v:path/>
            <v:fill focussize="0,0"/>
            <v:stroke joinstyle="miter"/>
            <v:imagedata o:title=""/>
            <o:lock v:ext="edit"/>
            <v:textbox>
              <w:txbxContent>
                <w:p>
                  <w:pPr>
                    <w:spacing w:line="240" w:lineRule="auto"/>
                    <w:ind w:firstLine="0" w:firstLineChars="0"/>
                    <w:rPr>
                      <w:color w:val="FF0000"/>
                      <w:sz w:val="18"/>
                      <w:szCs w:val="18"/>
                    </w:rPr>
                  </w:pPr>
                  <w:r>
                    <w:rPr>
                      <w:color w:val="FF0000"/>
                      <w:sz w:val="18"/>
                      <w:szCs w:val="18"/>
                    </w:rPr>
                    <w:t>本项目</w:t>
                  </w:r>
                </w:p>
              </w:txbxContent>
            </v:textbox>
          </v:shape>
        </w:pict>
      </w:r>
      <w:r>
        <w:rPr>
          <w:color w:val="000000" w:themeColor="text1"/>
          <w:kern w:val="0"/>
        </w:rPr>
        <w:pict>
          <v:shape id="_x0000_s1345" o:spid="_x0000_s1345" style="position:absolute;left:0pt;margin-left:126.75pt;margin-top:151.65pt;height:19.5pt;width:18pt;z-index:251658240;mso-width-relative:page;mso-height-relative:page;" fillcolor="#FF0000" filled="t" stroked="t" coordsize="360,390" path="m255,0l360,105,90,390,0,300,255,0xe">
            <v:path arrowok="t"/>
            <v:fill on="t" focussize="0,0"/>
            <v:stroke weight="1.5pt" color="#FF0000"/>
            <v:imagedata o:title=""/>
            <o:lock v:ext="edit"/>
          </v:shape>
        </w:pict>
      </w:r>
      <w:r>
        <w:rPr>
          <w:rFonts w:hint="eastAsia"/>
          <w:color w:val="000000" w:themeColor="text1"/>
          <w:kern w:val="0"/>
        </w:rPr>
        <w:drawing>
          <wp:inline distT="0" distB="0" distL="0" distR="0">
            <wp:extent cx="5274310" cy="4888865"/>
            <wp:effectExtent l="19050" t="0" r="2540" b="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noChangeArrowheads="1"/>
                    </pic:cNvPicPr>
                  </pic:nvPicPr>
                  <pic:blipFill>
                    <a:blip r:embed="rId30"/>
                    <a:srcRect/>
                    <a:stretch>
                      <a:fillRect/>
                    </a:stretch>
                  </pic:blipFill>
                  <pic:spPr>
                    <a:xfrm>
                      <a:off x="0" y="0"/>
                      <a:ext cx="5274310" cy="4888972"/>
                    </a:xfrm>
                    <a:prstGeom prst="rect">
                      <a:avLst/>
                    </a:prstGeom>
                    <a:noFill/>
                    <a:ln w="9525">
                      <a:noFill/>
                      <a:miter lim="800000"/>
                      <a:headEnd/>
                      <a:tailEnd/>
                    </a:ln>
                  </pic:spPr>
                </pic:pic>
              </a:graphicData>
            </a:graphic>
          </wp:inline>
        </w:drawing>
      </w:r>
    </w:p>
    <w:p>
      <w:pPr>
        <w:pStyle w:val="54"/>
        <w:rPr>
          <w:color w:val="000000" w:themeColor="text1"/>
          <w:kern w:val="0"/>
        </w:rPr>
      </w:pPr>
      <w:r>
        <w:rPr>
          <w:rFonts w:hint="eastAsia"/>
          <w:color w:val="000000" w:themeColor="text1"/>
          <w:kern w:val="0"/>
        </w:rPr>
        <w:t>图6.2.2-1  项目区水文地质图</w:t>
      </w:r>
    </w:p>
    <w:p>
      <w:pPr>
        <w:ind w:firstLine="480"/>
        <w:rPr>
          <w:color w:val="000000" w:themeColor="text1"/>
          <w:kern w:val="0"/>
        </w:rPr>
      </w:pPr>
      <w:r>
        <w:rPr>
          <w:rFonts w:hint="eastAsia"/>
          <w:color w:val="000000" w:themeColor="text1"/>
          <w:kern w:val="0"/>
        </w:rPr>
        <w:t>2、评价区地下水分布特征</w:t>
      </w:r>
    </w:p>
    <w:p>
      <w:pPr>
        <w:ind w:firstLine="480"/>
        <w:rPr>
          <w:color w:val="000000" w:themeColor="text1"/>
          <w:kern w:val="0"/>
        </w:rPr>
      </w:pPr>
      <w:r>
        <w:rPr>
          <w:rFonts w:hint="eastAsia"/>
          <w:color w:val="000000" w:themeColor="text1"/>
          <w:kern w:val="0"/>
        </w:rPr>
        <w:t>根据评价区分布内出露的地层岩性、含水介质及地下水动力条件，区内地下水类型主要为碳酸盐岩类岩溶水。</w:t>
      </w:r>
    </w:p>
    <w:p>
      <w:pPr>
        <w:ind w:firstLine="480"/>
        <w:rPr>
          <w:color w:val="000000" w:themeColor="text1"/>
          <w:kern w:val="0"/>
        </w:rPr>
      </w:pPr>
      <w:r>
        <w:rPr>
          <w:rFonts w:hint="eastAsia"/>
          <w:color w:val="000000" w:themeColor="text1"/>
          <w:kern w:val="0"/>
        </w:rPr>
        <w:t>碳酸盐岩类岩溶水在评价区内分布广泛，为主要的地下水类型，水量丰富。区内主要含水层岩组为</w:t>
      </w:r>
      <w:r>
        <w:rPr>
          <w:rFonts w:hint="eastAsia" w:ascii="宋体" w:hAnsi="宋体" w:cs="宋体"/>
          <w:color w:val="000000" w:themeColor="text1"/>
          <w:kern w:val="0"/>
        </w:rPr>
        <w:t>∈</w:t>
      </w:r>
      <w:r>
        <w:rPr>
          <w:rFonts w:cs="Times New Roman"/>
          <w:color w:val="000000" w:themeColor="text1"/>
          <w:kern w:val="0"/>
          <w:vertAlign w:val="subscript"/>
        </w:rPr>
        <w:t>3x</w:t>
      </w:r>
      <w:r>
        <w:rPr>
          <w:rFonts w:hint="eastAsia"/>
          <w:color w:val="000000" w:themeColor="text1"/>
          <w:kern w:val="0"/>
        </w:rPr>
        <w:t>碳酸盐岩。岩溶水分布不均一，水量悬殊，动态变化显著。岩溶发育，地表峰丛洼地、落水洞分布很多。</w:t>
      </w:r>
    </w:p>
    <w:p>
      <w:pPr>
        <w:ind w:firstLine="480"/>
        <w:rPr>
          <w:color w:val="000000" w:themeColor="text1"/>
          <w:kern w:val="0"/>
        </w:rPr>
      </w:pPr>
      <w:r>
        <w:rPr>
          <w:rFonts w:hint="eastAsia"/>
          <w:color w:val="000000" w:themeColor="text1"/>
          <w:kern w:val="0"/>
        </w:rPr>
        <w:t>区内的主要隔水岩组分布于项目区北侧及西侧一带，主要包括泥盆系下统坡脚组（D</w:t>
      </w:r>
      <w:r>
        <w:rPr>
          <w:rFonts w:hint="eastAsia"/>
          <w:color w:val="000000" w:themeColor="text1"/>
          <w:kern w:val="0"/>
          <w:vertAlign w:val="subscript"/>
        </w:rPr>
        <w:t>1</w:t>
      </w:r>
      <w:r>
        <w:rPr>
          <w:rFonts w:hint="eastAsia"/>
          <w:color w:val="000000" w:themeColor="text1"/>
          <w:kern w:val="0"/>
        </w:rPr>
        <w:t>p）和翠峰山组（D</w:t>
      </w:r>
      <w:r>
        <w:rPr>
          <w:rFonts w:hint="eastAsia"/>
          <w:color w:val="000000" w:themeColor="text1"/>
          <w:kern w:val="0"/>
          <w:vertAlign w:val="subscript"/>
        </w:rPr>
        <w:t>1</w:t>
      </w:r>
      <w:r>
        <w:rPr>
          <w:rFonts w:hint="eastAsia"/>
          <w:color w:val="000000" w:themeColor="text1"/>
          <w:kern w:val="0"/>
        </w:rPr>
        <w:t>c）泥岩及泥质粉砂岩，如前所述，这些基岩裂隙水弱透水层主要构成评价区隔水边界。</w:t>
      </w:r>
    </w:p>
    <w:p>
      <w:pPr>
        <w:ind w:firstLine="480"/>
        <w:rPr>
          <w:color w:val="000000" w:themeColor="text1"/>
          <w:kern w:val="0"/>
        </w:rPr>
      </w:pPr>
      <w:r>
        <w:rPr>
          <w:rFonts w:hint="eastAsia"/>
          <w:color w:val="000000" w:themeColor="text1"/>
          <w:kern w:val="0"/>
        </w:rPr>
        <w:t>3、地下水补给、径流、排泄</w:t>
      </w:r>
    </w:p>
    <w:p>
      <w:pPr>
        <w:ind w:firstLine="480"/>
        <w:rPr>
          <w:color w:val="000000" w:themeColor="text1"/>
          <w:kern w:val="0"/>
        </w:rPr>
      </w:pPr>
      <w:r>
        <w:rPr>
          <w:rFonts w:hint="eastAsia"/>
          <w:color w:val="000000" w:themeColor="text1"/>
          <w:kern w:val="0"/>
        </w:rPr>
        <w:t>（1）补给</w:t>
      </w:r>
    </w:p>
    <w:p>
      <w:pPr>
        <w:ind w:firstLine="480"/>
        <w:rPr>
          <w:color w:val="000000" w:themeColor="text1"/>
          <w:kern w:val="0"/>
        </w:rPr>
      </w:pPr>
      <w:r>
        <w:rPr>
          <w:rFonts w:hint="eastAsia"/>
          <w:color w:val="000000" w:themeColor="text1"/>
          <w:kern w:val="0"/>
        </w:rPr>
        <w:t>评价区以裸露型岩溶为主，大气降雨及上游地下水侧向渗入是主要的补给要素。补给形式为垂直岩溶形态直接渗入、岩溶洼地与落水洞渗入、积水洼地渗透及地块间的转化等多种形式。</w:t>
      </w:r>
    </w:p>
    <w:p>
      <w:pPr>
        <w:ind w:firstLine="480"/>
        <w:rPr>
          <w:color w:val="000000" w:themeColor="text1"/>
          <w:kern w:val="0"/>
        </w:rPr>
      </w:pPr>
      <w:r>
        <w:rPr>
          <w:rFonts w:hint="eastAsia"/>
          <w:color w:val="000000" w:themeColor="text1"/>
          <w:kern w:val="0"/>
        </w:rPr>
        <w:t>①垂向补给：评价区属径流区单元，径流区的大气降雨除直接沿其垂向岩溶形态直接渗入补给外，汇集于岩溶洼地内地表水消入落水洞补给地下水。因此成为评价区非常重要的垂向补给形式，渗入系数0.638-0.836。</w:t>
      </w:r>
    </w:p>
    <w:p>
      <w:pPr>
        <w:ind w:firstLine="480"/>
        <w:rPr>
          <w:color w:val="000000" w:themeColor="text1"/>
          <w:kern w:val="0"/>
        </w:rPr>
      </w:pPr>
      <w:r>
        <w:rPr>
          <w:rFonts w:hint="eastAsia"/>
          <w:color w:val="000000" w:themeColor="text1"/>
          <w:kern w:val="0"/>
        </w:rPr>
        <w:t>②侧向补给：评价区接受上游岩溶水及基岩裂隙水的侧向补给。上游岩溶水沿径流区补给评价区，受到布标西侧一带D</w:t>
      </w:r>
      <w:r>
        <w:rPr>
          <w:rFonts w:hint="eastAsia"/>
          <w:color w:val="000000" w:themeColor="text1"/>
          <w:kern w:val="0"/>
          <w:vertAlign w:val="subscript"/>
        </w:rPr>
        <w:t>1</w:t>
      </w:r>
      <w:r>
        <w:rPr>
          <w:rFonts w:hint="eastAsia"/>
          <w:color w:val="000000" w:themeColor="text1"/>
          <w:kern w:val="0"/>
        </w:rPr>
        <w:t>p、D</w:t>
      </w:r>
      <w:r>
        <w:rPr>
          <w:rFonts w:hint="eastAsia"/>
          <w:color w:val="000000" w:themeColor="text1"/>
          <w:kern w:val="0"/>
          <w:vertAlign w:val="subscript"/>
        </w:rPr>
        <w:t>1</w:t>
      </w:r>
      <w:r>
        <w:rPr>
          <w:rFonts w:hint="eastAsia"/>
          <w:color w:val="000000" w:themeColor="text1"/>
          <w:kern w:val="0"/>
        </w:rPr>
        <w:t>c碎屑岩的阻隔及F</w:t>
      </w:r>
      <w:r>
        <w:rPr>
          <w:rFonts w:hint="eastAsia"/>
          <w:color w:val="000000" w:themeColor="text1"/>
          <w:kern w:val="0"/>
          <w:vertAlign w:val="subscript"/>
        </w:rPr>
        <w:t>2</w:t>
      </w:r>
      <w:r>
        <w:rPr>
          <w:rFonts w:hint="eastAsia"/>
          <w:color w:val="000000" w:themeColor="text1"/>
          <w:kern w:val="0"/>
        </w:rPr>
        <w:t>阻水断层的控制，在布标村附近以泉的形式出露。</w:t>
      </w:r>
    </w:p>
    <w:p>
      <w:pPr>
        <w:ind w:firstLine="480"/>
        <w:rPr>
          <w:color w:val="000000" w:themeColor="text1"/>
          <w:kern w:val="0"/>
        </w:rPr>
      </w:pPr>
      <w:r>
        <w:rPr>
          <w:rFonts w:hint="eastAsia"/>
          <w:color w:val="000000" w:themeColor="text1"/>
          <w:kern w:val="0"/>
        </w:rPr>
        <w:t>（2）径流</w:t>
      </w:r>
    </w:p>
    <w:p>
      <w:pPr>
        <w:ind w:firstLine="480"/>
        <w:rPr>
          <w:color w:val="000000" w:themeColor="text1"/>
          <w:kern w:val="0"/>
        </w:rPr>
      </w:pPr>
      <w:r>
        <w:rPr>
          <w:rFonts w:hint="eastAsia"/>
          <w:color w:val="000000" w:themeColor="text1"/>
          <w:kern w:val="0"/>
        </w:rPr>
        <w:t>评价区属于红河、 珠江水系分水岭北侧珠江水系，分水岭东起珠街、阿猛、刘诏、砚山折而向北经长岭，树皮为止。分水岭处的岩溶地貌以残丘坡地、峰丛洼地、谷地，岩溶低中山等类型为主，构成补给区。珠江水系自分水岭向北径流排泄。径流区的主要地貌为峰丛洼地、溶丘洼地，排泄区多为岩溶峡谷、槽谷。</w:t>
      </w:r>
    </w:p>
    <w:p>
      <w:pPr>
        <w:ind w:firstLine="480"/>
        <w:rPr>
          <w:color w:val="000000" w:themeColor="text1"/>
          <w:kern w:val="0"/>
        </w:rPr>
      </w:pPr>
      <w:r>
        <w:rPr>
          <w:rFonts w:hint="eastAsia"/>
          <w:color w:val="000000" w:themeColor="text1"/>
          <w:kern w:val="0"/>
        </w:rPr>
        <w:t>评价区主要的补给方式是接受大气降雨的垂直补给及上游岩溶水的层间补给，之后形成地下径流；径流区以峰丛洼地、溶丘洼地为主。</w:t>
      </w:r>
    </w:p>
    <w:p>
      <w:pPr>
        <w:ind w:firstLine="480"/>
        <w:rPr>
          <w:color w:val="000000" w:themeColor="text1"/>
          <w:kern w:val="0"/>
        </w:rPr>
      </w:pPr>
      <w:r>
        <w:rPr>
          <w:rFonts w:hint="eastAsia"/>
          <w:color w:val="000000" w:themeColor="text1"/>
          <w:kern w:val="0"/>
        </w:rPr>
        <w:t>（3）排泄</w:t>
      </w:r>
    </w:p>
    <w:p>
      <w:pPr>
        <w:ind w:firstLine="480"/>
        <w:rPr>
          <w:color w:val="000000" w:themeColor="text1"/>
          <w:kern w:val="0"/>
        </w:rPr>
      </w:pPr>
      <w:r>
        <w:rPr>
          <w:rFonts w:hint="eastAsia"/>
          <w:color w:val="000000" w:themeColor="text1"/>
          <w:kern w:val="0"/>
        </w:rPr>
        <w:t>表现有垂向排泄和水平向排泄两种。垂向排泄表现在岩溶湖、积水洼地的水面蒸发以及植物蒸腾、土壤蒸发，水平排泄为评价区的主要排泄方式，具体以泉点、断层导流等方式。</w:t>
      </w:r>
    </w:p>
    <w:p>
      <w:pPr>
        <w:ind w:firstLine="480"/>
        <w:rPr>
          <w:color w:val="000000" w:themeColor="text1"/>
          <w:kern w:val="0"/>
        </w:rPr>
      </w:pPr>
      <w:r>
        <w:rPr>
          <w:rFonts w:hint="eastAsia"/>
          <w:color w:val="000000" w:themeColor="text1"/>
          <w:kern w:val="0"/>
        </w:rPr>
        <w:t>岩溶区地下水主要以泉点（布标泉点）及断层导流（评价区东侧的F</w:t>
      </w:r>
      <w:r>
        <w:rPr>
          <w:rFonts w:hint="eastAsia"/>
          <w:color w:val="000000" w:themeColor="text1"/>
          <w:kern w:val="0"/>
          <w:vertAlign w:val="subscript"/>
        </w:rPr>
        <w:t>2</w:t>
      </w:r>
      <w:r>
        <w:rPr>
          <w:rFonts w:hint="eastAsia"/>
          <w:color w:val="000000" w:themeColor="text1"/>
          <w:kern w:val="0"/>
        </w:rPr>
        <w:t>）的形式集中排泄。</w:t>
      </w:r>
    </w:p>
    <w:p>
      <w:pPr>
        <w:pStyle w:val="57"/>
        <w:ind w:firstLine="482"/>
        <w:rPr>
          <w:color w:val="000000" w:themeColor="text1"/>
        </w:rPr>
      </w:pPr>
      <w:r>
        <w:rPr>
          <w:rFonts w:hint="eastAsia"/>
          <w:color w:val="000000" w:themeColor="text1"/>
        </w:rPr>
        <w:t>6.2.2.2评价等级与评价范围</w:t>
      </w:r>
    </w:p>
    <w:p>
      <w:pPr>
        <w:ind w:firstLine="480"/>
        <w:rPr>
          <w:color w:val="000000" w:themeColor="text1"/>
        </w:rPr>
      </w:pPr>
      <w:r>
        <w:rPr>
          <w:rFonts w:hint="eastAsia"/>
          <w:color w:val="000000" w:themeColor="text1"/>
        </w:rPr>
        <w:t>根据《环境影响评价技术导则</w:t>
      </w:r>
      <w:r>
        <w:rPr>
          <w:color w:val="000000" w:themeColor="text1"/>
        </w:rPr>
        <w:t xml:space="preserve">  </w:t>
      </w:r>
      <w:r>
        <w:rPr>
          <w:rFonts w:hint="eastAsia"/>
          <w:color w:val="000000" w:themeColor="text1"/>
        </w:rPr>
        <w:t>地下水环境》（</w:t>
      </w:r>
      <w:r>
        <w:rPr>
          <w:color w:val="000000" w:themeColor="text1"/>
        </w:rPr>
        <w:t>HJ</w:t>
      </w:r>
      <w:r>
        <w:rPr>
          <w:rFonts w:hint="eastAsia"/>
          <w:color w:val="000000" w:themeColor="text1"/>
        </w:rPr>
        <w:t xml:space="preserve"> </w:t>
      </w:r>
      <w:r>
        <w:rPr>
          <w:color w:val="000000" w:themeColor="text1"/>
        </w:rPr>
        <w:t>610-2016</w:t>
      </w:r>
      <w:r>
        <w:rPr>
          <w:rFonts w:hint="eastAsia"/>
          <w:color w:val="000000" w:themeColor="text1"/>
        </w:rPr>
        <w:t>）中附录</w:t>
      </w:r>
      <w:r>
        <w:rPr>
          <w:color w:val="000000" w:themeColor="text1"/>
        </w:rPr>
        <w:t>A</w:t>
      </w:r>
      <w:r>
        <w:rPr>
          <w:rFonts w:hint="eastAsia"/>
          <w:color w:val="000000" w:themeColor="text1"/>
        </w:rPr>
        <w:t>相关内容，本项目属于第</w:t>
      </w:r>
      <w:r>
        <w:rPr>
          <w:color w:val="000000" w:themeColor="text1"/>
        </w:rPr>
        <w:t>N</w:t>
      </w:r>
      <w:r>
        <w:rPr>
          <w:rFonts w:hint="eastAsia"/>
          <w:color w:val="000000" w:themeColor="text1"/>
        </w:rPr>
        <w:t>项</w:t>
      </w:r>
      <w:r>
        <w:rPr>
          <w:color w:val="000000" w:themeColor="text1"/>
        </w:rPr>
        <w:t>“</w:t>
      </w:r>
      <w:r>
        <w:rPr>
          <w:rFonts w:hint="eastAsia"/>
          <w:color w:val="000000" w:themeColor="text1"/>
        </w:rPr>
        <w:t>轻工</w:t>
      </w:r>
      <w:r>
        <w:rPr>
          <w:color w:val="000000" w:themeColor="text1"/>
        </w:rPr>
        <w:t>”</w:t>
      </w:r>
      <w:r>
        <w:rPr>
          <w:rFonts w:hint="eastAsia"/>
          <w:color w:val="000000" w:themeColor="text1"/>
        </w:rPr>
        <w:t>中第</w:t>
      </w:r>
      <w:r>
        <w:rPr>
          <w:color w:val="000000" w:themeColor="text1"/>
        </w:rPr>
        <w:t>98</w:t>
      </w:r>
      <w:r>
        <w:rPr>
          <w:rFonts w:hint="eastAsia"/>
          <w:color w:val="000000" w:themeColor="text1"/>
        </w:rPr>
        <w:t>小项</w:t>
      </w:r>
      <w:r>
        <w:rPr>
          <w:color w:val="000000" w:themeColor="text1"/>
        </w:rPr>
        <w:t>“</w:t>
      </w:r>
      <w:r>
        <w:rPr>
          <w:rFonts w:hint="eastAsia"/>
          <w:color w:val="000000" w:themeColor="text1"/>
        </w:rPr>
        <w:t>屠宰</w:t>
      </w:r>
      <w:r>
        <w:rPr>
          <w:color w:val="000000" w:themeColor="text1"/>
        </w:rPr>
        <w:t>”</w:t>
      </w:r>
      <w:r>
        <w:rPr>
          <w:rFonts w:hint="eastAsia"/>
          <w:color w:val="000000" w:themeColor="text1"/>
        </w:rPr>
        <w:t>，由此确定，本项目为</w:t>
      </w:r>
      <w:r>
        <w:rPr>
          <w:color w:val="000000" w:themeColor="text1"/>
        </w:rPr>
        <w:t>III</w:t>
      </w:r>
      <w:r>
        <w:rPr>
          <w:rFonts w:hint="eastAsia"/>
          <w:color w:val="000000" w:themeColor="text1"/>
        </w:rPr>
        <w:t>类建设项目。</w:t>
      </w:r>
    </w:p>
    <w:p>
      <w:pPr>
        <w:ind w:firstLine="480"/>
        <w:rPr>
          <w:bCs/>
          <w:color w:val="000000" w:themeColor="text1"/>
        </w:rPr>
      </w:pPr>
      <w:r>
        <w:rPr>
          <w:rFonts w:hint="eastAsia"/>
          <w:color w:val="000000" w:themeColor="text1"/>
        </w:rPr>
        <w:t>本项目选址位于</w:t>
      </w:r>
      <w:r>
        <w:rPr>
          <w:rStyle w:val="52"/>
          <w:rFonts w:hint="eastAsia"/>
          <w:b w:val="0"/>
          <w:bCs w:val="0"/>
          <w:i w:val="0"/>
          <w:iCs w:val="0"/>
          <w:color w:val="000000" w:themeColor="text1"/>
          <w:szCs w:val="24"/>
        </w:rPr>
        <w:t>砚山县干河乡小龙白村西北侧500m处</w:t>
      </w:r>
      <w:r>
        <w:rPr>
          <w:rFonts w:hint="eastAsia"/>
          <w:color w:val="000000" w:themeColor="text1"/>
        </w:rPr>
        <w:t>，不在砚山县集中式饮用水源划定的一、二级保护区及准保护区范围内，不在其补给径流区；</w:t>
      </w:r>
      <w:r>
        <w:rPr>
          <w:rFonts w:hint="eastAsia"/>
          <w:bCs/>
          <w:color w:val="000000" w:themeColor="text1"/>
        </w:rPr>
        <w:t>经调查，评价范围内周边分布有自然村，主要使用自来水，地下水环境敏感程度为不敏感，因此本项目评价等级为三级，</w:t>
      </w:r>
      <w:r>
        <w:rPr>
          <w:rFonts w:cs="Times New Roman"/>
          <w:color w:val="000000" w:themeColor="text1"/>
        </w:rPr>
        <w:t>确定本次环境影响评价的范围为以项目厂址为中心，周边6km</w:t>
      </w:r>
      <w:r>
        <w:rPr>
          <w:rFonts w:cs="Times New Roman"/>
          <w:color w:val="000000" w:themeColor="text1"/>
          <w:vertAlign w:val="superscript"/>
        </w:rPr>
        <w:t>2</w:t>
      </w:r>
      <w:r>
        <w:rPr>
          <w:rFonts w:cs="Times New Roman"/>
          <w:color w:val="000000" w:themeColor="text1"/>
        </w:rPr>
        <w:t>的区域</w:t>
      </w:r>
      <w:r>
        <w:rPr>
          <w:rFonts w:hint="eastAsia" w:cs="Times New Roman"/>
          <w:color w:val="000000" w:themeColor="text1"/>
        </w:rPr>
        <w:t>。</w:t>
      </w:r>
      <w:r>
        <w:rPr>
          <w:rFonts w:hint="eastAsia"/>
          <w:bCs/>
          <w:color w:val="000000" w:themeColor="text1"/>
        </w:rPr>
        <w:t>本次地下水预测根据区域水文地质，项目周边污染源调查，预测并分析本项目对地下水产生的影响。</w:t>
      </w:r>
    </w:p>
    <w:p>
      <w:pPr>
        <w:ind w:firstLine="480"/>
        <w:rPr>
          <w:color w:val="000000" w:themeColor="text1"/>
        </w:rPr>
      </w:pPr>
      <w:r>
        <w:rPr>
          <w:rFonts w:hint="eastAsia"/>
          <w:color w:val="000000" w:themeColor="text1"/>
        </w:rPr>
        <w:t>根据水文地质资料，本项目所在区域地下水受到断层影响，流向为自南西向北东，最终主要在布标一带出露。</w:t>
      </w:r>
    </w:p>
    <w:p>
      <w:pPr>
        <w:pStyle w:val="57"/>
        <w:ind w:firstLine="482"/>
        <w:rPr>
          <w:color w:val="000000" w:themeColor="text1"/>
        </w:rPr>
      </w:pPr>
      <w:r>
        <w:rPr>
          <w:rFonts w:hint="eastAsia"/>
          <w:color w:val="000000" w:themeColor="text1"/>
        </w:rPr>
        <w:t>6.2.2.3地下水环境影响预测</w:t>
      </w:r>
    </w:p>
    <w:p>
      <w:pPr>
        <w:ind w:firstLine="480"/>
        <w:rPr>
          <w:color w:val="000000" w:themeColor="text1"/>
        </w:rPr>
      </w:pPr>
      <w:r>
        <w:rPr>
          <w:rFonts w:hint="eastAsia"/>
          <w:color w:val="000000" w:themeColor="text1"/>
        </w:rPr>
        <w:t>（</w:t>
      </w:r>
      <w:r>
        <w:rPr>
          <w:color w:val="000000" w:themeColor="text1"/>
        </w:rPr>
        <w:t>1</w:t>
      </w:r>
      <w:r>
        <w:rPr>
          <w:rFonts w:hint="eastAsia"/>
          <w:color w:val="000000" w:themeColor="text1"/>
        </w:rPr>
        <w:t>）污染源调查</w:t>
      </w:r>
    </w:p>
    <w:p>
      <w:pPr>
        <w:ind w:firstLine="480"/>
        <w:rPr>
          <w:rFonts w:cs="Times New Roman"/>
          <w:color w:val="000000" w:themeColor="text1"/>
        </w:rPr>
      </w:pPr>
      <w:r>
        <w:rPr>
          <w:rFonts w:hint="eastAsia"/>
          <w:color w:val="000000" w:themeColor="text1"/>
        </w:rPr>
        <w:t>本项目选址地处农村地区，区域污染源主要为农村面源污染。农村面源污染主要是农田中大量使用化肥和农药。</w:t>
      </w:r>
    </w:p>
    <w:p>
      <w:pPr>
        <w:ind w:firstLine="480"/>
        <w:rPr>
          <w:color w:val="000000" w:themeColor="text1"/>
        </w:rPr>
      </w:pPr>
      <w:r>
        <w:rPr>
          <w:rFonts w:hint="eastAsia"/>
          <w:color w:val="000000" w:themeColor="text1"/>
        </w:rPr>
        <w:t>污染物对地下水的影响主要是由于降雨或废水排放等通过垂直渗透进入包气带，进入包气带的污染物在物理、化学和生物作用下经吸附、转化、迁移和分解后输入地下水。因此，包气带是连接地面污染物与地下含水层的主要通道和过渡带，既是污染物媒介体，又是污染物的净化场所和防护层。一般说来，土壤粒细而紧密，渗透性差，则污染慢；反之，颗粒大松散，渗透性能良好则污染重。</w:t>
      </w:r>
    </w:p>
    <w:p>
      <w:pPr>
        <w:ind w:firstLine="480"/>
        <w:rPr>
          <w:color w:val="000000" w:themeColor="text1"/>
        </w:rPr>
      </w:pPr>
      <w:r>
        <w:rPr>
          <w:rFonts w:hint="eastAsia"/>
          <w:color w:val="000000" w:themeColor="text1"/>
        </w:rPr>
        <w:t>（</w:t>
      </w:r>
      <w:r>
        <w:rPr>
          <w:color w:val="000000" w:themeColor="text1"/>
        </w:rPr>
        <w:t>2</w:t>
      </w:r>
      <w:r>
        <w:rPr>
          <w:rFonts w:hint="eastAsia"/>
          <w:color w:val="000000" w:themeColor="text1"/>
        </w:rPr>
        <w:t>）情景设置</w:t>
      </w:r>
    </w:p>
    <w:p>
      <w:pPr>
        <w:ind w:firstLine="480"/>
        <w:rPr>
          <w:color w:val="000000" w:themeColor="text1"/>
        </w:rPr>
      </w:pPr>
      <w:r>
        <w:rPr>
          <w:rFonts w:hint="eastAsia"/>
          <w:color w:val="000000" w:themeColor="text1"/>
        </w:rPr>
        <w:t>本项目产生的废水主要为屠宰废水、冲洗消毒废水和职工生活污水，经管道收集后自流至污水处理站，经处理后排入砚山县污水处理厂，不采用渗井、渗坑等方式排放废水。本次评价主要从以下方面分析营运期废水对地下水水质的影响。</w:t>
      </w:r>
    </w:p>
    <w:p>
      <w:pPr>
        <w:ind w:firstLine="480"/>
        <w:rPr>
          <w:color w:val="000000" w:themeColor="text1"/>
        </w:rPr>
      </w:pPr>
      <w:r>
        <w:rPr>
          <w:rFonts w:hint="eastAsia"/>
          <w:color w:val="000000" w:themeColor="text1"/>
        </w:rPr>
        <w:t>污染物从污染源进入地下水所经过路径称为地下水污染途径，地下水污染途径是多种多样的。本项目营运期环境影响因素主要为屠宰废水和生活污水等；以上污染因素如不加以管理，污水站系统各构筑物存在下渗污染地下水的隐患，评价针对污染途径采取相应措施处理，详见表6.2.2-1。</w:t>
      </w:r>
    </w:p>
    <w:p>
      <w:pPr>
        <w:pStyle w:val="54"/>
        <w:rPr>
          <w:color w:val="000000" w:themeColor="text1"/>
          <w:kern w:val="0"/>
        </w:rPr>
      </w:pPr>
      <w:r>
        <w:rPr>
          <w:rFonts w:hint="eastAsia"/>
          <w:color w:val="000000" w:themeColor="text1"/>
          <w:kern w:val="0"/>
        </w:rPr>
        <w:t>表6.2.2-1</w:t>
      </w:r>
      <w:r>
        <w:rPr>
          <w:color w:val="000000" w:themeColor="text1"/>
          <w:kern w:val="0"/>
        </w:rPr>
        <w:t xml:space="preserve"> </w:t>
      </w:r>
      <w:r>
        <w:rPr>
          <w:rFonts w:hint="eastAsia"/>
          <w:color w:val="000000" w:themeColor="text1"/>
          <w:kern w:val="0"/>
        </w:rPr>
        <w:t xml:space="preserve"> 项目污染地下水途径及防治措施一览表</w:t>
      </w:r>
    </w:p>
    <w:tbl>
      <w:tblPr>
        <w:tblStyle w:val="42"/>
        <w:tblW w:w="841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
      <w:tblGrid>
        <w:gridCol w:w="760"/>
        <w:gridCol w:w="1276"/>
        <w:gridCol w:w="3545"/>
        <w:gridCol w:w="28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25" w:hRule="atLeast"/>
          <w:jc w:val="center"/>
        </w:trPr>
        <w:tc>
          <w:tcPr>
            <w:tcW w:w="760" w:type="dxa"/>
            <w:vAlign w:val="center"/>
          </w:tcPr>
          <w:p>
            <w:pPr>
              <w:pStyle w:val="55"/>
              <w:rPr>
                <w:color w:val="000000" w:themeColor="text1"/>
              </w:rPr>
            </w:pPr>
            <w:r>
              <w:rPr>
                <w:rFonts w:hint="eastAsia"/>
                <w:color w:val="000000" w:themeColor="text1"/>
              </w:rPr>
              <w:t>序号</w:t>
            </w:r>
          </w:p>
        </w:tc>
        <w:tc>
          <w:tcPr>
            <w:tcW w:w="1276" w:type="dxa"/>
            <w:vAlign w:val="center"/>
          </w:tcPr>
          <w:p>
            <w:pPr>
              <w:pStyle w:val="55"/>
              <w:rPr>
                <w:color w:val="000000" w:themeColor="text1"/>
              </w:rPr>
            </w:pPr>
            <w:r>
              <w:rPr>
                <w:rFonts w:hint="eastAsia"/>
                <w:color w:val="000000" w:themeColor="text1"/>
              </w:rPr>
              <w:t>项目</w:t>
            </w:r>
          </w:p>
        </w:tc>
        <w:tc>
          <w:tcPr>
            <w:tcW w:w="3545" w:type="dxa"/>
            <w:vAlign w:val="center"/>
          </w:tcPr>
          <w:p>
            <w:pPr>
              <w:pStyle w:val="55"/>
              <w:rPr>
                <w:color w:val="000000" w:themeColor="text1"/>
              </w:rPr>
            </w:pPr>
            <w:r>
              <w:rPr>
                <w:rFonts w:hint="eastAsia"/>
                <w:color w:val="000000" w:themeColor="text1"/>
              </w:rPr>
              <w:t>保护措施</w:t>
            </w:r>
          </w:p>
        </w:tc>
        <w:tc>
          <w:tcPr>
            <w:tcW w:w="2834" w:type="dxa"/>
            <w:vAlign w:val="center"/>
          </w:tcPr>
          <w:p>
            <w:pPr>
              <w:pStyle w:val="55"/>
              <w:rPr>
                <w:color w:val="000000" w:themeColor="text1"/>
              </w:rPr>
            </w:pPr>
            <w:r>
              <w:rPr>
                <w:rFonts w:hint="eastAsia"/>
                <w:color w:val="000000" w:themeColor="text1"/>
              </w:rPr>
              <w:t>达到效果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25" w:hRule="atLeast"/>
          <w:jc w:val="center"/>
        </w:trPr>
        <w:tc>
          <w:tcPr>
            <w:tcW w:w="760" w:type="dxa"/>
            <w:vAlign w:val="center"/>
          </w:tcPr>
          <w:p>
            <w:pPr>
              <w:pStyle w:val="55"/>
              <w:rPr>
                <w:color w:val="000000" w:themeColor="text1"/>
              </w:rPr>
            </w:pPr>
            <w:r>
              <w:rPr>
                <w:color w:val="000000" w:themeColor="text1"/>
              </w:rPr>
              <w:t>1</w:t>
            </w:r>
          </w:p>
        </w:tc>
        <w:tc>
          <w:tcPr>
            <w:tcW w:w="1276" w:type="dxa"/>
            <w:vAlign w:val="center"/>
          </w:tcPr>
          <w:p>
            <w:pPr>
              <w:pStyle w:val="55"/>
              <w:rPr>
                <w:color w:val="000000" w:themeColor="text1"/>
              </w:rPr>
            </w:pPr>
            <w:r>
              <w:rPr>
                <w:rFonts w:hint="eastAsia"/>
                <w:color w:val="000000" w:themeColor="text1"/>
              </w:rPr>
              <w:t>污水处理站</w:t>
            </w:r>
          </w:p>
        </w:tc>
        <w:tc>
          <w:tcPr>
            <w:tcW w:w="3545" w:type="dxa"/>
            <w:vAlign w:val="center"/>
          </w:tcPr>
          <w:p>
            <w:pPr>
              <w:pStyle w:val="55"/>
              <w:rPr>
                <w:color w:val="000000" w:themeColor="text1"/>
              </w:rPr>
            </w:pPr>
            <w:r>
              <w:rPr>
                <w:rFonts w:hint="eastAsia"/>
                <w:color w:val="000000" w:themeColor="text1"/>
              </w:rPr>
              <w:t>地面、池底、池壁严格做好防渗措施</w:t>
            </w:r>
          </w:p>
        </w:tc>
        <w:tc>
          <w:tcPr>
            <w:tcW w:w="2834" w:type="dxa"/>
            <w:vMerge w:val="restart"/>
            <w:vAlign w:val="center"/>
          </w:tcPr>
          <w:p>
            <w:pPr>
              <w:pStyle w:val="55"/>
              <w:rPr>
                <w:color w:val="000000" w:themeColor="text1"/>
              </w:rPr>
            </w:pPr>
            <w:r>
              <w:rPr>
                <w:rFonts w:hint="eastAsia"/>
                <w:color w:val="000000" w:themeColor="text1"/>
              </w:rPr>
              <w:t>各构筑物及储存池均符合《混凝土结构设计规范》（</w:t>
            </w:r>
            <w:r>
              <w:rPr>
                <w:color w:val="000000" w:themeColor="text1"/>
              </w:rPr>
              <w:t>GB50010</w:t>
            </w:r>
            <w:r>
              <w:rPr>
                <w:rFonts w:hint="eastAsia"/>
                <w:color w:val="000000" w:themeColor="text1"/>
              </w:rPr>
              <w:t>）的要求，具备</w:t>
            </w:r>
            <w:r>
              <w:rPr>
                <w:color w:val="000000" w:themeColor="text1"/>
              </w:rPr>
              <w:t>“</w:t>
            </w:r>
            <w:r>
              <w:rPr>
                <w:rFonts w:hint="eastAsia"/>
                <w:color w:val="000000" w:themeColor="text1"/>
              </w:rPr>
              <w:t>防渗、防雨、防溢</w:t>
            </w:r>
            <w:r>
              <w:rPr>
                <w:color w:val="000000" w:themeColor="text1"/>
              </w:rPr>
              <w:t>”</w:t>
            </w:r>
            <w:r>
              <w:rPr>
                <w:rFonts w:hint="eastAsia"/>
                <w:color w:val="000000" w:themeColor="text1"/>
              </w:rPr>
              <w:t>的三防措施；畜禽粪便的贮存相关要求，应具备防渗、防风、防雨的</w:t>
            </w:r>
            <w:r>
              <w:rPr>
                <w:color w:val="000000" w:themeColor="text1"/>
              </w:rPr>
              <w:t>“</w:t>
            </w:r>
            <w:r>
              <w:rPr>
                <w:rFonts w:hint="eastAsia"/>
                <w:color w:val="000000" w:themeColor="text1"/>
              </w:rPr>
              <w:t>三防</w:t>
            </w:r>
            <w:r>
              <w:rPr>
                <w:color w:val="000000" w:themeColor="text1"/>
              </w:rPr>
              <w:t>”</w:t>
            </w:r>
            <w:r>
              <w:rPr>
                <w:rFonts w:hint="eastAsia"/>
                <w:color w:val="000000" w:themeColor="text1"/>
              </w:rPr>
              <w:t>措施，雨污分流满足《畜禽养殖业污染防治技术规范》（</w:t>
            </w:r>
            <w:r>
              <w:rPr>
                <w:color w:val="000000" w:themeColor="text1"/>
              </w:rPr>
              <w:t>HJ/T81-2001</w:t>
            </w:r>
            <w:r>
              <w:rPr>
                <w:rFonts w:hint="eastAsia"/>
                <w:color w:val="000000" w:themeColor="text1"/>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25" w:hRule="atLeast"/>
          <w:jc w:val="center"/>
        </w:trPr>
        <w:tc>
          <w:tcPr>
            <w:tcW w:w="760" w:type="dxa"/>
            <w:vAlign w:val="center"/>
          </w:tcPr>
          <w:p>
            <w:pPr>
              <w:pStyle w:val="55"/>
              <w:rPr>
                <w:color w:val="000000" w:themeColor="text1"/>
              </w:rPr>
            </w:pPr>
            <w:r>
              <w:rPr>
                <w:color w:val="000000" w:themeColor="text1"/>
              </w:rPr>
              <w:t>2</w:t>
            </w:r>
          </w:p>
        </w:tc>
        <w:tc>
          <w:tcPr>
            <w:tcW w:w="1276" w:type="dxa"/>
            <w:vAlign w:val="center"/>
          </w:tcPr>
          <w:p>
            <w:pPr>
              <w:pStyle w:val="55"/>
              <w:rPr>
                <w:color w:val="000000" w:themeColor="text1"/>
              </w:rPr>
            </w:pPr>
            <w:r>
              <w:rPr>
                <w:rFonts w:hint="eastAsia"/>
                <w:color w:val="000000" w:themeColor="text1"/>
              </w:rPr>
              <w:t>排水沟</w:t>
            </w:r>
          </w:p>
        </w:tc>
        <w:tc>
          <w:tcPr>
            <w:tcW w:w="3545" w:type="dxa"/>
            <w:vAlign w:val="center"/>
          </w:tcPr>
          <w:p>
            <w:pPr>
              <w:pStyle w:val="55"/>
              <w:rPr>
                <w:color w:val="000000" w:themeColor="text1"/>
              </w:rPr>
            </w:pPr>
            <w:r>
              <w:rPr>
                <w:rFonts w:hint="eastAsia"/>
                <w:color w:val="000000" w:themeColor="text1"/>
              </w:rPr>
              <w:t>采取暗沟形式，具备防止淤积以利于定期清理的条件，排污沟应采取硬化措施</w:t>
            </w:r>
          </w:p>
        </w:tc>
        <w:tc>
          <w:tcPr>
            <w:tcW w:w="2834" w:type="dxa"/>
            <w:vMerge w:val="continue"/>
            <w:vAlign w:val="center"/>
          </w:tcPr>
          <w:p>
            <w:pPr>
              <w:pStyle w:val="55"/>
              <w:rPr>
                <w:color w:val="000000" w:themeColor="text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25" w:hRule="atLeast"/>
          <w:jc w:val="center"/>
        </w:trPr>
        <w:tc>
          <w:tcPr>
            <w:tcW w:w="760" w:type="dxa"/>
            <w:vAlign w:val="center"/>
          </w:tcPr>
          <w:p>
            <w:pPr>
              <w:pStyle w:val="55"/>
              <w:rPr>
                <w:color w:val="000000" w:themeColor="text1"/>
              </w:rPr>
            </w:pPr>
            <w:r>
              <w:rPr>
                <w:color w:val="000000" w:themeColor="text1"/>
              </w:rPr>
              <w:t>3</w:t>
            </w:r>
          </w:p>
        </w:tc>
        <w:tc>
          <w:tcPr>
            <w:tcW w:w="1276" w:type="dxa"/>
            <w:vAlign w:val="center"/>
          </w:tcPr>
          <w:p>
            <w:pPr>
              <w:pStyle w:val="55"/>
              <w:rPr>
                <w:color w:val="000000" w:themeColor="text1"/>
              </w:rPr>
            </w:pPr>
            <w:r>
              <w:rPr>
                <w:rFonts w:hint="eastAsia"/>
                <w:color w:val="000000" w:themeColor="text1"/>
              </w:rPr>
              <w:t>车间</w:t>
            </w:r>
          </w:p>
        </w:tc>
        <w:tc>
          <w:tcPr>
            <w:tcW w:w="3545" w:type="dxa"/>
            <w:vAlign w:val="center"/>
          </w:tcPr>
          <w:p>
            <w:pPr>
              <w:pStyle w:val="55"/>
              <w:rPr>
                <w:color w:val="000000" w:themeColor="text1"/>
              </w:rPr>
            </w:pPr>
            <w:r>
              <w:rPr>
                <w:rFonts w:hint="eastAsia"/>
                <w:color w:val="000000" w:themeColor="text1"/>
              </w:rPr>
              <w:t>地面严格做好防渗措施</w:t>
            </w:r>
          </w:p>
        </w:tc>
        <w:tc>
          <w:tcPr>
            <w:tcW w:w="2834" w:type="dxa"/>
            <w:vMerge w:val="continue"/>
            <w:vAlign w:val="center"/>
          </w:tcPr>
          <w:p>
            <w:pPr>
              <w:pStyle w:val="55"/>
              <w:rPr>
                <w:color w:val="000000" w:themeColor="text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25" w:hRule="atLeast"/>
          <w:jc w:val="center"/>
        </w:trPr>
        <w:tc>
          <w:tcPr>
            <w:tcW w:w="760" w:type="dxa"/>
            <w:vAlign w:val="center"/>
          </w:tcPr>
          <w:p>
            <w:pPr>
              <w:pStyle w:val="55"/>
              <w:rPr>
                <w:color w:val="000000" w:themeColor="text1"/>
              </w:rPr>
            </w:pPr>
            <w:r>
              <w:rPr>
                <w:rFonts w:hint="eastAsia"/>
                <w:color w:val="000000" w:themeColor="text1"/>
              </w:rPr>
              <w:t>4</w:t>
            </w:r>
          </w:p>
        </w:tc>
        <w:tc>
          <w:tcPr>
            <w:tcW w:w="1276" w:type="dxa"/>
            <w:vAlign w:val="center"/>
          </w:tcPr>
          <w:p>
            <w:pPr>
              <w:pStyle w:val="55"/>
              <w:rPr>
                <w:color w:val="000000" w:themeColor="text1"/>
              </w:rPr>
            </w:pPr>
            <w:r>
              <w:rPr>
                <w:rFonts w:hint="eastAsia"/>
                <w:color w:val="000000" w:themeColor="text1"/>
              </w:rPr>
              <w:t>粪便暂存间</w:t>
            </w:r>
          </w:p>
        </w:tc>
        <w:tc>
          <w:tcPr>
            <w:tcW w:w="3545" w:type="dxa"/>
            <w:vAlign w:val="center"/>
          </w:tcPr>
          <w:p>
            <w:pPr>
              <w:pStyle w:val="55"/>
              <w:rPr>
                <w:color w:val="000000" w:themeColor="text1"/>
              </w:rPr>
            </w:pPr>
            <w:r>
              <w:rPr>
                <w:rFonts w:hint="eastAsia"/>
                <w:color w:val="000000" w:themeColor="text1"/>
              </w:rPr>
              <w:t>地面严格做好防渗，四周需严格做好防风、防雨措施，还需设置污水管道将渗滤液引入污水处理系统</w:t>
            </w:r>
          </w:p>
        </w:tc>
        <w:tc>
          <w:tcPr>
            <w:tcW w:w="2834" w:type="dxa"/>
            <w:vMerge w:val="continue"/>
            <w:vAlign w:val="center"/>
          </w:tcPr>
          <w:p>
            <w:pPr>
              <w:pStyle w:val="55"/>
              <w:rPr>
                <w:color w:val="000000" w:themeColor="text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25" w:hRule="atLeast"/>
          <w:jc w:val="center"/>
        </w:trPr>
        <w:tc>
          <w:tcPr>
            <w:tcW w:w="760" w:type="dxa"/>
            <w:vAlign w:val="center"/>
          </w:tcPr>
          <w:p>
            <w:pPr>
              <w:pStyle w:val="55"/>
              <w:rPr>
                <w:color w:val="000000" w:themeColor="text1"/>
              </w:rPr>
            </w:pPr>
            <w:r>
              <w:rPr>
                <w:rFonts w:hint="eastAsia"/>
                <w:color w:val="000000" w:themeColor="text1"/>
              </w:rPr>
              <w:t>5</w:t>
            </w:r>
          </w:p>
        </w:tc>
        <w:tc>
          <w:tcPr>
            <w:tcW w:w="1276" w:type="dxa"/>
            <w:vAlign w:val="center"/>
          </w:tcPr>
          <w:p>
            <w:pPr>
              <w:pStyle w:val="55"/>
              <w:rPr>
                <w:color w:val="000000" w:themeColor="text1"/>
              </w:rPr>
            </w:pPr>
            <w:r>
              <w:rPr>
                <w:rFonts w:hint="eastAsia"/>
                <w:color w:val="000000" w:themeColor="text1"/>
              </w:rPr>
              <w:t>厂区雨、污管网</w:t>
            </w:r>
          </w:p>
        </w:tc>
        <w:tc>
          <w:tcPr>
            <w:tcW w:w="3545" w:type="dxa"/>
            <w:vAlign w:val="center"/>
          </w:tcPr>
          <w:p>
            <w:pPr>
              <w:pStyle w:val="55"/>
              <w:rPr>
                <w:color w:val="000000" w:themeColor="text1"/>
              </w:rPr>
            </w:pPr>
            <w:r>
              <w:rPr>
                <w:rFonts w:hint="eastAsia"/>
                <w:color w:val="000000" w:themeColor="text1"/>
              </w:rPr>
              <w:t>雨污分流</w:t>
            </w:r>
          </w:p>
        </w:tc>
        <w:tc>
          <w:tcPr>
            <w:tcW w:w="2834" w:type="dxa"/>
            <w:vMerge w:val="continue"/>
            <w:vAlign w:val="center"/>
          </w:tcPr>
          <w:p>
            <w:pPr>
              <w:pStyle w:val="55"/>
              <w:rPr>
                <w:color w:val="000000" w:themeColor="text1"/>
              </w:rPr>
            </w:pPr>
          </w:p>
        </w:tc>
      </w:tr>
    </w:tbl>
    <w:p>
      <w:pPr>
        <w:ind w:firstLine="480"/>
        <w:rPr>
          <w:color w:val="000000" w:themeColor="text1"/>
        </w:rPr>
      </w:pPr>
      <w:r>
        <w:rPr>
          <w:rFonts w:hint="eastAsia"/>
          <w:color w:val="000000" w:themeColor="text1"/>
        </w:rPr>
        <w:t>项目营运后，正常情况下厂区防渗达到相关规定要求，不应有污废水处理装置或其它物料暴露而发生渗漏至地下水的情景发生。在营运期间，地下污水管道、污水处理设施存在高浓度废水发生跑、冒、滴、漏的非正常工况下，如处理不当，污染物可能下渗影响地下水。故本次评价仅预测非正常状况下的影响结果。</w:t>
      </w:r>
    </w:p>
    <w:p>
      <w:pPr>
        <w:ind w:firstLine="480"/>
        <w:rPr>
          <w:color w:val="000000" w:themeColor="text1"/>
        </w:rPr>
      </w:pPr>
      <w:r>
        <w:rPr>
          <w:rFonts w:hint="eastAsia"/>
          <w:color w:val="000000" w:themeColor="text1"/>
        </w:rPr>
        <w:t>本次情景设置如下：</w:t>
      </w:r>
    </w:p>
    <w:p>
      <w:pPr>
        <w:ind w:firstLine="480"/>
        <w:rPr>
          <w:color w:val="000000" w:themeColor="text1"/>
        </w:rPr>
      </w:pPr>
      <w:r>
        <w:rPr>
          <w:rFonts w:hint="eastAsia"/>
          <w:color w:val="000000" w:themeColor="text1"/>
        </w:rPr>
        <w:t>非正常状况下：项目防渗设施、管道等因老化、腐蚀而发生破损，废水发生跑、冒、滴、漏的非正常状况下下渗污染地下水。故本次评价预测污水处理站在非正常状况下对地下水的影响。</w:t>
      </w:r>
    </w:p>
    <w:p>
      <w:pPr>
        <w:ind w:firstLine="480"/>
        <w:rPr>
          <w:color w:val="000000" w:themeColor="text1"/>
        </w:rPr>
      </w:pPr>
      <w:r>
        <w:rPr>
          <w:rFonts w:hint="eastAsia"/>
          <w:color w:val="000000" w:themeColor="text1"/>
        </w:rPr>
        <w:t>（</w:t>
      </w:r>
      <w:r>
        <w:rPr>
          <w:color w:val="000000" w:themeColor="text1"/>
        </w:rPr>
        <w:t>3</w:t>
      </w:r>
      <w:r>
        <w:rPr>
          <w:rFonts w:hint="eastAsia"/>
          <w:color w:val="000000" w:themeColor="text1"/>
        </w:rPr>
        <w:t>）预测时段</w:t>
      </w:r>
    </w:p>
    <w:p>
      <w:pPr>
        <w:ind w:firstLine="480"/>
        <w:rPr>
          <w:color w:val="000000" w:themeColor="text1"/>
        </w:rPr>
      </w:pPr>
      <w:r>
        <w:rPr>
          <w:rFonts w:hint="eastAsia"/>
          <w:color w:val="000000" w:themeColor="text1"/>
        </w:rPr>
        <w:t>本次评价预测范围为污染发生后</w:t>
      </w:r>
      <w:r>
        <w:rPr>
          <w:color w:val="000000" w:themeColor="text1"/>
        </w:rPr>
        <w:t>30d</w:t>
      </w:r>
      <w:r>
        <w:rPr>
          <w:rFonts w:hint="eastAsia"/>
          <w:color w:val="000000" w:themeColor="text1"/>
        </w:rPr>
        <w:t>、</w:t>
      </w:r>
      <w:r>
        <w:rPr>
          <w:color w:val="000000" w:themeColor="text1"/>
        </w:rPr>
        <w:t>100d</w:t>
      </w:r>
      <w:r>
        <w:rPr>
          <w:rFonts w:hint="eastAsia"/>
          <w:color w:val="000000" w:themeColor="text1"/>
        </w:rPr>
        <w:t>、</w:t>
      </w:r>
      <w:r>
        <w:rPr>
          <w:color w:val="000000" w:themeColor="text1"/>
        </w:rPr>
        <w:t>1000d</w:t>
      </w:r>
      <w:r>
        <w:rPr>
          <w:rFonts w:hint="eastAsia"/>
          <w:color w:val="000000" w:themeColor="text1"/>
        </w:rPr>
        <w:t>。</w:t>
      </w:r>
    </w:p>
    <w:p>
      <w:pPr>
        <w:ind w:firstLine="480"/>
        <w:rPr>
          <w:color w:val="000000" w:themeColor="text1"/>
        </w:rPr>
      </w:pPr>
      <w:r>
        <w:rPr>
          <w:rFonts w:hint="eastAsia"/>
          <w:color w:val="000000" w:themeColor="text1"/>
        </w:rPr>
        <w:t>（</w:t>
      </w:r>
      <w:r>
        <w:rPr>
          <w:color w:val="000000" w:themeColor="text1"/>
        </w:rPr>
        <w:t>4</w:t>
      </w:r>
      <w:r>
        <w:rPr>
          <w:rFonts w:hint="eastAsia"/>
          <w:color w:val="000000" w:themeColor="text1"/>
        </w:rPr>
        <w:t>）预测因子</w:t>
      </w:r>
    </w:p>
    <w:p>
      <w:pPr>
        <w:ind w:firstLine="480"/>
        <w:rPr>
          <w:rFonts w:cs="Times New Roman"/>
          <w:color w:val="000000" w:themeColor="text1"/>
          <w:kern w:val="0"/>
        </w:rPr>
      </w:pPr>
      <w:r>
        <w:rPr>
          <w:rFonts w:hint="eastAsia"/>
          <w:color w:val="000000" w:themeColor="text1"/>
          <w:kern w:val="0"/>
        </w:rPr>
        <w:t>污染物主要为氨氮、耗氧量。</w:t>
      </w:r>
    </w:p>
    <w:p>
      <w:pPr>
        <w:ind w:firstLine="480"/>
        <w:rPr>
          <w:color w:val="000000" w:themeColor="text1"/>
        </w:rPr>
      </w:pPr>
      <w:bookmarkStart w:id="204" w:name="_Hlk14772224"/>
      <w:r>
        <w:rPr>
          <w:rFonts w:hint="eastAsia"/>
          <w:color w:val="000000" w:themeColor="text1"/>
        </w:rPr>
        <w:t>（</w:t>
      </w:r>
      <w:r>
        <w:rPr>
          <w:color w:val="000000" w:themeColor="text1"/>
        </w:rPr>
        <w:t>5</w:t>
      </w:r>
      <w:r>
        <w:rPr>
          <w:rFonts w:hint="eastAsia"/>
          <w:color w:val="000000" w:themeColor="text1"/>
        </w:rPr>
        <w:t>）预测源强及方法</w:t>
      </w:r>
    </w:p>
    <w:p>
      <w:pPr>
        <w:ind w:firstLine="480"/>
        <w:rPr>
          <w:rFonts w:cs="Times New Roman"/>
          <w:color w:val="000000" w:themeColor="text1"/>
        </w:rPr>
      </w:pPr>
      <w:r>
        <w:rPr>
          <w:rFonts w:hint="eastAsia"/>
          <w:color w:val="000000" w:themeColor="text1"/>
        </w:rPr>
        <w:t>非正常状况：调节池出现防渗层老化及污水处理站发生破裂，出现持续泄漏。污染物主要为氨氮、耗氧量，评价污染物进水浓度最高值考虑。</w:t>
      </w:r>
    </w:p>
    <w:p>
      <w:pPr>
        <w:ind w:firstLine="480"/>
        <w:rPr>
          <w:color w:val="000000" w:themeColor="text1"/>
        </w:rPr>
      </w:pPr>
      <w:r>
        <w:rPr>
          <w:rFonts w:hint="eastAsia"/>
          <w:color w:val="000000" w:themeColor="text1"/>
        </w:rPr>
        <w:t>预测源强为</w:t>
      </w:r>
      <w:r>
        <w:rPr>
          <w:color w:val="000000" w:themeColor="text1"/>
        </w:rPr>
        <w:t>COD</w:t>
      </w:r>
      <w:r>
        <w:rPr>
          <w:rFonts w:hint="eastAsia"/>
          <w:color w:val="000000" w:themeColor="text1"/>
        </w:rPr>
        <w:t>1496</w:t>
      </w:r>
      <w:r>
        <w:rPr>
          <w:color w:val="000000" w:themeColor="text1"/>
        </w:rPr>
        <w:t>mg/L</w:t>
      </w:r>
      <w:r>
        <w:rPr>
          <w:rFonts w:hint="eastAsia"/>
          <w:color w:val="000000" w:themeColor="text1"/>
        </w:rPr>
        <w:t>、氨氮50</w:t>
      </w:r>
      <w:r>
        <w:rPr>
          <w:color w:val="000000" w:themeColor="text1"/>
        </w:rPr>
        <w:t>mg/L</w:t>
      </w:r>
      <w:r>
        <w:rPr>
          <w:rFonts w:hint="eastAsia"/>
          <w:color w:val="000000" w:themeColor="text1"/>
        </w:rPr>
        <w:t>，根据有关资料，</w:t>
      </w:r>
      <w:r>
        <w:rPr>
          <w:color w:val="000000" w:themeColor="text1"/>
        </w:rPr>
        <w:t>COD</w:t>
      </w:r>
      <w:r>
        <w:rPr>
          <w:rFonts w:hint="eastAsia"/>
          <w:color w:val="000000" w:themeColor="text1"/>
        </w:rPr>
        <w:t>是耗氧量的</w:t>
      </w:r>
      <w:r>
        <w:rPr>
          <w:color w:val="000000" w:themeColor="text1"/>
        </w:rPr>
        <w:t>2.75</w:t>
      </w:r>
      <w:r>
        <w:rPr>
          <w:rFonts w:hint="eastAsia"/>
          <w:color w:val="000000" w:themeColor="text1"/>
        </w:rPr>
        <w:t>倍，则折算成废水耗氧量为544</w:t>
      </w:r>
      <w:r>
        <w:rPr>
          <w:color w:val="000000" w:themeColor="text1"/>
        </w:rPr>
        <w:t>mg/L</w:t>
      </w:r>
      <w:r>
        <w:rPr>
          <w:rFonts w:hint="eastAsia"/>
          <w:color w:val="000000" w:themeColor="text1"/>
        </w:rPr>
        <w:t>。</w:t>
      </w:r>
    </w:p>
    <w:p>
      <w:pPr>
        <w:pStyle w:val="54"/>
        <w:rPr>
          <w:color w:val="000000" w:themeColor="text1"/>
        </w:rPr>
      </w:pPr>
      <w:r>
        <w:rPr>
          <w:rFonts w:hint="eastAsia"/>
          <w:color w:val="000000" w:themeColor="text1"/>
        </w:rPr>
        <w:t>表6.2.2-2</w:t>
      </w:r>
      <w:r>
        <w:rPr>
          <w:color w:val="000000" w:themeColor="text1"/>
        </w:rPr>
        <w:t xml:space="preserve">  </w:t>
      </w:r>
      <w:r>
        <w:rPr>
          <w:rFonts w:hint="eastAsia"/>
          <w:color w:val="000000" w:themeColor="text1"/>
        </w:rPr>
        <w:t>地下水预测污染物源强参数</w:t>
      </w:r>
    </w:p>
    <w:tbl>
      <w:tblPr>
        <w:tblStyle w:val="42"/>
        <w:tblW w:w="853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65"/>
        <w:gridCol w:w="1140"/>
        <w:gridCol w:w="1628"/>
        <w:gridCol w:w="1465"/>
        <w:gridCol w:w="1302"/>
        <w:gridCol w:w="17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3" w:hRule="atLeast"/>
        </w:trPr>
        <w:tc>
          <w:tcPr>
            <w:tcW w:w="1265" w:type="dxa"/>
            <w:vAlign w:val="center"/>
          </w:tcPr>
          <w:p>
            <w:pPr>
              <w:pStyle w:val="55"/>
              <w:rPr>
                <w:color w:val="000000" w:themeColor="text1"/>
              </w:rPr>
            </w:pPr>
            <w:r>
              <w:rPr>
                <w:rFonts w:hint="eastAsia"/>
                <w:color w:val="000000" w:themeColor="text1"/>
              </w:rPr>
              <w:t>预测状态</w:t>
            </w:r>
          </w:p>
        </w:tc>
        <w:tc>
          <w:tcPr>
            <w:tcW w:w="1140" w:type="dxa"/>
            <w:vAlign w:val="center"/>
          </w:tcPr>
          <w:p>
            <w:pPr>
              <w:pStyle w:val="55"/>
              <w:rPr>
                <w:color w:val="000000" w:themeColor="text1"/>
              </w:rPr>
            </w:pPr>
            <w:r>
              <w:rPr>
                <w:rFonts w:hint="eastAsia"/>
                <w:color w:val="000000" w:themeColor="text1"/>
              </w:rPr>
              <w:t>污染源</w:t>
            </w:r>
          </w:p>
        </w:tc>
        <w:tc>
          <w:tcPr>
            <w:tcW w:w="1628" w:type="dxa"/>
            <w:vAlign w:val="center"/>
          </w:tcPr>
          <w:p>
            <w:pPr>
              <w:pStyle w:val="55"/>
              <w:rPr>
                <w:rFonts w:cs="Times New Roman"/>
                <w:color w:val="000000" w:themeColor="text1"/>
              </w:rPr>
            </w:pPr>
            <w:r>
              <w:rPr>
                <w:rFonts w:hint="eastAsia"/>
                <w:color w:val="000000" w:themeColor="text1"/>
              </w:rPr>
              <w:t>预测</w:t>
            </w:r>
          </w:p>
          <w:p>
            <w:pPr>
              <w:pStyle w:val="55"/>
              <w:rPr>
                <w:color w:val="000000" w:themeColor="text1"/>
              </w:rPr>
            </w:pPr>
            <w:r>
              <w:rPr>
                <w:rFonts w:hint="eastAsia"/>
                <w:color w:val="000000" w:themeColor="text1"/>
              </w:rPr>
              <w:t>因子</w:t>
            </w:r>
          </w:p>
        </w:tc>
        <w:tc>
          <w:tcPr>
            <w:tcW w:w="1465" w:type="dxa"/>
            <w:vAlign w:val="center"/>
          </w:tcPr>
          <w:p>
            <w:pPr>
              <w:pStyle w:val="55"/>
              <w:rPr>
                <w:rFonts w:cs="Times New Roman"/>
                <w:color w:val="000000" w:themeColor="text1"/>
              </w:rPr>
            </w:pPr>
            <w:r>
              <w:rPr>
                <w:rFonts w:hint="eastAsia"/>
                <w:color w:val="000000" w:themeColor="text1"/>
              </w:rPr>
              <w:t>污染物浓度</w:t>
            </w:r>
          </w:p>
          <w:p>
            <w:pPr>
              <w:pStyle w:val="55"/>
              <w:rPr>
                <w:color w:val="000000" w:themeColor="text1"/>
              </w:rPr>
            </w:pPr>
            <w:r>
              <w:rPr>
                <w:rFonts w:hint="eastAsia"/>
                <w:color w:val="000000" w:themeColor="text1"/>
              </w:rPr>
              <w:t>（</w:t>
            </w:r>
            <w:r>
              <w:rPr>
                <w:color w:val="000000" w:themeColor="text1"/>
              </w:rPr>
              <w:t>mg/L</w:t>
            </w:r>
            <w:r>
              <w:rPr>
                <w:rFonts w:hint="eastAsia"/>
                <w:color w:val="000000" w:themeColor="text1"/>
              </w:rPr>
              <w:t>）</w:t>
            </w:r>
          </w:p>
        </w:tc>
        <w:tc>
          <w:tcPr>
            <w:tcW w:w="1302" w:type="dxa"/>
            <w:vAlign w:val="center"/>
          </w:tcPr>
          <w:p>
            <w:pPr>
              <w:pStyle w:val="55"/>
              <w:rPr>
                <w:color w:val="000000" w:themeColor="text1"/>
              </w:rPr>
            </w:pPr>
            <w:r>
              <w:rPr>
                <w:rFonts w:hint="eastAsia"/>
                <w:color w:val="000000" w:themeColor="text1"/>
              </w:rPr>
              <w:t>泄漏持续时间</w:t>
            </w:r>
          </w:p>
        </w:tc>
        <w:tc>
          <w:tcPr>
            <w:tcW w:w="1735" w:type="dxa"/>
            <w:vAlign w:val="center"/>
          </w:tcPr>
          <w:p>
            <w:pPr>
              <w:pStyle w:val="55"/>
              <w:rPr>
                <w:color w:val="000000" w:themeColor="text1"/>
              </w:rPr>
            </w:pPr>
            <w:r>
              <w:rPr>
                <w:rFonts w:hint="eastAsia"/>
                <w:color w:val="000000" w:themeColor="text1"/>
              </w:rPr>
              <w:t>环境质量标准（</w:t>
            </w:r>
            <w:r>
              <w:rPr>
                <w:color w:val="000000" w:themeColor="text1"/>
              </w:rPr>
              <w:t>mg/L</w:t>
            </w:r>
            <w:r>
              <w:rPr>
                <w:rFonts w:hint="eastAsia"/>
                <w:color w:val="000000" w:themeColor="text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3" w:hRule="atLeast"/>
        </w:trPr>
        <w:tc>
          <w:tcPr>
            <w:tcW w:w="1265" w:type="dxa"/>
            <w:vMerge w:val="restart"/>
            <w:vAlign w:val="center"/>
          </w:tcPr>
          <w:p>
            <w:pPr>
              <w:pStyle w:val="55"/>
              <w:rPr>
                <w:rFonts w:cs="Times New Roman"/>
                <w:color w:val="000000" w:themeColor="text1"/>
              </w:rPr>
            </w:pPr>
            <w:r>
              <w:rPr>
                <w:rFonts w:hint="eastAsia"/>
                <w:color w:val="000000" w:themeColor="text1"/>
              </w:rPr>
              <w:t>非正常</w:t>
            </w:r>
          </w:p>
          <w:p>
            <w:pPr>
              <w:pStyle w:val="55"/>
              <w:rPr>
                <w:color w:val="000000" w:themeColor="text1"/>
              </w:rPr>
            </w:pPr>
            <w:r>
              <w:rPr>
                <w:rFonts w:hint="eastAsia"/>
                <w:color w:val="000000" w:themeColor="text1"/>
              </w:rPr>
              <w:t>状况</w:t>
            </w:r>
          </w:p>
        </w:tc>
        <w:tc>
          <w:tcPr>
            <w:tcW w:w="1140" w:type="dxa"/>
            <w:vMerge w:val="restart"/>
            <w:vAlign w:val="center"/>
          </w:tcPr>
          <w:p>
            <w:pPr>
              <w:pStyle w:val="55"/>
              <w:rPr>
                <w:color w:val="000000" w:themeColor="text1"/>
              </w:rPr>
            </w:pPr>
            <w:r>
              <w:rPr>
                <w:rFonts w:hint="eastAsia"/>
                <w:color w:val="000000" w:themeColor="text1"/>
              </w:rPr>
              <w:t>调节池</w:t>
            </w:r>
          </w:p>
        </w:tc>
        <w:tc>
          <w:tcPr>
            <w:tcW w:w="1628" w:type="dxa"/>
            <w:vAlign w:val="center"/>
          </w:tcPr>
          <w:p>
            <w:pPr>
              <w:pStyle w:val="55"/>
              <w:rPr>
                <w:color w:val="000000" w:themeColor="text1"/>
              </w:rPr>
            </w:pPr>
            <w:r>
              <w:rPr>
                <w:rFonts w:hint="eastAsia"/>
                <w:color w:val="000000" w:themeColor="text1"/>
              </w:rPr>
              <w:t>耗氧量</w:t>
            </w:r>
          </w:p>
        </w:tc>
        <w:tc>
          <w:tcPr>
            <w:tcW w:w="1465" w:type="dxa"/>
            <w:vAlign w:val="center"/>
          </w:tcPr>
          <w:p>
            <w:pPr>
              <w:pStyle w:val="55"/>
              <w:rPr>
                <w:color w:val="000000" w:themeColor="text1"/>
              </w:rPr>
            </w:pPr>
            <w:r>
              <w:rPr>
                <w:rFonts w:hint="eastAsia"/>
                <w:color w:val="000000" w:themeColor="text1"/>
              </w:rPr>
              <w:t>544</w:t>
            </w:r>
          </w:p>
        </w:tc>
        <w:tc>
          <w:tcPr>
            <w:tcW w:w="1302" w:type="dxa"/>
            <w:vMerge w:val="restart"/>
            <w:vAlign w:val="center"/>
          </w:tcPr>
          <w:p>
            <w:pPr>
              <w:pStyle w:val="55"/>
              <w:rPr>
                <w:color w:val="000000" w:themeColor="text1"/>
              </w:rPr>
            </w:pPr>
            <w:r>
              <w:rPr>
                <w:color w:val="000000" w:themeColor="text1"/>
              </w:rPr>
              <w:t>30d</w:t>
            </w:r>
          </w:p>
        </w:tc>
        <w:tc>
          <w:tcPr>
            <w:tcW w:w="1735" w:type="dxa"/>
            <w:vAlign w:val="center"/>
          </w:tcPr>
          <w:p>
            <w:pPr>
              <w:pStyle w:val="55"/>
              <w:rPr>
                <w:color w:val="000000" w:themeColor="text1"/>
              </w:rPr>
            </w:pPr>
            <w:r>
              <w:rPr>
                <w:color w:val="000000" w:themeColor="text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3" w:hRule="atLeast"/>
        </w:trPr>
        <w:tc>
          <w:tcPr>
            <w:tcW w:w="1265" w:type="dxa"/>
            <w:vMerge w:val="continue"/>
            <w:vAlign w:val="center"/>
          </w:tcPr>
          <w:p>
            <w:pPr>
              <w:pStyle w:val="55"/>
              <w:rPr>
                <w:color w:val="000000" w:themeColor="text1"/>
              </w:rPr>
            </w:pPr>
          </w:p>
        </w:tc>
        <w:tc>
          <w:tcPr>
            <w:tcW w:w="1140" w:type="dxa"/>
            <w:vMerge w:val="continue"/>
            <w:vAlign w:val="center"/>
          </w:tcPr>
          <w:p>
            <w:pPr>
              <w:pStyle w:val="55"/>
              <w:rPr>
                <w:color w:val="000000" w:themeColor="text1"/>
              </w:rPr>
            </w:pPr>
          </w:p>
        </w:tc>
        <w:tc>
          <w:tcPr>
            <w:tcW w:w="1628" w:type="dxa"/>
            <w:vAlign w:val="center"/>
          </w:tcPr>
          <w:p>
            <w:pPr>
              <w:pStyle w:val="55"/>
              <w:rPr>
                <w:color w:val="000000" w:themeColor="text1"/>
              </w:rPr>
            </w:pPr>
            <w:r>
              <w:rPr>
                <w:rFonts w:hint="eastAsia"/>
                <w:color w:val="000000" w:themeColor="text1"/>
              </w:rPr>
              <w:t>氨氮</w:t>
            </w:r>
          </w:p>
        </w:tc>
        <w:tc>
          <w:tcPr>
            <w:tcW w:w="1465" w:type="dxa"/>
            <w:vAlign w:val="center"/>
          </w:tcPr>
          <w:p>
            <w:pPr>
              <w:pStyle w:val="55"/>
              <w:rPr>
                <w:color w:val="000000" w:themeColor="text1"/>
              </w:rPr>
            </w:pPr>
            <w:r>
              <w:rPr>
                <w:rFonts w:hint="eastAsia"/>
                <w:color w:val="000000" w:themeColor="text1"/>
              </w:rPr>
              <w:t>50</w:t>
            </w:r>
          </w:p>
        </w:tc>
        <w:tc>
          <w:tcPr>
            <w:tcW w:w="1302" w:type="dxa"/>
            <w:vMerge w:val="continue"/>
            <w:vAlign w:val="center"/>
          </w:tcPr>
          <w:p>
            <w:pPr>
              <w:pStyle w:val="55"/>
              <w:rPr>
                <w:color w:val="000000" w:themeColor="text1"/>
              </w:rPr>
            </w:pPr>
          </w:p>
        </w:tc>
        <w:tc>
          <w:tcPr>
            <w:tcW w:w="1735" w:type="dxa"/>
            <w:vAlign w:val="center"/>
          </w:tcPr>
          <w:p>
            <w:pPr>
              <w:pStyle w:val="55"/>
              <w:rPr>
                <w:color w:val="000000" w:themeColor="text1"/>
              </w:rPr>
            </w:pPr>
            <w:r>
              <w:rPr>
                <w:color w:val="000000" w:themeColor="text1"/>
              </w:rPr>
              <w:t>0.5</w:t>
            </w:r>
          </w:p>
        </w:tc>
      </w:tr>
    </w:tbl>
    <w:p>
      <w:pPr>
        <w:ind w:firstLine="480"/>
        <w:rPr>
          <w:color w:val="000000" w:themeColor="text1"/>
        </w:rPr>
      </w:pPr>
      <w:r>
        <w:rPr>
          <w:rFonts w:hint="eastAsia"/>
          <w:color w:val="000000" w:themeColor="text1"/>
        </w:rPr>
        <w:t>本次地下水预测采用解析法。</w:t>
      </w:r>
    </w:p>
    <w:p>
      <w:pPr>
        <w:ind w:firstLine="480"/>
        <w:rPr>
          <w:color w:val="000000" w:themeColor="text1"/>
        </w:rPr>
      </w:pPr>
      <w:r>
        <w:rPr>
          <w:rFonts w:hint="eastAsia"/>
          <w:color w:val="000000" w:themeColor="text1"/>
        </w:rPr>
        <w:t>根据厂区所处的水文地质特征，本次溶质运移模型概化为一维连续点源模型。一维半无限长多孔介质模型，假设泄漏点浓度为定浓度边</w:t>
      </w:r>
      <w:r>
        <w:rPr>
          <w:color w:val="000000" w:themeColor="text1"/>
        </w:rPr>
        <w:t xml:space="preserve">                                                                                                     </w:t>
      </w:r>
      <w:r>
        <w:rPr>
          <w:rFonts w:hint="eastAsia"/>
          <w:color w:val="000000" w:themeColor="text1"/>
        </w:rPr>
        <w:t>界，污染物向地下水下游方向扩散运移。其公式为：</w:t>
      </w:r>
    </w:p>
    <w:p>
      <w:pPr>
        <w:ind w:firstLine="600" w:firstLineChars="250"/>
        <w:rPr>
          <w:rFonts w:ascii="Calibri" w:hAnsi="Calibri" w:cs="Calibri"/>
          <w:color w:val="000000" w:themeColor="text1"/>
        </w:rPr>
      </w:pPr>
      <w:r>
        <w:rPr>
          <w:rFonts w:hint="eastAsia" w:ascii="Calibri" w:hAnsi="Calibri" w:cs="Calibri"/>
          <w:color w:val="000000" w:themeColor="text1"/>
        </w:rPr>
        <w:drawing>
          <wp:inline distT="0" distB="0" distL="0" distR="0">
            <wp:extent cx="2529840" cy="523875"/>
            <wp:effectExtent l="19050" t="0" r="3810" b="0"/>
            <wp:docPr id="8" name="图片 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952"/>
                    <pic:cNvPicPr>
                      <a:picLocks noChangeAspect="1" noChangeArrowheads="1"/>
                    </pic:cNvPicPr>
                  </pic:nvPicPr>
                  <pic:blipFill>
                    <a:blip r:embed="rId31"/>
                    <a:srcRect/>
                    <a:stretch>
                      <a:fillRect/>
                    </a:stretch>
                  </pic:blipFill>
                  <pic:spPr>
                    <a:xfrm>
                      <a:off x="0" y="0"/>
                      <a:ext cx="2529840" cy="523875"/>
                    </a:xfrm>
                    <a:prstGeom prst="rect">
                      <a:avLst/>
                    </a:prstGeom>
                    <a:noFill/>
                  </pic:spPr>
                </pic:pic>
              </a:graphicData>
            </a:graphic>
          </wp:inline>
        </w:drawing>
      </w:r>
    </w:p>
    <w:p>
      <w:pPr>
        <w:spacing w:line="520" w:lineRule="exact"/>
        <w:ind w:firstLine="480"/>
        <w:rPr>
          <w:rFonts w:cs="Times New Roman"/>
          <w:color w:val="000000" w:themeColor="text1"/>
        </w:rPr>
      </w:pPr>
      <w:r>
        <w:rPr>
          <w:rFonts w:hint="eastAsia" w:ascii="Calibri" w:hAnsi="Calibri" w:cs="Calibri"/>
          <w:color w:val="000000" w:themeColor="text1"/>
        </w:rPr>
        <w:t>式中：</w:t>
      </w:r>
      <w:r>
        <w:rPr>
          <w:rFonts w:cs="Times New Roman"/>
          <w:color w:val="000000" w:themeColor="text1"/>
        </w:rPr>
        <w:t>x——</w:t>
      </w:r>
      <w:r>
        <w:rPr>
          <w:rFonts w:hAnsi="Calibri" w:cs="Times New Roman"/>
          <w:color w:val="000000" w:themeColor="text1"/>
        </w:rPr>
        <w:t>为距注入点的距离，</w:t>
      </w:r>
      <w:r>
        <w:rPr>
          <w:rFonts w:cs="Times New Roman"/>
          <w:color w:val="000000" w:themeColor="text1"/>
        </w:rPr>
        <w:t>m</w:t>
      </w:r>
      <w:r>
        <w:rPr>
          <w:rFonts w:hAnsi="Calibri" w:cs="Times New Roman"/>
          <w:color w:val="000000" w:themeColor="text1"/>
        </w:rPr>
        <w:t>；</w:t>
      </w:r>
    </w:p>
    <w:p>
      <w:pPr>
        <w:spacing w:line="520" w:lineRule="exact"/>
        <w:ind w:firstLine="1200" w:firstLineChars="500"/>
        <w:rPr>
          <w:rFonts w:cs="Times New Roman"/>
          <w:color w:val="000000" w:themeColor="text1"/>
        </w:rPr>
      </w:pPr>
      <w:r>
        <w:rPr>
          <w:rFonts w:cs="Times New Roman"/>
          <w:color w:val="000000" w:themeColor="text1"/>
        </w:rPr>
        <w:t>t——</w:t>
      </w:r>
      <w:r>
        <w:rPr>
          <w:rFonts w:hAnsi="Calibri" w:cs="Times New Roman"/>
          <w:color w:val="000000" w:themeColor="text1"/>
        </w:rPr>
        <w:t>时间，</w:t>
      </w:r>
      <w:r>
        <w:rPr>
          <w:rFonts w:cs="Times New Roman"/>
          <w:color w:val="000000" w:themeColor="text1"/>
        </w:rPr>
        <w:t>d</w:t>
      </w:r>
      <w:r>
        <w:rPr>
          <w:rFonts w:hAnsi="Calibri" w:cs="Times New Roman"/>
          <w:color w:val="000000" w:themeColor="text1"/>
        </w:rPr>
        <w:t>；</w:t>
      </w:r>
    </w:p>
    <w:p>
      <w:pPr>
        <w:spacing w:line="520" w:lineRule="exact"/>
        <w:ind w:firstLine="1200" w:firstLineChars="500"/>
        <w:rPr>
          <w:rFonts w:cs="Times New Roman"/>
          <w:color w:val="000000" w:themeColor="text1"/>
        </w:rPr>
      </w:pPr>
      <w:r>
        <w:rPr>
          <w:rFonts w:cs="Times New Roman"/>
          <w:color w:val="000000" w:themeColor="text1"/>
        </w:rPr>
        <w:t>C</w:t>
      </w:r>
      <w:r>
        <w:rPr>
          <w:rFonts w:hAnsi="Calibri" w:cs="Times New Roman"/>
          <w:color w:val="000000" w:themeColor="text1"/>
        </w:rPr>
        <w:t>（</w:t>
      </w:r>
      <w:r>
        <w:rPr>
          <w:rFonts w:cs="Times New Roman"/>
          <w:color w:val="000000" w:themeColor="text1"/>
        </w:rPr>
        <w:t>x</w:t>
      </w:r>
      <w:r>
        <w:rPr>
          <w:rFonts w:hAnsi="Calibri" w:cs="Times New Roman"/>
          <w:color w:val="000000" w:themeColor="text1"/>
        </w:rPr>
        <w:t>、</w:t>
      </w:r>
      <w:r>
        <w:rPr>
          <w:rFonts w:cs="Times New Roman"/>
          <w:color w:val="000000" w:themeColor="text1"/>
        </w:rPr>
        <w:t>t</w:t>
      </w:r>
      <w:r>
        <w:rPr>
          <w:rFonts w:hAnsi="Calibri" w:cs="Times New Roman"/>
          <w:color w:val="000000" w:themeColor="text1"/>
        </w:rPr>
        <w:t>）</w:t>
      </w:r>
      <w:r>
        <w:rPr>
          <w:rFonts w:cs="Times New Roman"/>
          <w:color w:val="000000" w:themeColor="text1"/>
        </w:rPr>
        <w:t>——t</w:t>
      </w:r>
      <w:r>
        <w:rPr>
          <w:rFonts w:hAnsi="Calibri" w:cs="Times New Roman"/>
          <w:color w:val="000000" w:themeColor="text1"/>
        </w:rPr>
        <w:t>时刻</w:t>
      </w:r>
      <w:r>
        <w:rPr>
          <w:rFonts w:cs="Times New Roman"/>
          <w:color w:val="000000" w:themeColor="text1"/>
        </w:rPr>
        <w:t>x</w:t>
      </w:r>
      <w:r>
        <w:rPr>
          <w:rFonts w:hAnsi="Calibri" w:cs="Times New Roman"/>
          <w:color w:val="000000" w:themeColor="text1"/>
        </w:rPr>
        <w:t>处的示踪剂浓度，</w:t>
      </w:r>
      <w:r>
        <w:rPr>
          <w:rFonts w:cs="Times New Roman"/>
          <w:color w:val="000000" w:themeColor="text1"/>
        </w:rPr>
        <w:t>g/L</w:t>
      </w:r>
      <w:r>
        <w:rPr>
          <w:rFonts w:hAnsi="Calibri" w:cs="Times New Roman"/>
          <w:color w:val="000000" w:themeColor="text1"/>
        </w:rPr>
        <w:t>；</w:t>
      </w:r>
    </w:p>
    <w:p>
      <w:pPr>
        <w:spacing w:line="520" w:lineRule="exact"/>
        <w:ind w:firstLine="1200" w:firstLineChars="500"/>
        <w:rPr>
          <w:rFonts w:cs="Times New Roman"/>
          <w:color w:val="000000" w:themeColor="text1"/>
        </w:rPr>
      </w:pPr>
      <w:r>
        <w:rPr>
          <w:rFonts w:cs="Times New Roman"/>
          <w:color w:val="000000" w:themeColor="text1"/>
        </w:rPr>
        <w:t>C</w:t>
      </w:r>
      <w:r>
        <w:rPr>
          <w:rFonts w:cs="Times New Roman"/>
          <w:color w:val="000000" w:themeColor="text1"/>
          <w:vertAlign w:val="subscript"/>
        </w:rPr>
        <w:t>0</w:t>
      </w:r>
      <w:r>
        <w:rPr>
          <w:rFonts w:cs="Times New Roman"/>
          <w:color w:val="000000" w:themeColor="text1"/>
        </w:rPr>
        <w:t>——</w:t>
      </w:r>
      <w:r>
        <w:rPr>
          <w:rFonts w:hAnsi="Calibri" w:cs="Times New Roman"/>
          <w:color w:val="000000" w:themeColor="text1"/>
        </w:rPr>
        <w:t>注入的示踪剂浓度，</w:t>
      </w:r>
      <w:r>
        <w:rPr>
          <w:rFonts w:cs="Times New Roman"/>
          <w:color w:val="000000" w:themeColor="text1"/>
        </w:rPr>
        <w:t>g/L</w:t>
      </w:r>
      <w:r>
        <w:rPr>
          <w:rFonts w:hAnsi="Calibri" w:cs="Times New Roman"/>
          <w:color w:val="000000" w:themeColor="text1"/>
        </w:rPr>
        <w:t>；</w:t>
      </w:r>
    </w:p>
    <w:p>
      <w:pPr>
        <w:spacing w:line="520" w:lineRule="exact"/>
        <w:ind w:firstLine="1200" w:firstLineChars="500"/>
        <w:rPr>
          <w:rFonts w:cs="Times New Roman"/>
          <w:color w:val="000000" w:themeColor="text1"/>
        </w:rPr>
      </w:pPr>
      <w:r>
        <w:rPr>
          <w:rFonts w:cs="Times New Roman"/>
          <w:color w:val="000000" w:themeColor="text1"/>
        </w:rPr>
        <w:t>u——</w:t>
      </w:r>
      <w:r>
        <w:rPr>
          <w:rFonts w:hAnsi="Calibri" w:cs="Times New Roman"/>
          <w:color w:val="000000" w:themeColor="text1"/>
        </w:rPr>
        <w:t>水流速度，</w:t>
      </w:r>
      <w:r>
        <w:rPr>
          <w:rFonts w:cs="Times New Roman"/>
          <w:color w:val="000000" w:themeColor="text1"/>
        </w:rPr>
        <w:t>m/d</w:t>
      </w:r>
      <w:r>
        <w:rPr>
          <w:rFonts w:hAnsi="Calibri" w:cs="Times New Roman"/>
          <w:color w:val="000000" w:themeColor="text1"/>
        </w:rPr>
        <w:t>；</w:t>
      </w:r>
    </w:p>
    <w:p>
      <w:pPr>
        <w:spacing w:line="520" w:lineRule="exact"/>
        <w:ind w:firstLine="1200" w:firstLineChars="500"/>
        <w:rPr>
          <w:rFonts w:cs="Times New Roman"/>
          <w:color w:val="000000" w:themeColor="text1"/>
        </w:rPr>
      </w:pPr>
      <w:r>
        <w:rPr>
          <w:rFonts w:cs="Times New Roman"/>
          <w:color w:val="000000" w:themeColor="text1"/>
        </w:rPr>
        <w:t>D</w:t>
      </w:r>
      <w:r>
        <w:rPr>
          <w:rFonts w:cs="Times New Roman"/>
          <w:color w:val="000000" w:themeColor="text1"/>
          <w:vertAlign w:val="subscript"/>
        </w:rPr>
        <w:t>L</w:t>
      </w:r>
      <w:r>
        <w:rPr>
          <w:rFonts w:cs="Times New Roman"/>
          <w:color w:val="000000" w:themeColor="text1"/>
        </w:rPr>
        <w:t>——</w:t>
      </w:r>
      <w:r>
        <w:rPr>
          <w:rFonts w:hAnsi="Calibri" w:cs="Times New Roman"/>
          <w:color w:val="000000" w:themeColor="text1"/>
        </w:rPr>
        <w:t>纵向弥散系数（</w:t>
      </w:r>
      <w:r>
        <w:rPr>
          <w:rFonts w:cs="Times New Roman"/>
          <w:color w:val="000000" w:themeColor="text1"/>
        </w:rPr>
        <w:t>L</w:t>
      </w:r>
      <w:r>
        <w:rPr>
          <w:rFonts w:cs="Times New Roman"/>
          <w:color w:val="000000" w:themeColor="text1"/>
          <w:vertAlign w:val="superscript"/>
        </w:rPr>
        <w:t>2</w:t>
      </w:r>
      <w:r>
        <w:rPr>
          <w:rFonts w:cs="Times New Roman"/>
          <w:color w:val="000000" w:themeColor="text1"/>
        </w:rPr>
        <w:t>/T</w:t>
      </w:r>
      <w:r>
        <w:rPr>
          <w:rFonts w:hAnsi="Calibri" w:cs="Times New Roman"/>
          <w:color w:val="000000" w:themeColor="text1"/>
        </w:rPr>
        <w:t>），</w:t>
      </w:r>
      <w:r>
        <w:rPr>
          <w:rFonts w:cs="Times New Roman"/>
          <w:color w:val="000000" w:themeColor="text1"/>
        </w:rPr>
        <w:t>m</w:t>
      </w:r>
      <w:r>
        <w:rPr>
          <w:rFonts w:cs="Times New Roman"/>
          <w:color w:val="000000" w:themeColor="text1"/>
          <w:vertAlign w:val="superscript"/>
        </w:rPr>
        <w:t>2</w:t>
      </w:r>
      <w:r>
        <w:rPr>
          <w:rFonts w:cs="Times New Roman"/>
          <w:color w:val="000000" w:themeColor="text1"/>
        </w:rPr>
        <w:t>/d</w:t>
      </w:r>
      <w:r>
        <w:rPr>
          <w:rFonts w:hAnsi="Calibri" w:cs="Times New Roman"/>
          <w:color w:val="000000" w:themeColor="text1"/>
        </w:rPr>
        <w:t>；</w:t>
      </w:r>
    </w:p>
    <w:p>
      <w:pPr>
        <w:spacing w:line="520" w:lineRule="exact"/>
        <w:ind w:firstLine="1200" w:firstLineChars="500"/>
        <w:rPr>
          <w:rFonts w:cs="Times New Roman"/>
          <w:color w:val="000000" w:themeColor="text1"/>
        </w:rPr>
      </w:pPr>
      <w:r>
        <w:rPr>
          <w:rFonts w:cs="Times New Roman"/>
          <w:bCs/>
          <w:color w:val="000000" w:themeColor="text1"/>
        </w:rPr>
        <w:t>ERFC——余误差函数。</w:t>
      </w:r>
      <w:r>
        <w:rPr>
          <w:rFonts w:cs="Times New Roman"/>
          <w:color w:val="000000" w:themeColor="text1"/>
        </w:rPr>
        <w:t xml:space="preserve"> </w:t>
      </w:r>
    </w:p>
    <w:p>
      <w:pPr>
        <w:ind w:firstLine="480"/>
        <w:rPr>
          <w:color w:val="000000" w:themeColor="text1"/>
        </w:rPr>
      </w:pPr>
      <w:r>
        <w:rPr>
          <w:rFonts w:hint="eastAsia"/>
          <w:color w:val="000000" w:themeColor="text1"/>
        </w:rPr>
        <w:t>（</w:t>
      </w:r>
      <w:r>
        <w:rPr>
          <w:color w:val="000000" w:themeColor="text1"/>
        </w:rPr>
        <w:t>7</w:t>
      </w:r>
      <w:r>
        <w:rPr>
          <w:rFonts w:hint="eastAsia"/>
          <w:color w:val="000000" w:themeColor="text1"/>
        </w:rPr>
        <w:t>）预测模型相关参数选取</w:t>
      </w:r>
    </w:p>
    <w:p>
      <w:pPr>
        <w:ind w:firstLine="480"/>
        <w:rPr>
          <w:color w:val="000000" w:themeColor="text1"/>
        </w:rPr>
      </w:pPr>
      <w:r>
        <w:rPr>
          <w:rFonts w:hint="eastAsia"/>
          <w:color w:val="000000" w:themeColor="text1"/>
        </w:rPr>
        <w:t>①渗透系数：本项目区以粉土质砂为主，渗透系数取最大值1.0</w:t>
      </w:r>
      <w:r>
        <w:rPr>
          <w:color w:val="000000" w:themeColor="text1"/>
        </w:rPr>
        <w:t>m/d</w:t>
      </w:r>
      <w:r>
        <w:rPr>
          <w:rFonts w:hint="eastAsia"/>
          <w:color w:val="000000" w:themeColor="text1"/>
        </w:rPr>
        <w:t>。</w:t>
      </w:r>
    </w:p>
    <w:p>
      <w:pPr>
        <w:ind w:firstLine="480"/>
        <w:rPr>
          <w:color w:val="000000" w:themeColor="text1"/>
        </w:rPr>
      </w:pPr>
      <w:r>
        <w:rPr>
          <w:rFonts w:hint="eastAsia"/>
          <w:color w:val="000000" w:themeColor="text1"/>
        </w:rPr>
        <w:t>②地下水流速及流向：</w:t>
      </w:r>
      <w:r>
        <w:rPr>
          <w:rFonts w:hint="eastAsia"/>
          <w:bCs/>
          <w:color w:val="000000" w:themeColor="text1"/>
        </w:rPr>
        <w:t>采用水动力学断面法计算地下水流速：</w:t>
      </w:r>
    </w:p>
    <w:p>
      <w:pPr>
        <w:ind w:firstLine="1200" w:firstLineChars="500"/>
        <w:rPr>
          <w:color w:val="000000" w:themeColor="text1"/>
        </w:rPr>
      </w:pPr>
      <w:r>
        <w:rPr>
          <w:color w:val="000000" w:themeColor="text1"/>
        </w:rPr>
        <w:t>V=KI</w:t>
      </w:r>
    </w:p>
    <w:p>
      <w:pPr>
        <w:ind w:firstLine="1200" w:firstLineChars="500"/>
        <w:rPr>
          <w:bCs/>
          <w:color w:val="000000" w:themeColor="text1"/>
        </w:rPr>
      </w:pPr>
      <w:r>
        <w:rPr>
          <w:bCs/>
          <w:color w:val="000000" w:themeColor="text1"/>
        </w:rPr>
        <w:t>u=V/n</w:t>
      </w:r>
    </w:p>
    <w:p>
      <w:pPr>
        <w:ind w:firstLine="1200" w:firstLineChars="500"/>
        <w:rPr>
          <w:bCs/>
          <w:color w:val="000000" w:themeColor="text1"/>
        </w:rPr>
      </w:pPr>
      <w:r>
        <w:rPr>
          <w:rFonts w:hint="eastAsia"/>
          <w:bCs/>
          <w:color w:val="000000" w:themeColor="text1"/>
        </w:rPr>
        <w:t>式中，</w:t>
      </w:r>
      <w:r>
        <w:rPr>
          <w:bCs/>
          <w:color w:val="000000" w:themeColor="text1"/>
        </w:rPr>
        <w:t>I</w:t>
      </w:r>
      <w:r>
        <w:rPr>
          <w:rFonts w:hint="eastAsia"/>
          <w:bCs/>
          <w:color w:val="000000" w:themeColor="text1"/>
        </w:rPr>
        <w:t>为断面间的水力坡度；</w:t>
      </w:r>
    </w:p>
    <w:p>
      <w:pPr>
        <w:ind w:firstLine="1200" w:firstLineChars="500"/>
        <w:rPr>
          <w:bCs/>
          <w:color w:val="000000" w:themeColor="text1"/>
        </w:rPr>
      </w:pPr>
      <w:r>
        <w:rPr>
          <w:bCs/>
          <w:color w:val="000000" w:themeColor="text1"/>
        </w:rPr>
        <w:t>K</w:t>
      </w:r>
      <w:r>
        <w:rPr>
          <w:rFonts w:hint="eastAsia"/>
          <w:bCs/>
          <w:color w:val="000000" w:themeColor="text1"/>
        </w:rPr>
        <w:t>为断面间平均渗透系数（</w:t>
      </w:r>
      <w:r>
        <w:rPr>
          <w:bCs/>
          <w:color w:val="000000" w:themeColor="text1"/>
        </w:rPr>
        <w:t>m/d</w:t>
      </w:r>
      <w:r>
        <w:rPr>
          <w:rFonts w:hint="eastAsia"/>
          <w:bCs/>
          <w:color w:val="000000" w:themeColor="text1"/>
        </w:rPr>
        <w:t>）；</w:t>
      </w:r>
    </w:p>
    <w:p>
      <w:pPr>
        <w:ind w:firstLine="1200" w:firstLineChars="500"/>
        <w:rPr>
          <w:bCs/>
          <w:color w:val="000000" w:themeColor="text1"/>
        </w:rPr>
      </w:pPr>
      <w:r>
        <w:rPr>
          <w:bCs/>
          <w:color w:val="000000" w:themeColor="text1"/>
        </w:rPr>
        <w:t>n</w:t>
      </w:r>
      <w:r>
        <w:rPr>
          <w:rFonts w:hint="eastAsia"/>
          <w:bCs/>
          <w:color w:val="000000" w:themeColor="text1"/>
        </w:rPr>
        <w:t>为含水层的孔隙率；</w:t>
      </w:r>
    </w:p>
    <w:p>
      <w:pPr>
        <w:ind w:firstLine="1200" w:firstLineChars="500"/>
        <w:rPr>
          <w:bCs/>
          <w:color w:val="000000" w:themeColor="text1"/>
        </w:rPr>
      </w:pPr>
      <w:r>
        <w:rPr>
          <w:bCs/>
          <w:color w:val="000000" w:themeColor="text1"/>
        </w:rPr>
        <w:t>V</w:t>
      </w:r>
      <w:r>
        <w:rPr>
          <w:rFonts w:hint="eastAsia"/>
          <w:bCs/>
          <w:color w:val="000000" w:themeColor="text1"/>
        </w:rPr>
        <w:t>为渗透速度（</w:t>
      </w:r>
      <w:r>
        <w:rPr>
          <w:bCs/>
          <w:color w:val="000000" w:themeColor="text1"/>
        </w:rPr>
        <w:t>m/d</w:t>
      </w:r>
      <w:r>
        <w:rPr>
          <w:rFonts w:hint="eastAsia"/>
          <w:bCs/>
          <w:color w:val="000000" w:themeColor="text1"/>
        </w:rPr>
        <w:t>）；</w:t>
      </w:r>
    </w:p>
    <w:p>
      <w:pPr>
        <w:ind w:firstLine="1200" w:firstLineChars="500"/>
        <w:rPr>
          <w:bCs/>
          <w:color w:val="000000" w:themeColor="text1"/>
        </w:rPr>
      </w:pPr>
      <w:r>
        <w:rPr>
          <w:bCs/>
          <w:color w:val="000000" w:themeColor="text1"/>
        </w:rPr>
        <w:t>u</w:t>
      </w:r>
      <w:r>
        <w:rPr>
          <w:rFonts w:hint="eastAsia"/>
          <w:bCs/>
          <w:color w:val="000000" w:themeColor="text1"/>
        </w:rPr>
        <w:t>为实际流速（</w:t>
      </w:r>
      <w:r>
        <w:rPr>
          <w:bCs/>
          <w:color w:val="000000" w:themeColor="text1"/>
        </w:rPr>
        <w:t>m/d</w:t>
      </w:r>
      <w:r>
        <w:rPr>
          <w:rFonts w:hint="eastAsia"/>
          <w:bCs/>
          <w:color w:val="000000" w:themeColor="text1"/>
        </w:rPr>
        <w:t>）。</w:t>
      </w:r>
    </w:p>
    <w:p>
      <w:pPr>
        <w:ind w:firstLine="480"/>
        <w:rPr>
          <w:bCs/>
          <w:color w:val="000000" w:themeColor="text1"/>
        </w:rPr>
      </w:pPr>
      <w:r>
        <w:rPr>
          <w:rFonts w:hint="eastAsia"/>
          <w:bCs/>
          <w:color w:val="000000" w:themeColor="text1"/>
        </w:rPr>
        <w:t>根据现场调查地形地貌和岩层倾角，确定水力坡度取较不利情况，即</w:t>
      </w:r>
      <w:r>
        <w:rPr>
          <w:bCs/>
          <w:color w:val="000000" w:themeColor="text1"/>
        </w:rPr>
        <w:t>I</w:t>
      </w:r>
      <w:r>
        <w:rPr>
          <w:rFonts w:hint="eastAsia"/>
          <w:bCs/>
          <w:color w:val="000000" w:themeColor="text1"/>
        </w:rPr>
        <w:t>取较大值为</w:t>
      </w:r>
      <w:r>
        <w:rPr>
          <w:bCs/>
          <w:color w:val="000000" w:themeColor="text1"/>
        </w:rPr>
        <w:t>0.3</w:t>
      </w:r>
      <w:r>
        <w:rPr>
          <w:rFonts w:hint="eastAsia"/>
          <w:bCs/>
          <w:color w:val="000000" w:themeColor="text1"/>
        </w:rPr>
        <w:t>，有效孔隙度</w:t>
      </w:r>
      <w:r>
        <w:rPr>
          <w:bCs/>
          <w:color w:val="000000" w:themeColor="text1"/>
        </w:rPr>
        <w:t>n</w:t>
      </w:r>
      <w:r>
        <w:rPr>
          <w:rFonts w:hint="eastAsia"/>
          <w:bCs/>
          <w:color w:val="000000" w:themeColor="text1"/>
        </w:rPr>
        <w:t>为0.5。按上述公式进行计算得出地下水流速为0.6</w:t>
      </w:r>
      <w:r>
        <w:rPr>
          <w:bCs/>
          <w:color w:val="000000" w:themeColor="text1"/>
        </w:rPr>
        <w:t>m/d</w:t>
      </w:r>
      <w:r>
        <w:rPr>
          <w:rFonts w:hint="eastAsia"/>
          <w:bCs/>
          <w:color w:val="000000" w:themeColor="text1"/>
        </w:rPr>
        <w:t>。</w:t>
      </w:r>
    </w:p>
    <w:p>
      <w:pPr>
        <w:ind w:firstLine="480"/>
        <w:rPr>
          <w:color w:val="000000" w:themeColor="text1"/>
        </w:rPr>
      </w:pPr>
      <w:r>
        <w:rPr>
          <w:rFonts w:hint="eastAsia"/>
          <w:color w:val="000000" w:themeColor="text1"/>
        </w:rPr>
        <w:t>④纵向弥散系数：根据计算公式并类比同类地区资料，取值为</w:t>
      </w:r>
      <w:r>
        <w:rPr>
          <w:color w:val="000000" w:themeColor="text1"/>
        </w:rPr>
        <w:t>0.5m</w:t>
      </w:r>
      <w:r>
        <w:rPr>
          <w:color w:val="000000" w:themeColor="text1"/>
          <w:vertAlign w:val="superscript"/>
        </w:rPr>
        <w:t>2</w:t>
      </w:r>
      <w:r>
        <w:rPr>
          <w:color w:val="000000" w:themeColor="text1"/>
        </w:rPr>
        <w:t>/d</w:t>
      </w:r>
      <w:r>
        <w:rPr>
          <w:rFonts w:hint="eastAsia"/>
          <w:color w:val="000000" w:themeColor="text1"/>
        </w:rPr>
        <w:t>。</w:t>
      </w:r>
    </w:p>
    <w:p>
      <w:pPr>
        <w:ind w:firstLine="480"/>
        <w:rPr>
          <w:color w:val="000000" w:themeColor="text1"/>
        </w:rPr>
      </w:pPr>
      <w:r>
        <w:rPr>
          <w:rFonts w:hint="eastAsia"/>
          <w:color w:val="000000" w:themeColor="text1"/>
        </w:rPr>
        <w:t>⑤持续泄露时间：由于污水处理站为地埋式，泄露不容易被发现，因此持续泄露时长取30d。</w:t>
      </w:r>
    </w:p>
    <w:p>
      <w:pPr>
        <w:ind w:firstLine="480"/>
        <w:rPr>
          <w:rFonts w:cs="Times New Roman"/>
          <w:color w:val="000000" w:themeColor="text1"/>
        </w:rPr>
      </w:pPr>
      <w:r>
        <w:rPr>
          <w:rFonts w:hint="eastAsia"/>
          <w:color w:val="000000" w:themeColor="text1"/>
        </w:rPr>
        <w:t>（</w:t>
      </w:r>
      <w:r>
        <w:rPr>
          <w:color w:val="000000" w:themeColor="text1"/>
        </w:rPr>
        <w:t>8</w:t>
      </w:r>
      <w:r>
        <w:rPr>
          <w:rFonts w:hint="eastAsia"/>
          <w:color w:val="000000" w:themeColor="text1"/>
        </w:rPr>
        <w:t>）耗氧量预测结果</w:t>
      </w:r>
    </w:p>
    <w:p>
      <w:pPr>
        <w:ind w:firstLine="480"/>
        <w:rPr>
          <w:color w:val="000000" w:themeColor="text1"/>
        </w:rPr>
      </w:pPr>
      <w:r>
        <w:rPr>
          <w:rFonts w:hint="eastAsia"/>
          <w:bCs/>
          <w:color w:val="000000" w:themeColor="text1"/>
        </w:rPr>
        <w:t>根据预测方法，</w:t>
      </w:r>
      <w:r>
        <w:rPr>
          <w:rFonts w:hint="eastAsia"/>
          <w:color w:val="000000" w:themeColor="text1"/>
        </w:rPr>
        <w:t>下游不同时间不同距离耗氧量的预测浓度见表6.2.2-3，泄漏点下游地下水耗氧量浓度-距离关系图见图6.2.2-1，泄露不同时间超标情况见表6.2.2-4：</w:t>
      </w:r>
    </w:p>
    <w:p>
      <w:pPr>
        <w:pStyle w:val="54"/>
        <w:rPr>
          <w:color w:val="000000" w:themeColor="text1"/>
        </w:rPr>
      </w:pPr>
      <w:r>
        <w:rPr>
          <w:rFonts w:hint="eastAsia"/>
          <w:color w:val="000000" w:themeColor="text1"/>
        </w:rPr>
        <w:t>表6.2.2-3</w:t>
      </w:r>
      <w:r>
        <w:rPr>
          <w:color w:val="000000" w:themeColor="text1"/>
        </w:rPr>
        <w:t xml:space="preserve">   </w:t>
      </w:r>
      <w:r>
        <w:rPr>
          <w:rFonts w:hint="eastAsia"/>
          <w:color w:val="000000" w:themeColor="text1"/>
        </w:rPr>
        <w:t>非正常泄漏不同时间下游不同距离处耗氧量浓度</w:t>
      </w:r>
    </w:p>
    <w:tbl>
      <w:tblPr>
        <w:tblStyle w:val="42"/>
        <w:tblW w:w="70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71"/>
        <w:gridCol w:w="1273"/>
        <w:gridCol w:w="993"/>
        <w:gridCol w:w="1417"/>
        <w:gridCol w:w="992"/>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044" w:type="dxa"/>
            <w:gridSpan w:val="2"/>
            <w:tcBorders>
              <w:top w:val="single" w:color="auto" w:sz="4" w:space="0"/>
              <w:left w:val="single" w:color="auto" w:sz="4" w:space="0"/>
              <w:bottom w:val="single" w:color="auto" w:sz="4" w:space="0"/>
              <w:right w:val="single" w:color="auto" w:sz="4" w:space="0"/>
            </w:tcBorders>
          </w:tcPr>
          <w:p>
            <w:pPr>
              <w:pStyle w:val="55"/>
              <w:rPr>
                <w:color w:val="000000" w:themeColor="text1"/>
                <w:kern w:val="0"/>
              </w:rPr>
            </w:pPr>
            <w:r>
              <w:rPr>
                <w:rFonts w:hint="eastAsia"/>
                <w:color w:val="000000" w:themeColor="text1"/>
                <w:kern w:val="0"/>
              </w:rPr>
              <w:t>30天</w:t>
            </w:r>
          </w:p>
        </w:tc>
        <w:tc>
          <w:tcPr>
            <w:tcW w:w="2410"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100</w:t>
            </w:r>
            <w:r>
              <w:rPr>
                <w:rFonts w:hint="eastAsia"/>
                <w:color w:val="000000" w:themeColor="text1"/>
                <w:kern w:val="0"/>
              </w:rPr>
              <w:t>天</w:t>
            </w:r>
          </w:p>
        </w:tc>
        <w:tc>
          <w:tcPr>
            <w:tcW w:w="2552"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1000</w:t>
            </w:r>
            <w:r>
              <w:rPr>
                <w:rFonts w:hint="eastAsia"/>
                <w:color w:val="000000" w:themeColor="text1"/>
                <w:kern w:val="0"/>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77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x</w:t>
            </w:r>
            <w:r>
              <w:rPr>
                <w:rFonts w:hint="eastAsia"/>
                <w:color w:val="000000" w:themeColor="text1"/>
              </w:rPr>
              <w:t>（</w:t>
            </w:r>
            <w:r>
              <w:rPr>
                <w:color w:val="000000" w:themeColor="text1"/>
              </w:rPr>
              <w:t>m</w:t>
            </w:r>
            <w:r>
              <w:rPr>
                <w:rFonts w:hint="eastAsia"/>
                <w:color w:val="000000" w:themeColor="text1"/>
              </w:rPr>
              <w:t>）</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c</w:t>
            </w:r>
            <w:r>
              <w:rPr>
                <w:rFonts w:hint="eastAsia"/>
                <w:color w:val="000000" w:themeColor="text1"/>
              </w:rPr>
              <w:t>（</w:t>
            </w:r>
            <w:r>
              <w:rPr>
                <w:color w:val="000000" w:themeColor="text1"/>
              </w:rPr>
              <w:t>mg/L</w:t>
            </w:r>
            <w:r>
              <w:rPr>
                <w:rFonts w:hint="eastAsia"/>
                <w:color w:val="000000" w:themeColor="text1"/>
              </w:rPr>
              <w:t>）</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x</w:t>
            </w:r>
            <w:r>
              <w:rPr>
                <w:rFonts w:hint="eastAsia"/>
                <w:color w:val="000000" w:themeColor="text1"/>
              </w:rPr>
              <w:t>（</w:t>
            </w:r>
            <w:r>
              <w:rPr>
                <w:color w:val="000000" w:themeColor="text1"/>
              </w:rPr>
              <w:t>m</w:t>
            </w:r>
            <w:r>
              <w:rPr>
                <w:rFonts w:hint="eastAsia"/>
                <w:color w:val="000000" w:themeColor="text1"/>
              </w:rPr>
              <w:t>）</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c</w:t>
            </w:r>
            <w:r>
              <w:rPr>
                <w:rFonts w:hint="eastAsia"/>
                <w:color w:val="000000" w:themeColor="text1"/>
              </w:rPr>
              <w:t>（</w:t>
            </w:r>
            <w:r>
              <w:rPr>
                <w:color w:val="000000" w:themeColor="text1"/>
              </w:rPr>
              <w:t>mg/L</w:t>
            </w:r>
            <w:r>
              <w:rPr>
                <w:rFonts w:hint="eastAsia"/>
                <w:color w:val="000000" w:themeColor="text1"/>
              </w:rPr>
              <w:t>）</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x</w:t>
            </w:r>
            <w:r>
              <w:rPr>
                <w:rFonts w:hint="eastAsia"/>
                <w:color w:val="000000" w:themeColor="text1"/>
              </w:rPr>
              <w:t>（</w:t>
            </w:r>
            <w:r>
              <w:rPr>
                <w:color w:val="000000" w:themeColor="text1"/>
              </w:rPr>
              <w:t>m</w:t>
            </w:r>
            <w:r>
              <w:rPr>
                <w:rFonts w:hint="eastAsia"/>
                <w:color w:val="000000" w:themeColor="text1"/>
              </w:rPr>
              <w:t>）</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c</w:t>
            </w:r>
            <w:r>
              <w:rPr>
                <w:rFonts w:hint="eastAsia"/>
                <w:color w:val="000000" w:themeColor="text1"/>
              </w:rPr>
              <w:t>（</w:t>
            </w:r>
            <w:r>
              <w:rPr>
                <w:color w:val="000000" w:themeColor="text1"/>
              </w:rPr>
              <w:t>mg/L</w:t>
            </w:r>
            <w:r>
              <w:rPr>
                <w:rFonts w:hint="eastAsia"/>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7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0</w:t>
            </w:r>
          </w:p>
        </w:tc>
        <w:tc>
          <w:tcPr>
            <w:tcW w:w="1273"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544</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1.40×10</w:t>
            </w:r>
            <w:r>
              <w:rPr>
                <w:rFonts w:hint="eastAsia"/>
                <w:color w:val="000000" w:themeColor="text1"/>
                <w:vertAlign w:val="superscript"/>
              </w:rPr>
              <w:t>-4</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7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10</w:t>
            </w:r>
          </w:p>
        </w:tc>
        <w:tc>
          <w:tcPr>
            <w:tcW w:w="1273"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519</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2.31</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50</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7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20</w:t>
            </w:r>
          </w:p>
        </w:tc>
        <w:tc>
          <w:tcPr>
            <w:tcW w:w="1273"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223</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208</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100</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7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30</w:t>
            </w:r>
          </w:p>
        </w:tc>
        <w:tc>
          <w:tcPr>
            <w:tcW w:w="1273"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7.74</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60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263</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150</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7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40</w:t>
            </w:r>
          </w:p>
        </w:tc>
        <w:tc>
          <w:tcPr>
            <w:tcW w:w="1273"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0.0016</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80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12.4</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200</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7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50</w:t>
            </w:r>
          </w:p>
        </w:tc>
        <w:tc>
          <w:tcPr>
            <w:tcW w:w="1273"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1.4×10</w:t>
            </w:r>
            <w:r>
              <w:rPr>
                <w:rFonts w:hint="eastAsia"/>
                <w:color w:val="000000" w:themeColor="text1"/>
                <w:vertAlign w:val="superscript"/>
              </w:rPr>
              <w:t>-6</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100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0.0172</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250</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7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60</w:t>
            </w:r>
          </w:p>
        </w:tc>
        <w:tc>
          <w:tcPr>
            <w:tcW w:w="1273"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5.1×10</w:t>
            </w:r>
            <w:r>
              <w:rPr>
                <w:rFonts w:hint="eastAsia"/>
                <w:color w:val="000000" w:themeColor="text1"/>
                <w:vertAlign w:val="superscript"/>
              </w:rPr>
              <w:t>-12</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120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5.39×10</w:t>
            </w:r>
            <w:r>
              <w:rPr>
                <w:rFonts w:hint="eastAsia"/>
                <w:color w:val="000000" w:themeColor="text1"/>
                <w:vertAlign w:val="superscript"/>
              </w:rPr>
              <w:t>-7</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300</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7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70</w:t>
            </w:r>
          </w:p>
        </w:tc>
        <w:tc>
          <w:tcPr>
            <w:tcW w:w="1273"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0</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140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3.62×10</w:t>
            </w:r>
            <w:r>
              <w:rPr>
                <w:rFonts w:hint="eastAsia"/>
                <w:color w:val="000000" w:themeColor="text1"/>
                <w:vertAlign w:val="superscript"/>
              </w:rPr>
              <w:t>-13</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350</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2.68×10</w:t>
            </w:r>
            <w:r>
              <w:rPr>
                <w:rFonts w:hint="eastAsia"/>
                <w:color w:val="000000" w:themeColor="text1"/>
                <w:vertAlign w:val="superscript"/>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7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80</w:t>
            </w:r>
          </w:p>
        </w:tc>
        <w:tc>
          <w:tcPr>
            <w:tcW w:w="1273"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0</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160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400</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1.32×10</w:t>
            </w:r>
            <w:r>
              <w:rPr>
                <w:rFonts w:hint="eastAsia"/>
                <w:color w:val="000000" w:themeColor="text1"/>
                <w:vertAlign w:val="super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7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90</w:t>
            </w:r>
          </w:p>
        </w:tc>
        <w:tc>
          <w:tcPr>
            <w:tcW w:w="1273"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0</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180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450</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5.56×10</w:t>
            </w:r>
            <w:r>
              <w:rPr>
                <w:rFonts w:hint="eastAsia"/>
                <w:color w:val="000000" w:themeColor="text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7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100</w:t>
            </w:r>
          </w:p>
        </w:tc>
        <w:tc>
          <w:tcPr>
            <w:tcW w:w="1273"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0</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200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500</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7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110</w:t>
            </w:r>
          </w:p>
        </w:tc>
        <w:tc>
          <w:tcPr>
            <w:tcW w:w="1273"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0</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220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550</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7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120</w:t>
            </w:r>
          </w:p>
        </w:tc>
        <w:tc>
          <w:tcPr>
            <w:tcW w:w="1273"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0</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240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600</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7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130</w:t>
            </w:r>
          </w:p>
        </w:tc>
        <w:tc>
          <w:tcPr>
            <w:tcW w:w="1273"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0</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260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650</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7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140</w:t>
            </w:r>
          </w:p>
        </w:tc>
        <w:tc>
          <w:tcPr>
            <w:tcW w:w="1273"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0</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280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700</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7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150</w:t>
            </w:r>
          </w:p>
        </w:tc>
        <w:tc>
          <w:tcPr>
            <w:tcW w:w="1273"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0</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300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750</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5.54×10</w:t>
            </w:r>
            <w:r>
              <w:rPr>
                <w:rFonts w:hint="eastAsia"/>
                <w:color w:val="000000" w:themeColor="text1"/>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7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160</w:t>
            </w:r>
          </w:p>
        </w:tc>
        <w:tc>
          <w:tcPr>
            <w:tcW w:w="1273"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0</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320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800</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6.87×10</w:t>
            </w:r>
            <w:r>
              <w:rPr>
                <w:rFonts w:hint="eastAsia"/>
                <w:color w:val="000000" w:themeColor="text1"/>
                <w:vertAlign w:val="superscript"/>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7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170</w:t>
            </w:r>
          </w:p>
        </w:tc>
        <w:tc>
          <w:tcPr>
            <w:tcW w:w="1273"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0</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340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850</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7.85×10</w:t>
            </w:r>
            <w:r>
              <w:rPr>
                <w:rFonts w:hint="eastAsia"/>
                <w:color w:val="000000" w:themeColor="text1"/>
                <w:vertAlign w:val="superscript"/>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7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180</w:t>
            </w:r>
          </w:p>
        </w:tc>
        <w:tc>
          <w:tcPr>
            <w:tcW w:w="1273"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0</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360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900</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7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190</w:t>
            </w:r>
          </w:p>
        </w:tc>
        <w:tc>
          <w:tcPr>
            <w:tcW w:w="1273"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0</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380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950</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71"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200</w:t>
            </w:r>
          </w:p>
        </w:tc>
        <w:tc>
          <w:tcPr>
            <w:tcW w:w="1273" w:type="dxa"/>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0</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400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1000</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r>
    </w:tbl>
    <w:p>
      <w:pPr>
        <w:pStyle w:val="54"/>
        <w:rPr>
          <w:color w:val="000000" w:themeColor="text1"/>
        </w:rPr>
      </w:pPr>
      <w:r>
        <w:rPr>
          <w:color w:val="000000" w:themeColor="text1"/>
        </w:rPr>
        <w:drawing>
          <wp:inline distT="0" distB="0" distL="0" distR="0">
            <wp:extent cx="4388485" cy="2510155"/>
            <wp:effectExtent l="19050" t="0" r="11502" b="4313"/>
            <wp:docPr id="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pStyle w:val="54"/>
        <w:rPr>
          <w:color w:val="000000" w:themeColor="text1"/>
        </w:rPr>
      </w:pPr>
      <w:r>
        <w:rPr>
          <w:color w:val="000000" w:themeColor="text1"/>
        </w:rPr>
        <w:drawing>
          <wp:inline distT="0" distB="0" distL="0" distR="0">
            <wp:extent cx="4448810" cy="2596515"/>
            <wp:effectExtent l="19050" t="0" r="27317" b="0"/>
            <wp:docPr id="1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54"/>
        <w:rPr>
          <w:color w:val="000000" w:themeColor="text1"/>
        </w:rPr>
      </w:pPr>
      <w:r>
        <w:rPr>
          <w:color w:val="000000" w:themeColor="text1"/>
        </w:rPr>
        <w:drawing>
          <wp:inline distT="0" distB="0" distL="0" distR="0">
            <wp:extent cx="4440555" cy="2570480"/>
            <wp:effectExtent l="19050" t="0" r="16894" b="1078"/>
            <wp:docPr id="14"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pStyle w:val="54"/>
        <w:rPr>
          <w:color w:val="000000" w:themeColor="text1"/>
        </w:rPr>
      </w:pPr>
      <w:r>
        <w:rPr>
          <w:rFonts w:hint="eastAsia"/>
          <w:color w:val="000000" w:themeColor="text1"/>
        </w:rPr>
        <w:t>图6.2.2-1  泄漏点下游地下水耗氧量浓度-距离关系图</w:t>
      </w:r>
    </w:p>
    <w:p>
      <w:pPr>
        <w:pStyle w:val="54"/>
        <w:rPr>
          <w:color w:val="000000" w:themeColor="text1"/>
        </w:rPr>
      </w:pPr>
    </w:p>
    <w:p>
      <w:pPr>
        <w:pStyle w:val="54"/>
        <w:rPr>
          <w:color w:val="000000" w:themeColor="text1"/>
        </w:rPr>
      </w:pPr>
    </w:p>
    <w:p>
      <w:pPr>
        <w:pStyle w:val="54"/>
        <w:rPr>
          <w:color w:val="000000" w:themeColor="text1"/>
        </w:rPr>
      </w:pPr>
    </w:p>
    <w:p>
      <w:pPr>
        <w:pStyle w:val="54"/>
        <w:rPr>
          <w:color w:val="000000" w:themeColor="text1"/>
        </w:rPr>
      </w:pPr>
      <w:r>
        <w:rPr>
          <w:rFonts w:hint="eastAsia"/>
          <w:color w:val="000000" w:themeColor="text1"/>
        </w:rPr>
        <w:t>表6.2.2-4</w:t>
      </w:r>
      <w:r>
        <w:rPr>
          <w:color w:val="000000" w:themeColor="text1"/>
        </w:rPr>
        <w:t xml:space="preserve">  </w:t>
      </w:r>
      <w:r>
        <w:rPr>
          <w:rFonts w:hint="eastAsia"/>
          <w:color w:val="000000" w:themeColor="text1"/>
        </w:rPr>
        <w:t>非正常泄漏不同时间耗氧量超标情况</w:t>
      </w:r>
    </w:p>
    <w:tbl>
      <w:tblPr>
        <w:tblStyle w:val="42"/>
        <w:tblW w:w="77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18"/>
        <w:gridCol w:w="62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18" w:type="dxa"/>
            <w:vAlign w:val="center"/>
          </w:tcPr>
          <w:p>
            <w:pPr>
              <w:pStyle w:val="55"/>
              <w:rPr>
                <w:color w:val="000000" w:themeColor="text1"/>
              </w:rPr>
            </w:pPr>
            <w:r>
              <w:rPr>
                <w:rFonts w:hint="eastAsia"/>
                <w:color w:val="000000" w:themeColor="text1"/>
              </w:rPr>
              <w:t>预测时间</w:t>
            </w:r>
            <w:r>
              <w:rPr>
                <w:color w:val="000000" w:themeColor="text1"/>
              </w:rPr>
              <w:t>d</w:t>
            </w:r>
          </w:p>
        </w:tc>
        <w:tc>
          <w:tcPr>
            <w:tcW w:w="6290" w:type="dxa"/>
            <w:vAlign w:val="center"/>
          </w:tcPr>
          <w:p>
            <w:pPr>
              <w:pStyle w:val="55"/>
              <w:rPr>
                <w:color w:val="000000" w:themeColor="text1"/>
              </w:rPr>
            </w:pPr>
            <w:r>
              <w:rPr>
                <w:rFonts w:hint="eastAsia"/>
                <w:color w:val="000000" w:themeColor="text1"/>
              </w:rPr>
              <w:t>预测结果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18" w:type="dxa"/>
            <w:vAlign w:val="center"/>
          </w:tcPr>
          <w:p>
            <w:pPr>
              <w:pStyle w:val="55"/>
              <w:rPr>
                <w:color w:val="000000" w:themeColor="text1"/>
              </w:rPr>
            </w:pPr>
            <w:r>
              <w:rPr>
                <w:color w:val="000000" w:themeColor="text1"/>
              </w:rPr>
              <w:t>30</w:t>
            </w:r>
          </w:p>
        </w:tc>
        <w:tc>
          <w:tcPr>
            <w:tcW w:w="6290" w:type="dxa"/>
            <w:vAlign w:val="center"/>
          </w:tcPr>
          <w:p>
            <w:pPr>
              <w:pStyle w:val="55"/>
              <w:rPr>
                <w:color w:val="000000" w:themeColor="text1"/>
              </w:rPr>
            </w:pPr>
            <w:r>
              <w:rPr>
                <w:rFonts w:hint="eastAsia"/>
                <w:color w:val="000000" w:themeColor="text1"/>
              </w:rPr>
              <w:t>30天时，预测的最大值为543.9522mg/L，位于下游1m，预测超标距离最远为31m；影响距离最远为37m。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18" w:type="dxa"/>
            <w:vAlign w:val="center"/>
          </w:tcPr>
          <w:p>
            <w:pPr>
              <w:pStyle w:val="55"/>
              <w:rPr>
                <w:color w:val="000000" w:themeColor="text1"/>
              </w:rPr>
            </w:pPr>
            <w:r>
              <w:rPr>
                <w:color w:val="000000" w:themeColor="text1"/>
              </w:rPr>
              <w:t>100</w:t>
            </w:r>
          </w:p>
        </w:tc>
        <w:tc>
          <w:tcPr>
            <w:tcW w:w="6290" w:type="dxa"/>
            <w:vAlign w:val="center"/>
          </w:tcPr>
          <w:p>
            <w:pPr>
              <w:pStyle w:val="55"/>
              <w:rPr>
                <w:color w:val="000000" w:themeColor="text1"/>
              </w:rPr>
            </w:pPr>
            <w:r>
              <w:rPr>
                <w:rFonts w:hint="eastAsia"/>
                <w:color w:val="000000" w:themeColor="text1"/>
              </w:rPr>
              <w:t>100天时，预测的最大值为367.1513mg/L，位于下游51m，预测超标距离最远为85m；影响距离最远为95m。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18" w:type="dxa"/>
            <w:vAlign w:val="center"/>
          </w:tcPr>
          <w:p>
            <w:pPr>
              <w:pStyle w:val="55"/>
              <w:rPr>
                <w:color w:val="000000" w:themeColor="text1"/>
              </w:rPr>
            </w:pPr>
            <w:r>
              <w:rPr>
                <w:color w:val="000000" w:themeColor="text1"/>
              </w:rPr>
              <w:t>1000</w:t>
            </w:r>
          </w:p>
        </w:tc>
        <w:tc>
          <w:tcPr>
            <w:tcW w:w="6290" w:type="dxa"/>
            <w:vAlign w:val="center"/>
          </w:tcPr>
          <w:p>
            <w:pPr>
              <w:pStyle w:val="55"/>
              <w:rPr>
                <w:color w:val="000000" w:themeColor="text1"/>
              </w:rPr>
            </w:pPr>
            <w:r>
              <w:rPr>
                <w:rFonts w:hint="eastAsia"/>
                <w:color w:val="000000" w:themeColor="text1"/>
              </w:rPr>
              <w:t>1000天时，预测的最大值为122.8266mg/L，位于下游592m，预测超标距离最远为678m；影响距离最远为711m。</w:t>
            </w:r>
          </w:p>
        </w:tc>
      </w:tr>
    </w:tbl>
    <w:p>
      <w:pPr>
        <w:ind w:firstLine="480"/>
        <w:rPr>
          <w:color w:val="000000" w:themeColor="text1"/>
        </w:rPr>
      </w:pPr>
      <w:bookmarkStart w:id="205" w:name="_Hlk10022400"/>
      <w:r>
        <w:rPr>
          <w:rFonts w:hint="eastAsia"/>
          <w:color w:val="000000" w:themeColor="text1"/>
        </w:rPr>
        <w:t>根据预测结果，在短时泄漏情况下，泄漏点下游方向耗氧量浓度逐渐向下游方向扩散，在不考虑降解、吸附等物理化学</w:t>
      </w:r>
      <w:r>
        <w:rPr>
          <w:rFonts w:hint="eastAsia"/>
          <w:color w:val="000000" w:themeColor="text1"/>
          <w:lang w:eastAsia="zh-CN"/>
        </w:rPr>
        <w:t>反映情况</w:t>
      </w:r>
      <w:r>
        <w:rPr>
          <w:rFonts w:hint="eastAsia"/>
          <w:color w:val="000000" w:themeColor="text1"/>
        </w:rPr>
        <w:t>下，主要随水流扩散。根据预测结果，非正常工况后耗氧量泄漏：</w:t>
      </w:r>
      <w:r>
        <w:rPr>
          <w:color w:val="000000" w:themeColor="text1"/>
        </w:rPr>
        <w:t>30d</w:t>
      </w:r>
      <w:r>
        <w:rPr>
          <w:rFonts w:hint="eastAsia"/>
          <w:color w:val="000000" w:themeColor="text1"/>
        </w:rPr>
        <w:t>，下游影响距离最远为37</w:t>
      </w:r>
      <w:r>
        <w:rPr>
          <w:color w:val="000000" w:themeColor="text1"/>
        </w:rPr>
        <w:t>m</w:t>
      </w:r>
      <w:r>
        <w:rPr>
          <w:rFonts w:hint="eastAsia"/>
          <w:color w:val="000000" w:themeColor="text1"/>
        </w:rPr>
        <w:t>；泄漏后</w:t>
      </w:r>
      <w:r>
        <w:rPr>
          <w:color w:val="000000" w:themeColor="text1"/>
        </w:rPr>
        <w:t>100d</w:t>
      </w:r>
      <w:r>
        <w:rPr>
          <w:rFonts w:hint="eastAsia"/>
          <w:color w:val="000000" w:themeColor="text1"/>
        </w:rPr>
        <w:t>时，下游影响距离最远为95</w:t>
      </w:r>
      <w:r>
        <w:rPr>
          <w:color w:val="000000" w:themeColor="text1"/>
        </w:rPr>
        <w:t>m</w:t>
      </w:r>
      <w:r>
        <w:rPr>
          <w:rFonts w:hint="eastAsia"/>
          <w:color w:val="000000" w:themeColor="text1"/>
        </w:rPr>
        <w:t>；泄漏</w:t>
      </w:r>
      <w:r>
        <w:rPr>
          <w:color w:val="000000" w:themeColor="text1"/>
        </w:rPr>
        <w:t>1000d</w:t>
      </w:r>
      <w:r>
        <w:rPr>
          <w:rFonts w:hint="eastAsia"/>
          <w:color w:val="000000" w:themeColor="text1"/>
        </w:rPr>
        <w:t>后，下游影响距离最远为711</w:t>
      </w:r>
      <w:r>
        <w:rPr>
          <w:color w:val="000000" w:themeColor="text1"/>
        </w:rPr>
        <w:t>m</w:t>
      </w:r>
      <w:r>
        <w:rPr>
          <w:rFonts w:hint="eastAsia"/>
          <w:color w:val="000000" w:themeColor="text1"/>
        </w:rPr>
        <w:t>。</w:t>
      </w:r>
      <w:r>
        <w:rPr>
          <w:color w:val="000000" w:themeColor="text1"/>
        </w:rPr>
        <w:t xml:space="preserve"> </w:t>
      </w:r>
    </w:p>
    <w:bookmarkEnd w:id="205"/>
    <w:p>
      <w:pPr>
        <w:ind w:firstLine="480"/>
        <w:rPr>
          <w:rFonts w:cs="Times New Roman"/>
          <w:color w:val="000000" w:themeColor="text1"/>
        </w:rPr>
      </w:pPr>
      <w:r>
        <w:rPr>
          <w:rFonts w:hint="eastAsia"/>
          <w:color w:val="000000" w:themeColor="text1"/>
        </w:rPr>
        <w:t>（</w:t>
      </w:r>
      <w:r>
        <w:rPr>
          <w:color w:val="000000" w:themeColor="text1"/>
        </w:rPr>
        <w:t>8</w:t>
      </w:r>
      <w:r>
        <w:rPr>
          <w:rFonts w:hint="eastAsia"/>
          <w:color w:val="000000" w:themeColor="text1"/>
        </w:rPr>
        <w:t>）氨氮预测结果</w:t>
      </w:r>
    </w:p>
    <w:p>
      <w:pPr>
        <w:ind w:firstLine="480"/>
        <w:rPr>
          <w:color w:val="000000" w:themeColor="text1"/>
        </w:rPr>
      </w:pPr>
      <w:r>
        <w:rPr>
          <w:rFonts w:hint="eastAsia"/>
          <w:bCs/>
          <w:color w:val="000000" w:themeColor="text1"/>
        </w:rPr>
        <w:t>根据预测方法，</w:t>
      </w:r>
      <w:r>
        <w:rPr>
          <w:rFonts w:hint="eastAsia"/>
          <w:color w:val="000000" w:themeColor="text1"/>
        </w:rPr>
        <w:t>下游不同时间不同距离氨氮浓度的预测浓度见表6.2.2-5，泄漏点下游地下水氨氮浓度-距离关系图见图6.2.2-2，泄露不同时间超标情况见表6.2.2-6：</w:t>
      </w:r>
    </w:p>
    <w:p>
      <w:pPr>
        <w:pStyle w:val="54"/>
        <w:rPr>
          <w:color w:val="000000" w:themeColor="text1"/>
        </w:rPr>
      </w:pPr>
      <w:r>
        <w:rPr>
          <w:rFonts w:hint="eastAsia"/>
          <w:color w:val="000000" w:themeColor="text1"/>
        </w:rPr>
        <w:t>表6.2.2-5</w:t>
      </w:r>
      <w:r>
        <w:rPr>
          <w:color w:val="000000" w:themeColor="text1"/>
        </w:rPr>
        <w:t xml:space="preserve">   </w:t>
      </w:r>
      <w:r>
        <w:rPr>
          <w:rFonts w:hint="eastAsia"/>
          <w:color w:val="000000" w:themeColor="text1"/>
        </w:rPr>
        <w:t>非正常泄漏不同时间下游不同距离处氨氮浓度</w:t>
      </w:r>
    </w:p>
    <w:tbl>
      <w:tblPr>
        <w:tblStyle w:val="42"/>
        <w:tblW w:w="70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71"/>
        <w:gridCol w:w="1273"/>
        <w:gridCol w:w="993"/>
        <w:gridCol w:w="1417"/>
        <w:gridCol w:w="992"/>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04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30天</w:t>
            </w:r>
          </w:p>
        </w:tc>
        <w:tc>
          <w:tcPr>
            <w:tcW w:w="2410"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100</w:t>
            </w:r>
            <w:r>
              <w:rPr>
                <w:rFonts w:hint="eastAsia"/>
                <w:color w:val="000000" w:themeColor="text1"/>
                <w:kern w:val="0"/>
              </w:rPr>
              <w:t>天</w:t>
            </w:r>
          </w:p>
        </w:tc>
        <w:tc>
          <w:tcPr>
            <w:tcW w:w="2552"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1000</w:t>
            </w:r>
            <w:r>
              <w:rPr>
                <w:rFonts w:hint="eastAsia"/>
                <w:color w:val="000000" w:themeColor="text1"/>
                <w:kern w:val="0"/>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77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x</w:t>
            </w:r>
            <w:r>
              <w:rPr>
                <w:rFonts w:hint="eastAsia"/>
                <w:color w:val="000000" w:themeColor="text1"/>
              </w:rPr>
              <w:t>（</w:t>
            </w:r>
            <w:r>
              <w:rPr>
                <w:color w:val="000000" w:themeColor="text1"/>
              </w:rPr>
              <w:t>m</w:t>
            </w:r>
            <w:r>
              <w:rPr>
                <w:rFonts w:hint="eastAsia"/>
                <w:color w:val="000000" w:themeColor="text1"/>
              </w:rPr>
              <w:t>）</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c</w:t>
            </w:r>
            <w:r>
              <w:rPr>
                <w:rFonts w:hint="eastAsia"/>
                <w:color w:val="000000" w:themeColor="text1"/>
              </w:rPr>
              <w:t>（</w:t>
            </w:r>
            <w:r>
              <w:rPr>
                <w:color w:val="000000" w:themeColor="text1"/>
              </w:rPr>
              <w:t>mg/L</w:t>
            </w:r>
            <w:r>
              <w:rPr>
                <w:rFonts w:hint="eastAsia"/>
                <w:color w:val="000000" w:themeColor="text1"/>
              </w:rPr>
              <w:t>）</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x</w:t>
            </w:r>
            <w:r>
              <w:rPr>
                <w:rFonts w:hint="eastAsia"/>
                <w:color w:val="000000" w:themeColor="text1"/>
              </w:rPr>
              <w:t>（</w:t>
            </w:r>
            <w:r>
              <w:rPr>
                <w:color w:val="000000" w:themeColor="text1"/>
              </w:rPr>
              <w:t>m</w:t>
            </w:r>
            <w:r>
              <w:rPr>
                <w:rFonts w:hint="eastAsia"/>
                <w:color w:val="000000" w:themeColor="text1"/>
              </w:rPr>
              <w:t>）</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c</w:t>
            </w:r>
            <w:r>
              <w:rPr>
                <w:rFonts w:hint="eastAsia"/>
                <w:color w:val="000000" w:themeColor="text1"/>
              </w:rPr>
              <w:t>（</w:t>
            </w:r>
            <w:r>
              <w:rPr>
                <w:color w:val="000000" w:themeColor="text1"/>
              </w:rPr>
              <w:t>mg/L</w:t>
            </w:r>
            <w:r>
              <w:rPr>
                <w:rFonts w:hint="eastAsia"/>
                <w:color w:val="000000" w:themeColor="text1"/>
              </w:rPr>
              <w:t>）</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x</w:t>
            </w:r>
            <w:r>
              <w:rPr>
                <w:rFonts w:hint="eastAsia"/>
                <w:color w:val="000000" w:themeColor="text1"/>
              </w:rPr>
              <w:t>（</w:t>
            </w:r>
            <w:r>
              <w:rPr>
                <w:color w:val="000000" w:themeColor="text1"/>
              </w:rPr>
              <w:t>m</w:t>
            </w:r>
            <w:r>
              <w:rPr>
                <w:rFonts w:hint="eastAsia"/>
                <w:color w:val="000000" w:themeColor="text1"/>
              </w:rPr>
              <w:t>）</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c</w:t>
            </w:r>
            <w:r>
              <w:rPr>
                <w:rFonts w:hint="eastAsia"/>
                <w:color w:val="000000" w:themeColor="text1"/>
              </w:rPr>
              <w:t>（</w:t>
            </w:r>
            <w:r>
              <w:rPr>
                <w:color w:val="000000" w:themeColor="text1"/>
              </w:rPr>
              <w:t>mg/L</w:t>
            </w:r>
            <w:r>
              <w:rPr>
                <w:rFonts w:hint="eastAsia"/>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7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50</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1.29×10</w:t>
            </w:r>
            <w:r>
              <w:rPr>
                <w:rFonts w:hint="eastAsia"/>
                <w:color w:val="000000" w:themeColor="text1"/>
                <w:vertAlign w:val="superscript"/>
              </w:rPr>
              <w:t>-5</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7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47.7</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0.212</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50</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7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20.5</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19.1</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100</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7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30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0.711</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60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24.2</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150</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7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1.48×10</w:t>
            </w:r>
            <w:r>
              <w:rPr>
                <w:rFonts w:hint="eastAsia"/>
                <w:color w:val="000000" w:themeColor="text1"/>
                <w:vertAlign w:val="superscript"/>
              </w:rPr>
              <w:t>-3</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80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1.14</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200</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7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50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1.29×10</w:t>
            </w:r>
            <w:r>
              <w:rPr>
                <w:rFonts w:hint="eastAsia"/>
                <w:color w:val="000000" w:themeColor="text1"/>
                <w:vertAlign w:val="superscript"/>
              </w:rPr>
              <w:t>-7</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100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1.58×10</w:t>
            </w:r>
            <w:r>
              <w:rPr>
                <w:rFonts w:hint="eastAsia"/>
                <w:color w:val="000000" w:themeColor="text1"/>
                <w:vertAlign w:val="superscript"/>
              </w:rPr>
              <w:t>-3</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250</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7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60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4.69×10</w:t>
            </w:r>
            <w:r>
              <w:rPr>
                <w:rFonts w:hint="eastAsia"/>
                <w:color w:val="000000" w:themeColor="text1"/>
                <w:vertAlign w:val="superscript"/>
              </w:rPr>
              <w:t>-13</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120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4.95×10</w:t>
            </w:r>
            <w:r>
              <w:rPr>
                <w:rFonts w:hint="eastAsia"/>
                <w:color w:val="000000" w:themeColor="text1"/>
                <w:vertAlign w:val="superscript"/>
              </w:rPr>
              <w:t>-8</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300</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7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70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140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3.33×10</w:t>
            </w:r>
            <w:r>
              <w:rPr>
                <w:rFonts w:hint="eastAsia"/>
                <w:color w:val="000000" w:themeColor="text1"/>
                <w:vertAlign w:val="superscript"/>
              </w:rPr>
              <w:t>-14</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350</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2.46×10</w:t>
            </w:r>
            <w:r>
              <w:rPr>
                <w:rFonts w:hint="eastAsia"/>
                <w:color w:val="000000" w:themeColor="text1"/>
                <w:vertAlign w:val="superscript"/>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7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80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160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400</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1.22×10</w:t>
            </w:r>
            <w:r>
              <w:rPr>
                <w:rFonts w:hint="eastAsia"/>
                <w:color w:val="000000" w:themeColor="text1"/>
                <w:vertAlign w:val="superscript"/>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7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90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180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450</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5.11×10</w:t>
            </w:r>
            <w:r>
              <w:rPr>
                <w:rFonts w:hint="eastAsia"/>
                <w:color w:val="000000" w:themeColor="text1"/>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7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100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200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500</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7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110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220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550</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7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120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240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600</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7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130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260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650</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7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140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280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700</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0.0354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7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150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300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750</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5.09×10</w:t>
            </w:r>
            <w:r>
              <w:rPr>
                <w:rFonts w:hint="eastAsia"/>
                <w:color w:val="000000" w:themeColor="text1"/>
                <w:vertAlign w:val="super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7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160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320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800</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6.31×10</w:t>
            </w:r>
            <w:r>
              <w:rPr>
                <w:rFonts w:hint="eastAsia"/>
                <w:color w:val="000000" w:themeColor="text1"/>
                <w:vertAlign w:val="superscript"/>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7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170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340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850</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7.22×10</w:t>
            </w:r>
            <w:r>
              <w:rPr>
                <w:rFonts w:hint="eastAsia"/>
                <w:color w:val="000000" w:themeColor="text1"/>
                <w:vertAlign w:val="superscript"/>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7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180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360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900</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7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190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380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950</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7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200</w:t>
            </w:r>
          </w:p>
        </w:tc>
        <w:tc>
          <w:tcPr>
            <w:tcW w:w="127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400</w:t>
            </w:r>
          </w:p>
        </w:tc>
        <w:tc>
          <w:tcPr>
            <w:tcW w:w="14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1000</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r>
    </w:tbl>
    <w:p>
      <w:pPr>
        <w:pStyle w:val="54"/>
        <w:rPr>
          <w:color w:val="000000" w:themeColor="text1"/>
        </w:rPr>
      </w:pPr>
      <w:r>
        <w:rPr>
          <w:color w:val="000000" w:themeColor="text1"/>
        </w:rPr>
        <w:drawing>
          <wp:inline distT="0" distB="0" distL="0" distR="0">
            <wp:extent cx="4363085" cy="2181860"/>
            <wp:effectExtent l="19050" t="0" r="18331" b="8267"/>
            <wp:docPr id="13"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pStyle w:val="54"/>
        <w:rPr>
          <w:color w:val="000000" w:themeColor="text1"/>
        </w:rPr>
      </w:pPr>
      <w:r>
        <w:rPr>
          <w:color w:val="000000" w:themeColor="text1"/>
        </w:rPr>
        <w:drawing>
          <wp:inline distT="0" distB="0" distL="0" distR="0">
            <wp:extent cx="4425950" cy="2514600"/>
            <wp:effectExtent l="19050" t="0" r="12449" b="0"/>
            <wp:docPr id="1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pStyle w:val="54"/>
        <w:rPr>
          <w:color w:val="000000" w:themeColor="text1"/>
        </w:rPr>
      </w:pPr>
      <w:r>
        <w:rPr>
          <w:color w:val="000000" w:themeColor="text1"/>
        </w:rPr>
        <w:drawing>
          <wp:inline distT="0" distB="0" distL="0" distR="0">
            <wp:extent cx="4371340" cy="2604770"/>
            <wp:effectExtent l="19050" t="0" r="9705" b="4673"/>
            <wp:docPr id="16"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pStyle w:val="54"/>
        <w:rPr>
          <w:color w:val="000000" w:themeColor="text1"/>
        </w:rPr>
      </w:pPr>
      <w:r>
        <w:rPr>
          <w:rFonts w:hint="eastAsia"/>
          <w:color w:val="000000" w:themeColor="text1"/>
        </w:rPr>
        <w:t>图6.2.2-2  泄漏点下游地下水氨氮浓度-距离关系图</w:t>
      </w:r>
    </w:p>
    <w:p>
      <w:pPr>
        <w:pStyle w:val="54"/>
        <w:rPr>
          <w:color w:val="000000" w:themeColor="text1"/>
        </w:rPr>
      </w:pPr>
    </w:p>
    <w:p>
      <w:pPr>
        <w:ind w:firstLine="480"/>
        <w:rPr>
          <w:color w:val="000000" w:themeColor="text1"/>
        </w:rPr>
      </w:pPr>
    </w:p>
    <w:p>
      <w:pPr>
        <w:pStyle w:val="54"/>
        <w:rPr>
          <w:color w:val="000000" w:themeColor="text1"/>
        </w:rPr>
      </w:pPr>
    </w:p>
    <w:p>
      <w:pPr>
        <w:pStyle w:val="54"/>
        <w:rPr>
          <w:color w:val="000000" w:themeColor="text1"/>
        </w:rPr>
      </w:pPr>
      <w:r>
        <w:rPr>
          <w:rFonts w:hint="eastAsia"/>
          <w:color w:val="000000" w:themeColor="text1"/>
        </w:rPr>
        <w:t>表6.2.2-6 非正常泄漏不同时间氨氮超标情况</w:t>
      </w:r>
    </w:p>
    <w:tbl>
      <w:tblPr>
        <w:tblStyle w:val="4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70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6" w:type="dxa"/>
            <w:vAlign w:val="center"/>
          </w:tcPr>
          <w:p>
            <w:pPr>
              <w:pStyle w:val="55"/>
              <w:rPr>
                <w:color w:val="000000" w:themeColor="text1"/>
              </w:rPr>
            </w:pPr>
            <w:r>
              <w:rPr>
                <w:rFonts w:hint="eastAsia"/>
                <w:color w:val="000000" w:themeColor="text1"/>
              </w:rPr>
              <w:t>预测时间</w:t>
            </w:r>
            <w:r>
              <w:rPr>
                <w:color w:val="000000" w:themeColor="text1"/>
              </w:rPr>
              <w:t>d</w:t>
            </w:r>
          </w:p>
        </w:tc>
        <w:tc>
          <w:tcPr>
            <w:tcW w:w="7002" w:type="dxa"/>
            <w:vAlign w:val="center"/>
          </w:tcPr>
          <w:p>
            <w:pPr>
              <w:pStyle w:val="55"/>
              <w:rPr>
                <w:color w:val="000000" w:themeColor="text1"/>
              </w:rPr>
            </w:pPr>
            <w:r>
              <w:rPr>
                <w:rFonts w:hint="eastAsia"/>
                <w:color w:val="000000" w:themeColor="text1"/>
              </w:rPr>
              <w:t>预测结果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6" w:type="dxa"/>
            <w:vAlign w:val="center"/>
          </w:tcPr>
          <w:p>
            <w:pPr>
              <w:pStyle w:val="55"/>
              <w:rPr>
                <w:color w:val="000000" w:themeColor="text1"/>
              </w:rPr>
            </w:pPr>
            <w:r>
              <w:rPr>
                <w:color w:val="000000" w:themeColor="text1"/>
              </w:rPr>
              <w:t>30</w:t>
            </w:r>
          </w:p>
        </w:tc>
        <w:tc>
          <w:tcPr>
            <w:tcW w:w="7002" w:type="dxa"/>
            <w:vAlign w:val="center"/>
          </w:tcPr>
          <w:p>
            <w:pPr>
              <w:pStyle w:val="55"/>
              <w:rPr>
                <w:color w:val="000000" w:themeColor="text1"/>
              </w:rPr>
            </w:pPr>
            <w:r>
              <w:rPr>
                <w:rFonts w:hint="eastAsia"/>
                <w:color w:val="000000" w:themeColor="text1"/>
              </w:rPr>
              <w:t>30天时，预测的最大值为49.99561mg/L，位于下游1m，预测超标距离最远为30m；影响距离最远为33m。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6" w:type="dxa"/>
            <w:vAlign w:val="center"/>
          </w:tcPr>
          <w:p>
            <w:pPr>
              <w:pStyle w:val="55"/>
              <w:rPr>
                <w:color w:val="000000" w:themeColor="text1"/>
              </w:rPr>
            </w:pPr>
            <w:r>
              <w:rPr>
                <w:color w:val="000000" w:themeColor="text1"/>
              </w:rPr>
              <w:t>100</w:t>
            </w:r>
          </w:p>
        </w:tc>
        <w:tc>
          <w:tcPr>
            <w:tcW w:w="7002" w:type="dxa"/>
            <w:vAlign w:val="center"/>
          </w:tcPr>
          <w:p>
            <w:pPr>
              <w:pStyle w:val="55"/>
              <w:rPr>
                <w:color w:val="000000" w:themeColor="text1"/>
              </w:rPr>
            </w:pPr>
            <w:r>
              <w:rPr>
                <w:rFonts w:hint="eastAsia"/>
                <w:color w:val="000000" w:themeColor="text1"/>
              </w:rPr>
              <w:t>100天时，预测的最大值为33.74553mg/L，位于下游51m，预测超标距离最远为83m；影响距离最远为88m。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6" w:type="dxa"/>
            <w:vAlign w:val="center"/>
          </w:tcPr>
          <w:p>
            <w:pPr>
              <w:pStyle w:val="55"/>
              <w:rPr>
                <w:color w:val="000000" w:themeColor="text1"/>
              </w:rPr>
            </w:pPr>
            <w:r>
              <w:rPr>
                <w:color w:val="000000" w:themeColor="text1"/>
              </w:rPr>
              <w:t>1000</w:t>
            </w:r>
          </w:p>
        </w:tc>
        <w:tc>
          <w:tcPr>
            <w:tcW w:w="7002" w:type="dxa"/>
            <w:vAlign w:val="center"/>
          </w:tcPr>
          <w:p>
            <w:pPr>
              <w:pStyle w:val="55"/>
              <w:rPr>
                <w:color w:val="000000" w:themeColor="text1"/>
              </w:rPr>
            </w:pPr>
            <w:r>
              <w:rPr>
                <w:rFonts w:hint="eastAsia"/>
                <w:color w:val="000000" w:themeColor="text1"/>
              </w:rPr>
              <w:t>1000天时，预测的最大值为11.28921mg/L，位于下游592m，预测超标距离最远为671m；影响距离最远为689m。</w:t>
            </w:r>
          </w:p>
        </w:tc>
      </w:tr>
    </w:tbl>
    <w:p>
      <w:pPr>
        <w:spacing w:line="520" w:lineRule="exact"/>
        <w:ind w:firstLine="480"/>
        <w:rPr>
          <w:rFonts w:ascii="Calibri" w:hAnsi="Calibri" w:cs="Calibri"/>
          <w:color w:val="000000" w:themeColor="text1"/>
        </w:rPr>
      </w:pPr>
      <w:r>
        <w:rPr>
          <w:rFonts w:hint="eastAsia" w:ascii="Calibri" w:hAnsi="Calibri" w:cs="Calibri"/>
          <w:color w:val="000000" w:themeColor="text1"/>
        </w:rPr>
        <w:t>根据预测结果，在短时泄漏情况下，泄漏点下游方向氨氮浓度逐渐向下游方向扩散，在不考虑降解、吸附等物理化学</w:t>
      </w:r>
      <w:r>
        <w:rPr>
          <w:rFonts w:hint="eastAsia" w:ascii="Calibri" w:hAnsi="Calibri" w:cs="Calibri"/>
          <w:color w:val="000000" w:themeColor="text1"/>
          <w:lang w:eastAsia="zh-CN"/>
        </w:rPr>
        <w:t>反映情况</w:t>
      </w:r>
      <w:r>
        <w:rPr>
          <w:rFonts w:hint="eastAsia" w:ascii="Calibri" w:hAnsi="Calibri" w:cs="Calibri"/>
          <w:color w:val="000000" w:themeColor="text1"/>
        </w:rPr>
        <w:t>下，主要随水流扩散。根据预测结果，非正常工况后氨氮泄漏：</w:t>
      </w:r>
      <w:r>
        <w:rPr>
          <w:rFonts w:ascii="Calibri" w:hAnsi="Calibri" w:cs="Calibri"/>
          <w:color w:val="000000" w:themeColor="text1"/>
        </w:rPr>
        <w:t>30d</w:t>
      </w:r>
      <w:r>
        <w:rPr>
          <w:rFonts w:hint="eastAsia" w:ascii="Calibri" w:hAnsi="Calibri" w:cs="Calibri"/>
          <w:color w:val="000000" w:themeColor="text1"/>
        </w:rPr>
        <w:t>，下游影响距离最远为33</w:t>
      </w:r>
      <w:r>
        <w:rPr>
          <w:rFonts w:ascii="Calibri" w:hAnsi="Calibri" w:cs="Calibri"/>
          <w:color w:val="000000" w:themeColor="text1"/>
        </w:rPr>
        <w:t>m</w:t>
      </w:r>
      <w:r>
        <w:rPr>
          <w:rFonts w:hint="eastAsia" w:ascii="Calibri" w:hAnsi="Calibri" w:cs="Calibri"/>
          <w:color w:val="000000" w:themeColor="text1"/>
        </w:rPr>
        <w:t>；泄漏后</w:t>
      </w:r>
      <w:r>
        <w:rPr>
          <w:rFonts w:ascii="Calibri" w:hAnsi="Calibri" w:cs="Calibri"/>
          <w:color w:val="000000" w:themeColor="text1"/>
        </w:rPr>
        <w:t>100d</w:t>
      </w:r>
      <w:r>
        <w:rPr>
          <w:rFonts w:hint="eastAsia" w:ascii="Calibri" w:hAnsi="Calibri" w:cs="Calibri"/>
          <w:color w:val="000000" w:themeColor="text1"/>
        </w:rPr>
        <w:t>时，下游影响距离最远为88</w:t>
      </w:r>
      <w:r>
        <w:rPr>
          <w:rFonts w:ascii="Calibri" w:hAnsi="Calibri" w:cs="Calibri"/>
          <w:color w:val="000000" w:themeColor="text1"/>
        </w:rPr>
        <w:t>m</w:t>
      </w:r>
      <w:r>
        <w:rPr>
          <w:rFonts w:hint="eastAsia" w:ascii="Calibri" w:hAnsi="Calibri" w:cs="Calibri"/>
          <w:color w:val="000000" w:themeColor="text1"/>
        </w:rPr>
        <w:t>；泄漏</w:t>
      </w:r>
      <w:r>
        <w:rPr>
          <w:rFonts w:ascii="Calibri" w:hAnsi="Calibri" w:cs="Calibri"/>
          <w:color w:val="000000" w:themeColor="text1"/>
        </w:rPr>
        <w:t>1000d</w:t>
      </w:r>
      <w:r>
        <w:rPr>
          <w:rFonts w:hint="eastAsia" w:ascii="Calibri" w:hAnsi="Calibri" w:cs="Calibri"/>
          <w:color w:val="000000" w:themeColor="text1"/>
        </w:rPr>
        <w:t>后，下游影响距离最远为689</w:t>
      </w:r>
      <w:r>
        <w:rPr>
          <w:rFonts w:ascii="Calibri" w:hAnsi="Calibri" w:cs="Calibri"/>
          <w:color w:val="000000" w:themeColor="text1"/>
        </w:rPr>
        <w:t>m</w:t>
      </w:r>
      <w:r>
        <w:rPr>
          <w:rFonts w:hint="eastAsia" w:ascii="Calibri" w:hAnsi="Calibri" w:cs="Calibri"/>
          <w:color w:val="000000" w:themeColor="text1"/>
        </w:rPr>
        <w:t>。</w:t>
      </w:r>
    </w:p>
    <w:p>
      <w:pPr>
        <w:spacing w:line="520" w:lineRule="exact"/>
        <w:ind w:firstLine="480"/>
        <w:rPr>
          <w:rFonts w:cs="Times New Roman"/>
          <w:color w:val="000000" w:themeColor="text1"/>
        </w:rPr>
      </w:pPr>
      <w:r>
        <w:rPr>
          <w:rFonts w:hint="eastAsia" w:ascii="Calibri" w:hAnsi="Calibri" w:cs="Calibri"/>
          <w:color w:val="000000" w:themeColor="text1"/>
        </w:rPr>
        <w:t>综上所述非正常工况下在不考虑生物降解的情况下存在耗氧量、氨氮超标的现象，但是随着生物的降解、吸附可以实现达标。项</w:t>
      </w:r>
      <w:r>
        <w:rPr>
          <w:rFonts w:hAnsi="Calibri" w:cs="Times New Roman"/>
          <w:color w:val="000000" w:themeColor="text1"/>
        </w:rPr>
        <w:t>目下游敏感目标为布标，布标距离本项目最近约为</w:t>
      </w:r>
      <w:r>
        <w:rPr>
          <w:rFonts w:cs="Times New Roman"/>
          <w:color w:val="000000" w:themeColor="text1"/>
        </w:rPr>
        <w:t>1653m</w:t>
      </w:r>
      <w:r>
        <w:rPr>
          <w:rFonts w:hint="eastAsia" w:cs="Times New Roman"/>
          <w:color w:val="000000" w:themeColor="text1"/>
        </w:rPr>
        <w:t>，</w:t>
      </w:r>
      <w:r>
        <w:rPr>
          <w:rFonts w:cs="Times New Roman"/>
          <w:color w:val="000000" w:themeColor="text1"/>
        </w:rPr>
        <w:t>因此布标不在最大影响距离范围内</w:t>
      </w:r>
      <w:r>
        <w:rPr>
          <w:rFonts w:hAnsi="Calibri" w:cs="Times New Roman"/>
          <w:color w:val="000000" w:themeColor="text1"/>
        </w:rPr>
        <w:t>。</w:t>
      </w:r>
    </w:p>
    <w:bookmarkEnd w:id="204"/>
    <w:p>
      <w:pPr>
        <w:pStyle w:val="57"/>
        <w:ind w:firstLine="482"/>
        <w:rPr>
          <w:color w:val="000000" w:themeColor="text1"/>
        </w:rPr>
      </w:pPr>
      <w:r>
        <w:rPr>
          <w:rFonts w:hint="eastAsia"/>
          <w:color w:val="000000" w:themeColor="text1"/>
        </w:rPr>
        <w:t>6.2.2.4小结</w:t>
      </w:r>
    </w:p>
    <w:p>
      <w:pPr>
        <w:ind w:firstLine="480"/>
        <w:rPr>
          <w:bCs/>
          <w:color w:val="000000" w:themeColor="text1"/>
        </w:rPr>
      </w:pPr>
      <w:r>
        <w:rPr>
          <w:rFonts w:hint="eastAsia"/>
          <w:bCs/>
          <w:color w:val="000000" w:themeColor="text1"/>
        </w:rPr>
        <w:t>运营期正常工况下，项目污水处理系统合格安全、防渗措施到位、污水管道无跑、冒、滴、漏，对地下水环境不会造成影响。</w:t>
      </w:r>
    </w:p>
    <w:p>
      <w:pPr>
        <w:ind w:firstLine="480"/>
        <w:rPr>
          <w:color w:val="000000" w:themeColor="text1"/>
        </w:rPr>
      </w:pPr>
      <w:r>
        <w:rPr>
          <w:rFonts w:hint="eastAsia"/>
          <w:color w:val="000000" w:themeColor="text1"/>
        </w:rPr>
        <w:t>事故发生后，污染物沿地下水流方向的最大污染距离和超标距离随时间延长呈现增加的趋势，随着距污水处理站距离的增加污染物浓度逐渐降低。当泄漏事故发生30天时，耗氧量的超标污染范围预测为31</w:t>
      </w:r>
      <w:r>
        <w:rPr>
          <w:color w:val="000000" w:themeColor="text1"/>
        </w:rPr>
        <w:t>m</w:t>
      </w:r>
      <w:r>
        <w:rPr>
          <w:rFonts w:hint="eastAsia"/>
          <w:color w:val="000000" w:themeColor="text1"/>
        </w:rPr>
        <w:t>以内，氨氮的超标污染范围预测为33</w:t>
      </w:r>
      <w:r>
        <w:rPr>
          <w:color w:val="000000" w:themeColor="text1"/>
        </w:rPr>
        <w:t>m</w:t>
      </w:r>
      <w:r>
        <w:rPr>
          <w:rFonts w:hint="eastAsia"/>
          <w:color w:val="000000" w:themeColor="text1"/>
        </w:rPr>
        <w:t>以内；当泄漏事故发生</w:t>
      </w:r>
      <w:r>
        <w:rPr>
          <w:color w:val="000000" w:themeColor="text1"/>
        </w:rPr>
        <w:t>100</w:t>
      </w:r>
      <w:r>
        <w:rPr>
          <w:rFonts w:hint="eastAsia"/>
          <w:color w:val="000000" w:themeColor="text1"/>
        </w:rPr>
        <w:t>天时，耗氧量的超标污染范围预测为85</w:t>
      </w:r>
      <w:r>
        <w:rPr>
          <w:color w:val="000000" w:themeColor="text1"/>
        </w:rPr>
        <w:t>m</w:t>
      </w:r>
      <w:r>
        <w:rPr>
          <w:rFonts w:hint="eastAsia"/>
          <w:color w:val="000000" w:themeColor="text1"/>
        </w:rPr>
        <w:t>以内，氨氮的超标污染范围预测为88</w:t>
      </w:r>
      <w:r>
        <w:rPr>
          <w:color w:val="000000" w:themeColor="text1"/>
        </w:rPr>
        <w:t>m</w:t>
      </w:r>
      <w:r>
        <w:rPr>
          <w:rFonts w:hint="eastAsia"/>
          <w:color w:val="000000" w:themeColor="text1"/>
        </w:rPr>
        <w:t>以内；泄漏事故发生</w:t>
      </w:r>
      <w:r>
        <w:rPr>
          <w:color w:val="000000" w:themeColor="text1"/>
        </w:rPr>
        <w:t>100</w:t>
      </w:r>
      <w:r>
        <w:rPr>
          <w:rFonts w:hint="eastAsia"/>
          <w:color w:val="000000" w:themeColor="text1"/>
        </w:rPr>
        <w:t>0天时，耗氧量的超标污染范围预测为678</w:t>
      </w:r>
      <w:r>
        <w:rPr>
          <w:color w:val="000000" w:themeColor="text1"/>
        </w:rPr>
        <w:t>m</w:t>
      </w:r>
      <w:r>
        <w:rPr>
          <w:rFonts w:hint="eastAsia"/>
          <w:color w:val="000000" w:themeColor="text1"/>
        </w:rPr>
        <w:t>以内，氨氮的超标污染范围预测为689</w:t>
      </w:r>
      <w:r>
        <w:rPr>
          <w:color w:val="000000" w:themeColor="text1"/>
        </w:rPr>
        <w:t>m</w:t>
      </w:r>
      <w:r>
        <w:rPr>
          <w:rFonts w:hint="eastAsia"/>
          <w:color w:val="000000" w:themeColor="text1"/>
        </w:rPr>
        <w:t>以内。区域地下水流动缓慢，如污染物渗入地下水，污染物随地下水迁移速度较慢，3</w:t>
      </w:r>
      <w:r>
        <w:rPr>
          <w:color w:val="000000" w:themeColor="text1"/>
        </w:rPr>
        <w:t>0d和</w:t>
      </w:r>
      <w:r>
        <w:rPr>
          <w:rFonts w:hint="eastAsia"/>
          <w:color w:val="000000" w:themeColor="text1"/>
        </w:rPr>
        <w:t>100d的时候污染均可控制在厂区范围内，1000d的时候污染影响距离较远，因此</w:t>
      </w:r>
      <w:r>
        <w:rPr>
          <w:rFonts w:hint="eastAsia"/>
          <w:bCs/>
          <w:color w:val="000000" w:themeColor="text1"/>
        </w:rPr>
        <w:t>，愈及早发现厂区的各污水收集池破损、修复，愈能有效较少污水下渗污染扩散范围，切实做到可控。</w:t>
      </w:r>
    </w:p>
    <w:p>
      <w:pPr>
        <w:ind w:firstLine="480"/>
        <w:rPr>
          <w:bCs/>
          <w:color w:val="000000" w:themeColor="text1"/>
        </w:rPr>
      </w:pPr>
      <w:r>
        <w:rPr>
          <w:rFonts w:hint="eastAsia"/>
          <w:bCs/>
          <w:color w:val="000000" w:themeColor="text1"/>
        </w:rPr>
        <w:t>本项目在采取完善的防渗措施后，可有效阻止污染物下渗，除此之外，项目应该定期对区域地下水环境进行监测，定期检查厂区内防渗措施。从水文地质角度分析，项目建设对区域地下水环境影响是可接受的。</w:t>
      </w:r>
    </w:p>
    <w:bookmarkEnd w:id="199"/>
    <w:bookmarkEnd w:id="200"/>
    <w:bookmarkEnd w:id="201"/>
    <w:bookmarkEnd w:id="202"/>
    <w:p>
      <w:pPr>
        <w:pStyle w:val="3"/>
        <w:rPr>
          <w:color w:val="000000" w:themeColor="text1"/>
          <w:sz w:val="32"/>
        </w:rPr>
      </w:pPr>
      <w:bookmarkStart w:id="206" w:name="_Toc387938382"/>
      <w:bookmarkStart w:id="207" w:name="_Toc388604083"/>
      <w:bookmarkStart w:id="208" w:name="_Toc47375871"/>
      <w:bookmarkStart w:id="209" w:name="_Toc530059707"/>
      <w:r>
        <w:rPr>
          <w:color w:val="000000" w:themeColor="text1"/>
        </w:rPr>
        <w:t>6.</w:t>
      </w:r>
      <w:bookmarkEnd w:id="206"/>
      <w:bookmarkEnd w:id="207"/>
      <w:bookmarkStart w:id="210" w:name="_Toc387938383"/>
      <w:bookmarkStart w:id="211" w:name="_Toc143085416"/>
      <w:bookmarkStart w:id="212" w:name="_Toc229976825"/>
      <w:bookmarkStart w:id="213" w:name="_Toc388604084"/>
      <w:r>
        <w:rPr>
          <w:rFonts w:hint="eastAsia"/>
          <w:color w:val="000000" w:themeColor="text1"/>
        </w:rPr>
        <w:t>3运营期声环境影响分析与评价</w:t>
      </w:r>
      <w:bookmarkEnd w:id="208"/>
      <w:bookmarkEnd w:id="209"/>
      <w:bookmarkEnd w:id="210"/>
      <w:bookmarkEnd w:id="211"/>
      <w:bookmarkEnd w:id="212"/>
      <w:bookmarkEnd w:id="213"/>
    </w:p>
    <w:p>
      <w:pPr>
        <w:pStyle w:val="38"/>
        <w:ind w:firstLine="281"/>
        <w:rPr>
          <w:color w:val="000000" w:themeColor="text1"/>
        </w:rPr>
      </w:pPr>
      <w:bookmarkStart w:id="214" w:name="_Toc530059708"/>
      <w:bookmarkStart w:id="215" w:name="_Toc47375872"/>
      <w:bookmarkStart w:id="216" w:name="_Toc143085418"/>
      <w:bookmarkStart w:id="217" w:name="_Toc388604086"/>
      <w:bookmarkStart w:id="218" w:name="_Toc387938385"/>
      <w:r>
        <w:rPr>
          <w:rFonts w:hint="eastAsia"/>
          <w:color w:val="000000" w:themeColor="text1"/>
        </w:rPr>
        <w:t>6.3.1噪声源分析</w:t>
      </w:r>
      <w:bookmarkEnd w:id="214"/>
      <w:bookmarkEnd w:id="215"/>
    </w:p>
    <w:p>
      <w:pPr>
        <w:ind w:firstLine="480"/>
        <w:rPr>
          <w:color w:val="000000" w:themeColor="text1"/>
        </w:rPr>
      </w:pPr>
      <w:r>
        <w:rPr>
          <w:rFonts w:hint="eastAsia"/>
          <w:color w:val="000000" w:themeColor="text1"/>
        </w:rPr>
        <w:t>项目营运期噪声主要包括交通噪声、机械设备噪声、猪叫声、鸡鸣声以及人员活动噪声等，噪声源强见表6.3.1-1,。</w:t>
      </w:r>
    </w:p>
    <w:p>
      <w:pPr>
        <w:pStyle w:val="54"/>
        <w:rPr>
          <w:color w:val="000000" w:themeColor="text1"/>
        </w:rPr>
      </w:pPr>
      <w:r>
        <w:rPr>
          <w:rFonts w:hint="eastAsia"/>
          <w:color w:val="000000" w:themeColor="text1"/>
        </w:rPr>
        <w:t>表6.3.1-1  项目运营期噪声源一览表</w:t>
      </w:r>
    </w:p>
    <w:tbl>
      <w:tblPr>
        <w:tblStyle w:val="43"/>
        <w:tblW w:w="847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34"/>
        <w:gridCol w:w="1417"/>
        <w:gridCol w:w="1276"/>
        <w:gridCol w:w="992"/>
        <w:gridCol w:w="1418"/>
        <w:gridCol w:w="1275"/>
        <w:gridCol w:w="156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vAlign w:val="center"/>
          </w:tcPr>
          <w:p>
            <w:pPr>
              <w:pStyle w:val="55"/>
              <w:rPr>
                <w:color w:val="000000" w:themeColor="text1"/>
              </w:rPr>
            </w:pPr>
            <w:r>
              <w:rPr>
                <w:rFonts w:hint="eastAsia"/>
                <w:color w:val="000000" w:themeColor="text1"/>
              </w:rPr>
              <w:t>序号</w:t>
            </w:r>
          </w:p>
        </w:tc>
        <w:tc>
          <w:tcPr>
            <w:tcW w:w="1417" w:type="dxa"/>
            <w:vAlign w:val="center"/>
          </w:tcPr>
          <w:p>
            <w:pPr>
              <w:pStyle w:val="55"/>
              <w:rPr>
                <w:color w:val="000000" w:themeColor="text1"/>
              </w:rPr>
            </w:pPr>
            <w:r>
              <w:rPr>
                <w:rFonts w:hint="eastAsia"/>
                <w:color w:val="000000" w:themeColor="text1"/>
              </w:rPr>
              <w:t>噪声源</w:t>
            </w:r>
          </w:p>
        </w:tc>
        <w:tc>
          <w:tcPr>
            <w:tcW w:w="1276" w:type="dxa"/>
            <w:vAlign w:val="center"/>
          </w:tcPr>
          <w:p>
            <w:pPr>
              <w:pStyle w:val="55"/>
              <w:rPr>
                <w:color w:val="000000" w:themeColor="text1"/>
              </w:rPr>
            </w:pPr>
            <w:r>
              <w:rPr>
                <w:rFonts w:hint="eastAsia"/>
                <w:color w:val="000000" w:themeColor="text1"/>
              </w:rPr>
              <w:t>噪声强度（dB(A)）</w:t>
            </w:r>
          </w:p>
        </w:tc>
        <w:tc>
          <w:tcPr>
            <w:tcW w:w="992" w:type="dxa"/>
            <w:vAlign w:val="center"/>
          </w:tcPr>
          <w:p>
            <w:pPr>
              <w:pStyle w:val="55"/>
              <w:rPr>
                <w:color w:val="000000" w:themeColor="text1"/>
              </w:rPr>
            </w:pPr>
            <w:r>
              <w:rPr>
                <w:rFonts w:hint="eastAsia"/>
                <w:color w:val="000000" w:themeColor="text1"/>
              </w:rPr>
              <w:t>数量（台/套）</w:t>
            </w:r>
          </w:p>
        </w:tc>
        <w:tc>
          <w:tcPr>
            <w:tcW w:w="1418" w:type="dxa"/>
            <w:vAlign w:val="center"/>
          </w:tcPr>
          <w:p>
            <w:pPr>
              <w:pStyle w:val="55"/>
              <w:rPr>
                <w:color w:val="000000" w:themeColor="text1"/>
              </w:rPr>
            </w:pPr>
            <w:r>
              <w:rPr>
                <w:rFonts w:hint="eastAsia"/>
                <w:color w:val="000000" w:themeColor="text1"/>
              </w:rPr>
              <w:t>噪声位置</w:t>
            </w:r>
          </w:p>
        </w:tc>
        <w:tc>
          <w:tcPr>
            <w:tcW w:w="1275" w:type="dxa"/>
            <w:vAlign w:val="center"/>
          </w:tcPr>
          <w:p>
            <w:pPr>
              <w:pStyle w:val="55"/>
              <w:rPr>
                <w:color w:val="000000" w:themeColor="text1"/>
              </w:rPr>
            </w:pPr>
            <w:r>
              <w:rPr>
                <w:rFonts w:hint="eastAsia"/>
                <w:color w:val="000000" w:themeColor="text1"/>
              </w:rPr>
              <w:t>噪声类别</w:t>
            </w:r>
          </w:p>
        </w:tc>
        <w:tc>
          <w:tcPr>
            <w:tcW w:w="1560" w:type="dxa"/>
            <w:vAlign w:val="center"/>
          </w:tcPr>
          <w:p>
            <w:pPr>
              <w:pStyle w:val="55"/>
              <w:rPr>
                <w:color w:val="000000" w:themeColor="text1"/>
              </w:rPr>
            </w:pPr>
            <w:r>
              <w:rPr>
                <w:rFonts w:hint="eastAsia"/>
                <w:color w:val="000000" w:themeColor="text1"/>
              </w:rPr>
              <w:t>排放方式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vAlign w:val="center"/>
          </w:tcPr>
          <w:p>
            <w:pPr>
              <w:pStyle w:val="55"/>
              <w:rPr>
                <w:color w:val="000000" w:themeColor="text1"/>
              </w:rPr>
            </w:pPr>
            <w:r>
              <w:rPr>
                <w:rFonts w:hint="eastAsia"/>
                <w:color w:val="000000" w:themeColor="text1"/>
              </w:rPr>
              <w:t>1</w:t>
            </w:r>
          </w:p>
        </w:tc>
        <w:tc>
          <w:tcPr>
            <w:tcW w:w="1417" w:type="dxa"/>
            <w:vAlign w:val="center"/>
          </w:tcPr>
          <w:p>
            <w:pPr>
              <w:pStyle w:val="55"/>
              <w:rPr>
                <w:color w:val="000000" w:themeColor="text1"/>
              </w:rPr>
            </w:pPr>
            <w:r>
              <w:rPr>
                <w:rFonts w:hint="eastAsia"/>
                <w:color w:val="000000" w:themeColor="text1"/>
              </w:rPr>
              <w:t>猪叫声</w:t>
            </w:r>
          </w:p>
        </w:tc>
        <w:tc>
          <w:tcPr>
            <w:tcW w:w="1276" w:type="dxa"/>
            <w:vAlign w:val="center"/>
          </w:tcPr>
          <w:p>
            <w:pPr>
              <w:pStyle w:val="55"/>
              <w:rPr>
                <w:color w:val="000000" w:themeColor="text1"/>
              </w:rPr>
            </w:pPr>
            <w:r>
              <w:rPr>
                <w:rFonts w:hint="eastAsia"/>
                <w:color w:val="000000" w:themeColor="text1"/>
              </w:rPr>
              <w:t>90</w:t>
            </w:r>
          </w:p>
        </w:tc>
        <w:tc>
          <w:tcPr>
            <w:tcW w:w="992" w:type="dxa"/>
            <w:vAlign w:val="center"/>
          </w:tcPr>
          <w:p>
            <w:pPr>
              <w:pStyle w:val="55"/>
              <w:rPr>
                <w:color w:val="000000" w:themeColor="text1"/>
              </w:rPr>
            </w:pPr>
            <w:r>
              <w:rPr>
                <w:rFonts w:hint="eastAsia"/>
                <w:color w:val="000000" w:themeColor="text1"/>
              </w:rPr>
              <w:t>/</w:t>
            </w:r>
          </w:p>
        </w:tc>
        <w:tc>
          <w:tcPr>
            <w:tcW w:w="1418" w:type="dxa"/>
            <w:vAlign w:val="center"/>
          </w:tcPr>
          <w:p>
            <w:pPr>
              <w:pStyle w:val="55"/>
              <w:rPr>
                <w:color w:val="000000" w:themeColor="text1"/>
              </w:rPr>
            </w:pPr>
            <w:r>
              <w:rPr>
                <w:rFonts w:hint="eastAsia"/>
                <w:color w:val="000000" w:themeColor="text1"/>
              </w:rPr>
              <w:t>待宰间</w:t>
            </w:r>
          </w:p>
        </w:tc>
        <w:tc>
          <w:tcPr>
            <w:tcW w:w="1275" w:type="dxa"/>
            <w:vAlign w:val="center"/>
          </w:tcPr>
          <w:p>
            <w:pPr>
              <w:pStyle w:val="55"/>
              <w:rPr>
                <w:color w:val="000000" w:themeColor="text1"/>
              </w:rPr>
            </w:pPr>
            <w:r>
              <w:rPr>
                <w:rFonts w:hint="eastAsia"/>
                <w:color w:val="000000" w:themeColor="text1"/>
              </w:rPr>
              <w:t>生产噪声</w:t>
            </w:r>
          </w:p>
        </w:tc>
        <w:tc>
          <w:tcPr>
            <w:tcW w:w="1560" w:type="dxa"/>
            <w:vAlign w:val="center"/>
          </w:tcPr>
          <w:p>
            <w:pPr>
              <w:pStyle w:val="55"/>
              <w:rPr>
                <w:color w:val="000000" w:themeColor="text1"/>
              </w:rPr>
            </w:pPr>
            <w:r>
              <w:rPr>
                <w:rFonts w:hint="eastAsia"/>
                <w:color w:val="000000" w:themeColor="text1"/>
              </w:rPr>
              <w:t>间歇性排放</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vAlign w:val="center"/>
          </w:tcPr>
          <w:p>
            <w:pPr>
              <w:pStyle w:val="55"/>
              <w:rPr>
                <w:color w:val="000000" w:themeColor="text1"/>
              </w:rPr>
            </w:pPr>
            <w:r>
              <w:rPr>
                <w:rFonts w:hint="eastAsia"/>
                <w:color w:val="000000" w:themeColor="text1"/>
              </w:rPr>
              <w:t>2</w:t>
            </w:r>
          </w:p>
        </w:tc>
        <w:tc>
          <w:tcPr>
            <w:tcW w:w="1417" w:type="dxa"/>
            <w:vAlign w:val="center"/>
          </w:tcPr>
          <w:p>
            <w:pPr>
              <w:pStyle w:val="55"/>
              <w:rPr>
                <w:color w:val="000000" w:themeColor="text1"/>
              </w:rPr>
            </w:pPr>
            <w:r>
              <w:rPr>
                <w:rFonts w:hint="eastAsia"/>
                <w:color w:val="000000" w:themeColor="text1"/>
              </w:rPr>
              <w:t>鸡叫声</w:t>
            </w:r>
          </w:p>
        </w:tc>
        <w:tc>
          <w:tcPr>
            <w:tcW w:w="1276" w:type="dxa"/>
            <w:vAlign w:val="center"/>
          </w:tcPr>
          <w:p>
            <w:pPr>
              <w:pStyle w:val="55"/>
              <w:rPr>
                <w:color w:val="000000" w:themeColor="text1"/>
              </w:rPr>
            </w:pPr>
            <w:r>
              <w:rPr>
                <w:rFonts w:hint="eastAsia"/>
                <w:color w:val="000000" w:themeColor="text1"/>
              </w:rPr>
              <w:t>90</w:t>
            </w:r>
          </w:p>
        </w:tc>
        <w:tc>
          <w:tcPr>
            <w:tcW w:w="992" w:type="dxa"/>
            <w:vAlign w:val="center"/>
          </w:tcPr>
          <w:p>
            <w:pPr>
              <w:pStyle w:val="55"/>
              <w:rPr>
                <w:color w:val="000000" w:themeColor="text1"/>
              </w:rPr>
            </w:pPr>
            <w:r>
              <w:rPr>
                <w:rFonts w:hint="eastAsia"/>
                <w:color w:val="000000" w:themeColor="text1"/>
              </w:rPr>
              <w:t>/</w:t>
            </w:r>
          </w:p>
        </w:tc>
        <w:tc>
          <w:tcPr>
            <w:tcW w:w="1418" w:type="dxa"/>
            <w:vAlign w:val="center"/>
          </w:tcPr>
          <w:p>
            <w:pPr>
              <w:pStyle w:val="55"/>
              <w:rPr>
                <w:color w:val="000000" w:themeColor="text1"/>
              </w:rPr>
            </w:pPr>
            <w:r>
              <w:rPr>
                <w:rFonts w:hint="eastAsia"/>
                <w:color w:val="000000" w:themeColor="text1"/>
              </w:rPr>
              <w:t>待宰圈</w:t>
            </w:r>
          </w:p>
        </w:tc>
        <w:tc>
          <w:tcPr>
            <w:tcW w:w="1275" w:type="dxa"/>
            <w:vAlign w:val="center"/>
          </w:tcPr>
          <w:p>
            <w:pPr>
              <w:pStyle w:val="55"/>
              <w:rPr>
                <w:color w:val="000000" w:themeColor="text1"/>
              </w:rPr>
            </w:pPr>
            <w:r>
              <w:rPr>
                <w:rFonts w:hint="eastAsia"/>
                <w:color w:val="000000" w:themeColor="text1"/>
              </w:rPr>
              <w:t>生产噪声</w:t>
            </w:r>
          </w:p>
        </w:tc>
        <w:tc>
          <w:tcPr>
            <w:tcW w:w="1560" w:type="dxa"/>
            <w:vAlign w:val="center"/>
          </w:tcPr>
          <w:p>
            <w:pPr>
              <w:pStyle w:val="55"/>
              <w:rPr>
                <w:color w:val="000000" w:themeColor="text1"/>
              </w:rPr>
            </w:pPr>
            <w:r>
              <w:rPr>
                <w:rFonts w:hint="eastAsia"/>
                <w:color w:val="000000" w:themeColor="text1"/>
              </w:rPr>
              <w:t>间歇性排放</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vAlign w:val="center"/>
          </w:tcPr>
          <w:p>
            <w:pPr>
              <w:pStyle w:val="55"/>
              <w:rPr>
                <w:color w:val="000000" w:themeColor="text1"/>
              </w:rPr>
            </w:pPr>
            <w:r>
              <w:rPr>
                <w:rFonts w:hint="eastAsia"/>
                <w:color w:val="000000" w:themeColor="text1"/>
              </w:rPr>
              <w:t>3</w:t>
            </w:r>
          </w:p>
        </w:tc>
        <w:tc>
          <w:tcPr>
            <w:tcW w:w="1417" w:type="dxa"/>
            <w:vAlign w:val="center"/>
          </w:tcPr>
          <w:p>
            <w:pPr>
              <w:pStyle w:val="55"/>
              <w:rPr>
                <w:color w:val="000000" w:themeColor="text1"/>
              </w:rPr>
            </w:pPr>
            <w:r>
              <w:rPr>
                <w:rFonts w:hint="eastAsia"/>
                <w:color w:val="000000" w:themeColor="text1"/>
              </w:rPr>
              <w:t>生猪屠宰设备噪声</w:t>
            </w:r>
          </w:p>
        </w:tc>
        <w:tc>
          <w:tcPr>
            <w:tcW w:w="1276" w:type="dxa"/>
            <w:vAlign w:val="center"/>
          </w:tcPr>
          <w:p>
            <w:pPr>
              <w:pStyle w:val="55"/>
              <w:rPr>
                <w:color w:val="000000" w:themeColor="text1"/>
              </w:rPr>
            </w:pPr>
            <w:r>
              <w:rPr>
                <w:rFonts w:hint="eastAsia"/>
                <w:color w:val="000000" w:themeColor="text1"/>
              </w:rPr>
              <w:t>85</w:t>
            </w:r>
          </w:p>
        </w:tc>
        <w:tc>
          <w:tcPr>
            <w:tcW w:w="992" w:type="dxa"/>
            <w:vAlign w:val="center"/>
          </w:tcPr>
          <w:p>
            <w:pPr>
              <w:pStyle w:val="55"/>
              <w:rPr>
                <w:color w:val="000000" w:themeColor="text1"/>
              </w:rPr>
            </w:pPr>
            <w:r>
              <w:rPr>
                <w:rFonts w:hint="eastAsia"/>
                <w:color w:val="000000" w:themeColor="text1"/>
              </w:rPr>
              <w:t>1</w:t>
            </w:r>
          </w:p>
        </w:tc>
        <w:tc>
          <w:tcPr>
            <w:tcW w:w="1418" w:type="dxa"/>
            <w:vAlign w:val="center"/>
          </w:tcPr>
          <w:p>
            <w:pPr>
              <w:pStyle w:val="55"/>
              <w:rPr>
                <w:color w:val="000000" w:themeColor="text1"/>
              </w:rPr>
            </w:pPr>
            <w:r>
              <w:rPr>
                <w:rFonts w:hint="eastAsia"/>
                <w:color w:val="000000" w:themeColor="text1"/>
              </w:rPr>
              <w:t>生猪屠宰车间</w:t>
            </w:r>
          </w:p>
        </w:tc>
        <w:tc>
          <w:tcPr>
            <w:tcW w:w="1275" w:type="dxa"/>
            <w:vAlign w:val="center"/>
          </w:tcPr>
          <w:p>
            <w:pPr>
              <w:pStyle w:val="55"/>
              <w:rPr>
                <w:color w:val="000000" w:themeColor="text1"/>
              </w:rPr>
            </w:pPr>
            <w:r>
              <w:rPr>
                <w:rFonts w:hint="eastAsia"/>
                <w:color w:val="000000" w:themeColor="text1"/>
              </w:rPr>
              <w:t>机械噪声</w:t>
            </w:r>
          </w:p>
        </w:tc>
        <w:tc>
          <w:tcPr>
            <w:tcW w:w="1560" w:type="dxa"/>
            <w:vAlign w:val="center"/>
          </w:tcPr>
          <w:p>
            <w:pPr>
              <w:pStyle w:val="55"/>
              <w:rPr>
                <w:color w:val="000000" w:themeColor="text1"/>
              </w:rPr>
            </w:pPr>
            <w:r>
              <w:rPr>
                <w:rFonts w:hint="eastAsia"/>
                <w:color w:val="000000" w:themeColor="text1"/>
              </w:rPr>
              <w:t>连续性排放</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vAlign w:val="center"/>
          </w:tcPr>
          <w:p>
            <w:pPr>
              <w:pStyle w:val="55"/>
              <w:rPr>
                <w:color w:val="000000" w:themeColor="text1"/>
              </w:rPr>
            </w:pPr>
            <w:r>
              <w:rPr>
                <w:rFonts w:hint="eastAsia"/>
                <w:color w:val="000000" w:themeColor="text1"/>
              </w:rPr>
              <w:t>4</w:t>
            </w:r>
          </w:p>
        </w:tc>
        <w:tc>
          <w:tcPr>
            <w:tcW w:w="1417" w:type="dxa"/>
            <w:vAlign w:val="center"/>
          </w:tcPr>
          <w:p>
            <w:pPr>
              <w:pStyle w:val="55"/>
              <w:rPr>
                <w:color w:val="000000" w:themeColor="text1"/>
              </w:rPr>
            </w:pPr>
            <w:r>
              <w:rPr>
                <w:rFonts w:hint="eastAsia"/>
                <w:color w:val="000000" w:themeColor="text1"/>
              </w:rPr>
              <w:t>宰鸡设备</w:t>
            </w:r>
          </w:p>
        </w:tc>
        <w:tc>
          <w:tcPr>
            <w:tcW w:w="1276" w:type="dxa"/>
            <w:vAlign w:val="center"/>
          </w:tcPr>
          <w:p>
            <w:pPr>
              <w:pStyle w:val="55"/>
              <w:rPr>
                <w:color w:val="000000" w:themeColor="text1"/>
              </w:rPr>
            </w:pPr>
            <w:r>
              <w:rPr>
                <w:rFonts w:hint="eastAsia"/>
                <w:color w:val="000000" w:themeColor="text1"/>
              </w:rPr>
              <w:t>85</w:t>
            </w:r>
          </w:p>
        </w:tc>
        <w:tc>
          <w:tcPr>
            <w:tcW w:w="992" w:type="dxa"/>
            <w:vAlign w:val="center"/>
          </w:tcPr>
          <w:p>
            <w:pPr>
              <w:pStyle w:val="55"/>
              <w:rPr>
                <w:color w:val="000000" w:themeColor="text1"/>
              </w:rPr>
            </w:pPr>
            <w:r>
              <w:rPr>
                <w:rFonts w:hint="eastAsia"/>
                <w:color w:val="000000" w:themeColor="text1"/>
              </w:rPr>
              <w:t>1</w:t>
            </w:r>
          </w:p>
        </w:tc>
        <w:tc>
          <w:tcPr>
            <w:tcW w:w="1418" w:type="dxa"/>
            <w:vAlign w:val="center"/>
          </w:tcPr>
          <w:p>
            <w:pPr>
              <w:pStyle w:val="55"/>
              <w:rPr>
                <w:color w:val="000000" w:themeColor="text1"/>
              </w:rPr>
            </w:pPr>
            <w:r>
              <w:rPr>
                <w:rFonts w:hint="eastAsia"/>
                <w:color w:val="000000" w:themeColor="text1"/>
              </w:rPr>
              <w:t>宰鸡场</w:t>
            </w:r>
          </w:p>
        </w:tc>
        <w:tc>
          <w:tcPr>
            <w:tcW w:w="1275" w:type="dxa"/>
            <w:vAlign w:val="center"/>
          </w:tcPr>
          <w:p>
            <w:pPr>
              <w:pStyle w:val="55"/>
              <w:rPr>
                <w:color w:val="000000" w:themeColor="text1"/>
              </w:rPr>
            </w:pPr>
            <w:r>
              <w:rPr>
                <w:rFonts w:hint="eastAsia"/>
                <w:color w:val="000000" w:themeColor="text1"/>
              </w:rPr>
              <w:t>机械噪声</w:t>
            </w:r>
          </w:p>
        </w:tc>
        <w:tc>
          <w:tcPr>
            <w:tcW w:w="1560" w:type="dxa"/>
            <w:vAlign w:val="center"/>
          </w:tcPr>
          <w:p>
            <w:pPr>
              <w:pStyle w:val="55"/>
              <w:rPr>
                <w:color w:val="000000" w:themeColor="text1"/>
              </w:rPr>
            </w:pPr>
            <w:r>
              <w:rPr>
                <w:rFonts w:hint="eastAsia"/>
                <w:color w:val="000000" w:themeColor="text1"/>
              </w:rPr>
              <w:t>连续性排放</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vAlign w:val="center"/>
          </w:tcPr>
          <w:p>
            <w:pPr>
              <w:pStyle w:val="55"/>
              <w:rPr>
                <w:color w:val="000000" w:themeColor="text1"/>
              </w:rPr>
            </w:pPr>
            <w:r>
              <w:rPr>
                <w:rFonts w:hint="eastAsia"/>
                <w:color w:val="000000" w:themeColor="text1"/>
              </w:rPr>
              <w:t>5</w:t>
            </w:r>
          </w:p>
        </w:tc>
        <w:tc>
          <w:tcPr>
            <w:tcW w:w="1417" w:type="dxa"/>
            <w:vAlign w:val="center"/>
          </w:tcPr>
          <w:p>
            <w:pPr>
              <w:pStyle w:val="55"/>
              <w:rPr>
                <w:color w:val="000000" w:themeColor="text1"/>
              </w:rPr>
            </w:pPr>
            <w:r>
              <w:rPr>
                <w:rFonts w:hint="eastAsia"/>
                <w:color w:val="000000" w:themeColor="text1"/>
              </w:rPr>
              <w:t>制冷压缩机</w:t>
            </w:r>
          </w:p>
        </w:tc>
        <w:tc>
          <w:tcPr>
            <w:tcW w:w="1276" w:type="dxa"/>
            <w:vAlign w:val="center"/>
          </w:tcPr>
          <w:p>
            <w:pPr>
              <w:pStyle w:val="55"/>
              <w:rPr>
                <w:color w:val="000000" w:themeColor="text1"/>
              </w:rPr>
            </w:pPr>
            <w:r>
              <w:rPr>
                <w:rFonts w:hint="eastAsia"/>
                <w:color w:val="000000" w:themeColor="text1"/>
              </w:rPr>
              <w:t>75</w:t>
            </w:r>
          </w:p>
        </w:tc>
        <w:tc>
          <w:tcPr>
            <w:tcW w:w="992" w:type="dxa"/>
            <w:vAlign w:val="center"/>
          </w:tcPr>
          <w:p>
            <w:pPr>
              <w:pStyle w:val="55"/>
              <w:rPr>
                <w:color w:val="000000" w:themeColor="text1"/>
              </w:rPr>
            </w:pPr>
            <w:r>
              <w:rPr>
                <w:rFonts w:hint="eastAsia"/>
                <w:color w:val="000000" w:themeColor="text1"/>
              </w:rPr>
              <w:t>3</w:t>
            </w:r>
          </w:p>
        </w:tc>
        <w:tc>
          <w:tcPr>
            <w:tcW w:w="1418" w:type="dxa"/>
            <w:vAlign w:val="center"/>
          </w:tcPr>
          <w:p>
            <w:pPr>
              <w:pStyle w:val="55"/>
              <w:rPr>
                <w:color w:val="000000" w:themeColor="text1"/>
              </w:rPr>
            </w:pPr>
            <w:r>
              <w:rPr>
                <w:rFonts w:hint="eastAsia"/>
                <w:color w:val="000000" w:themeColor="text1"/>
              </w:rPr>
              <w:t>冷库</w:t>
            </w:r>
          </w:p>
        </w:tc>
        <w:tc>
          <w:tcPr>
            <w:tcW w:w="1275" w:type="dxa"/>
            <w:vAlign w:val="center"/>
          </w:tcPr>
          <w:p>
            <w:pPr>
              <w:pStyle w:val="55"/>
              <w:rPr>
                <w:color w:val="000000" w:themeColor="text1"/>
              </w:rPr>
            </w:pPr>
            <w:r>
              <w:rPr>
                <w:rFonts w:hint="eastAsia"/>
                <w:color w:val="000000" w:themeColor="text1"/>
              </w:rPr>
              <w:t>机械噪声</w:t>
            </w:r>
          </w:p>
        </w:tc>
        <w:tc>
          <w:tcPr>
            <w:tcW w:w="1560" w:type="dxa"/>
            <w:vAlign w:val="center"/>
          </w:tcPr>
          <w:p>
            <w:pPr>
              <w:pStyle w:val="55"/>
              <w:rPr>
                <w:color w:val="000000" w:themeColor="text1"/>
              </w:rPr>
            </w:pPr>
            <w:r>
              <w:rPr>
                <w:rFonts w:hint="eastAsia"/>
                <w:color w:val="000000" w:themeColor="text1"/>
              </w:rPr>
              <w:t>间歇性排放</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vAlign w:val="center"/>
          </w:tcPr>
          <w:p>
            <w:pPr>
              <w:pStyle w:val="55"/>
              <w:rPr>
                <w:color w:val="000000" w:themeColor="text1"/>
              </w:rPr>
            </w:pPr>
            <w:r>
              <w:rPr>
                <w:rFonts w:hint="eastAsia"/>
                <w:color w:val="000000" w:themeColor="text1"/>
              </w:rPr>
              <w:t>6</w:t>
            </w:r>
          </w:p>
        </w:tc>
        <w:tc>
          <w:tcPr>
            <w:tcW w:w="1417" w:type="dxa"/>
            <w:vAlign w:val="center"/>
          </w:tcPr>
          <w:p>
            <w:pPr>
              <w:pStyle w:val="55"/>
              <w:rPr>
                <w:color w:val="000000" w:themeColor="text1"/>
              </w:rPr>
            </w:pPr>
            <w:r>
              <w:rPr>
                <w:rFonts w:hint="eastAsia"/>
                <w:color w:val="000000" w:themeColor="text1"/>
              </w:rPr>
              <w:t>通风风机</w:t>
            </w:r>
          </w:p>
        </w:tc>
        <w:tc>
          <w:tcPr>
            <w:tcW w:w="1276" w:type="dxa"/>
            <w:vAlign w:val="center"/>
          </w:tcPr>
          <w:p>
            <w:pPr>
              <w:pStyle w:val="55"/>
              <w:rPr>
                <w:color w:val="000000" w:themeColor="text1"/>
              </w:rPr>
            </w:pPr>
            <w:r>
              <w:rPr>
                <w:rFonts w:hint="eastAsia"/>
                <w:color w:val="000000" w:themeColor="text1"/>
              </w:rPr>
              <w:t>75</w:t>
            </w:r>
          </w:p>
        </w:tc>
        <w:tc>
          <w:tcPr>
            <w:tcW w:w="992" w:type="dxa"/>
            <w:vAlign w:val="center"/>
          </w:tcPr>
          <w:p>
            <w:pPr>
              <w:pStyle w:val="55"/>
              <w:rPr>
                <w:color w:val="000000" w:themeColor="text1"/>
              </w:rPr>
            </w:pPr>
            <w:r>
              <w:rPr>
                <w:rFonts w:hint="eastAsia"/>
                <w:color w:val="000000" w:themeColor="text1"/>
              </w:rPr>
              <w:t>6</w:t>
            </w:r>
          </w:p>
        </w:tc>
        <w:tc>
          <w:tcPr>
            <w:tcW w:w="1418" w:type="dxa"/>
            <w:vAlign w:val="center"/>
          </w:tcPr>
          <w:p>
            <w:pPr>
              <w:pStyle w:val="55"/>
              <w:rPr>
                <w:color w:val="000000" w:themeColor="text1"/>
              </w:rPr>
            </w:pPr>
            <w:r>
              <w:rPr>
                <w:rFonts w:hint="eastAsia"/>
                <w:color w:val="000000" w:themeColor="text1"/>
              </w:rPr>
              <w:t>屠宰车间</w:t>
            </w:r>
          </w:p>
        </w:tc>
        <w:tc>
          <w:tcPr>
            <w:tcW w:w="1275" w:type="dxa"/>
            <w:vAlign w:val="center"/>
          </w:tcPr>
          <w:p>
            <w:pPr>
              <w:pStyle w:val="55"/>
              <w:rPr>
                <w:color w:val="000000" w:themeColor="text1"/>
              </w:rPr>
            </w:pPr>
            <w:r>
              <w:rPr>
                <w:rFonts w:hint="eastAsia"/>
                <w:color w:val="000000" w:themeColor="text1"/>
              </w:rPr>
              <w:t>机械噪声</w:t>
            </w:r>
          </w:p>
        </w:tc>
        <w:tc>
          <w:tcPr>
            <w:tcW w:w="1560" w:type="dxa"/>
            <w:vAlign w:val="center"/>
          </w:tcPr>
          <w:p>
            <w:pPr>
              <w:pStyle w:val="55"/>
              <w:rPr>
                <w:color w:val="000000" w:themeColor="text1"/>
              </w:rPr>
            </w:pPr>
            <w:r>
              <w:rPr>
                <w:rFonts w:hint="eastAsia"/>
                <w:color w:val="000000" w:themeColor="text1"/>
              </w:rPr>
              <w:t>连续性排放</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vAlign w:val="center"/>
          </w:tcPr>
          <w:p>
            <w:pPr>
              <w:pStyle w:val="55"/>
              <w:rPr>
                <w:color w:val="000000" w:themeColor="text1"/>
              </w:rPr>
            </w:pPr>
            <w:r>
              <w:rPr>
                <w:rFonts w:hint="eastAsia"/>
                <w:color w:val="000000" w:themeColor="text1"/>
              </w:rPr>
              <w:t>7</w:t>
            </w:r>
          </w:p>
        </w:tc>
        <w:tc>
          <w:tcPr>
            <w:tcW w:w="1417" w:type="dxa"/>
            <w:vAlign w:val="center"/>
          </w:tcPr>
          <w:p>
            <w:pPr>
              <w:pStyle w:val="55"/>
              <w:rPr>
                <w:color w:val="000000" w:themeColor="text1"/>
              </w:rPr>
            </w:pPr>
            <w:r>
              <w:rPr>
                <w:rFonts w:hint="eastAsia"/>
                <w:color w:val="000000" w:themeColor="text1"/>
              </w:rPr>
              <w:t>泵类</w:t>
            </w:r>
          </w:p>
        </w:tc>
        <w:tc>
          <w:tcPr>
            <w:tcW w:w="1276" w:type="dxa"/>
            <w:vAlign w:val="center"/>
          </w:tcPr>
          <w:p>
            <w:pPr>
              <w:pStyle w:val="55"/>
              <w:rPr>
                <w:color w:val="000000" w:themeColor="text1"/>
              </w:rPr>
            </w:pPr>
            <w:r>
              <w:rPr>
                <w:rFonts w:hint="eastAsia"/>
                <w:color w:val="000000" w:themeColor="text1"/>
              </w:rPr>
              <w:t>80</w:t>
            </w:r>
          </w:p>
        </w:tc>
        <w:tc>
          <w:tcPr>
            <w:tcW w:w="992" w:type="dxa"/>
            <w:vAlign w:val="center"/>
          </w:tcPr>
          <w:p>
            <w:pPr>
              <w:pStyle w:val="55"/>
              <w:rPr>
                <w:color w:val="000000" w:themeColor="text1"/>
              </w:rPr>
            </w:pPr>
            <w:r>
              <w:rPr>
                <w:rFonts w:hint="eastAsia"/>
                <w:color w:val="000000" w:themeColor="text1"/>
              </w:rPr>
              <w:t>4</w:t>
            </w:r>
          </w:p>
        </w:tc>
        <w:tc>
          <w:tcPr>
            <w:tcW w:w="1418" w:type="dxa"/>
            <w:vAlign w:val="center"/>
          </w:tcPr>
          <w:p>
            <w:pPr>
              <w:pStyle w:val="55"/>
              <w:rPr>
                <w:color w:val="000000" w:themeColor="text1"/>
              </w:rPr>
            </w:pPr>
            <w:r>
              <w:rPr>
                <w:rFonts w:hint="eastAsia"/>
                <w:color w:val="000000" w:themeColor="text1"/>
              </w:rPr>
              <w:t>污水处理站</w:t>
            </w:r>
          </w:p>
        </w:tc>
        <w:tc>
          <w:tcPr>
            <w:tcW w:w="1275" w:type="dxa"/>
            <w:vAlign w:val="center"/>
          </w:tcPr>
          <w:p>
            <w:pPr>
              <w:pStyle w:val="55"/>
              <w:rPr>
                <w:color w:val="000000" w:themeColor="text1"/>
              </w:rPr>
            </w:pPr>
            <w:r>
              <w:rPr>
                <w:rFonts w:hint="eastAsia"/>
                <w:color w:val="000000" w:themeColor="text1"/>
              </w:rPr>
              <w:t>机械噪声</w:t>
            </w:r>
          </w:p>
        </w:tc>
        <w:tc>
          <w:tcPr>
            <w:tcW w:w="1560" w:type="dxa"/>
            <w:vAlign w:val="center"/>
          </w:tcPr>
          <w:p>
            <w:pPr>
              <w:pStyle w:val="55"/>
              <w:rPr>
                <w:color w:val="000000" w:themeColor="text1"/>
              </w:rPr>
            </w:pPr>
            <w:r>
              <w:rPr>
                <w:rFonts w:hint="eastAsia"/>
                <w:color w:val="000000" w:themeColor="text1"/>
              </w:rPr>
              <w:t>连续性排放</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vAlign w:val="center"/>
          </w:tcPr>
          <w:p>
            <w:pPr>
              <w:pStyle w:val="55"/>
              <w:rPr>
                <w:color w:val="000000" w:themeColor="text1"/>
              </w:rPr>
            </w:pPr>
            <w:r>
              <w:rPr>
                <w:rFonts w:hint="eastAsia"/>
                <w:color w:val="000000" w:themeColor="text1"/>
              </w:rPr>
              <w:t>8</w:t>
            </w:r>
          </w:p>
        </w:tc>
        <w:tc>
          <w:tcPr>
            <w:tcW w:w="1417" w:type="dxa"/>
            <w:vAlign w:val="center"/>
          </w:tcPr>
          <w:p>
            <w:pPr>
              <w:pStyle w:val="55"/>
              <w:rPr>
                <w:color w:val="000000" w:themeColor="text1"/>
              </w:rPr>
            </w:pPr>
            <w:r>
              <w:rPr>
                <w:rFonts w:hint="eastAsia"/>
                <w:color w:val="000000" w:themeColor="text1"/>
              </w:rPr>
              <w:t>车辆噪声</w:t>
            </w:r>
          </w:p>
        </w:tc>
        <w:tc>
          <w:tcPr>
            <w:tcW w:w="1276" w:type="dxa"/>
            <w:vAlign w:val="center"/>
          </w:tcPr>
          <w:p>
            <w:pPr>
              <w:pStyle w:val="55"/>
              <w:rPr>
                <w:color w:val="000000" w:themeColor="text1"/>
              </w:rPr>
            </w:pPr>
            <w:r>
              <w:rPr>
                <w:rFonts w:hint="eastAsia"/>
                <w:color w:val="000000" w:themeColor="text1"/>
              </w:rPr>
              <w:t>75</w:t>
            </w:r>
          </w:p>
        </w:tc>
        <w:tc>
          <w:tcPr>
            <w:tcW w:w="992" w:type="dxa"/>
            <w:vAlign w:val="center"/>
          </w:tcPr>
          <w:p>
            <w:pPr>
              <w:pStyle w:val="55"/>
              <w:rPr>
                <w:color w:val="000000" w:themeColor="text1"/>
              </w:rPr>
            </w:pPr>
            <w:r>
              <w:rPr>
                <w:rFonts w:hint="eastAsia"/>
                <w:color w:val="000000" w:themeColor="text1"/>
              </w:rPr>
              <w:t>/</w:t>
            </w:r>
          </w:p>
        </w:tc>
        <w:tc>
          <w:tcPr>
            <w:tcW w:w="1418" w:type="dxa"/>
            <w:vAlign w:val="center"/>
          </w:tcPr>
          <w:p>
            <w:pPr>
              <w:pStyle w:val="55"/>
              <w:rPr>
                <w:color w:val="000000" w:themeColor="text1"/>
              </w:rPr>
            </w:pPr>
            <w:r>
              <w:rPr>
                <w:rFonts w:hint="eastAsia"/>
                <w:color w:val="000000" w:themeColor="text1"/>
              </w:rPr>
              <w:t>场内</w:t>
            </w:r>
          </w:p>
        </w:tc>
        <w:tc>
          <w:tcPr>
            <w:tcW w:w="1275" w:type="dxa"/>
            <w:vAlign w:val="center"/>
          </w:tcPr>
          <w:p>
            <w:pPr>
              <w:pStyle w:val="55"/>
              <w:rPr>
                <w:color w:val="000000" w:themeColor="text1"/>
              </w:rPr>
            </w:pPr>
            <w:r>
              <w:rPr>
                <w:rFonts w:hint="eastAsia"/>
                <w:color w:val="000000" w:themeColor="text1"/>
              </w:rPr>
              <w:t>交通噪声</w:t>
            </w:r>
          </w:p>
        </w:tc>
        <w:tc>
          <w:tcPr>
            <w:tcW w:w="1560" w:type="dxa"/>
            <w:vAlign w:val="center"/>
          </w:tcPr>
          <w:p>
            <w:pPr>
              <w:pStyle w:val="55"/>
              <w:rPr>
                <w:color w:val="000000" w:themeColor="text1"/>
              </w:rPr>
            </w:pPr>
            <w:r>
              <w:rPr>
                <w:rFonts w:hint="eastAsia"/>
                <w:color w:val="000000" w:themeColor="text1"/>
              </w:rPr>
              <w:t>间歇性排放</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vAlign w:val="center"/>
          </w:tcPr>
          <w:p>
            <w:pPr>
              <w:pStyle w:val="55"/>
              <w:rPr>
                <w:color w:val="000000" w:themeColor="text1"/>
              </w:rPr>
            </w:pPr>
            <w:r>
              <w:rPr>
                <w:rFonts w:hint="eastAsia"/>
                <w:color w:val="000000" w:themeColor="text1"/>
              </w:rPr>
              <w:t>9</w:t>
            </w:r>
          </w:p>
        </w:tc>
        <w:tc>
          <w:tcPr>
            <w:tcW w:w="1417" w:type="dxa"/>
            <w:vAlign w:val="center"/>
          </w:tcPr>
          <w:p>
            <w:pPr>
              <w:pStyle w:val="55"/>
              <w:rPr>
                <w:color w:val="000000" w:themeColor="text1"/>
              </w:rPr>
            </w:pPr>
            <w:r>
              <w:rPr>
                <w:rFonts w:hint="eastAsia"/>
                <w:color w:val="000000" w:themeColor="text1"/>
              </w:rPr>
              <w:t>人员活动噪声</w:t>
            </w:r>
          </w:p>
        </w:tc>
        <w:tc>
          <w:tcPr>
            <w:tcW w:w="1276" w:type="dxa"/>
            <w:vAlign w:val="center"/>
          </w:tcPr>
          <w:p>
            <w:pPr>
              <w:pStyle w:val="55"/>
              <w:rPr>
                <w:color w:val="000000" w:themeColor="text1"/>
              </w:rPr>
            </w:pPr>
            <w:r>
              <w:rPr>
                <w:rFonts w:hint="eastAsia"/>
                <w:color w:val="000000" w:themeColor="text1"/>
              </w:rPr>
              <w:t>60</w:t>
            </w:r>
          </w:p>
        </w:tc>
        <w:tc>
          <w:tcPr>
            <w:tcW w:w="992" w:type="dxa"/>
            <w:vAlign w:val="center"/>
          </w:tcPr>
          <w:p>
            <w:pPr>
              <w:pStyle w:val="55"/>
              <w:rPr>
                <w:color w:val="000000" w:themeColor="text1"/>
              </w:rPr>
            </w:pPr>
            <w:r>
              <w:rPr>
                <w:rFonts w:hint="eastAsia"/>
                <w:color w:val="000000" w:themeColor="text1"/>
              </w:rPr>
              <w:t>/</w:t>
            </w:r>
          </w:p>
        </w:tc>
        <w:tc>
          <w:tcPr>
            <w:tcW w:w="1418" w:type="dxa"/>
            <w:vAlign w:val="center"/>
          </w:tcPr>
          <w:p>
            <w:pPr>
              <w:pStyle w:val="55"/>
              <w:rPr>
                <w:color w:val="000000" w:themeColor="text1"/>
              </w:rPr>
            </w:pPr>
            <w:r>
              <w:rPr>
                <w:rFonts w:hint="eastAsia"/>
                <w:color w:val="000000" w:themeColor="text1"/>
              </w:rPr>
              <w:t>场内</w:t>
            </w:r>
          </w:p>
        </w:tc>
        <w:tc>
          <w:tcPr>
            <w:tcW w:w="1275" w:type="dxa"/>
            <w:vAlign w:val="center"/>
          </w:tcPr>
          <w:p>
            <w:pPr>
              <w:pStyle w:val="55"/>
              <w:rPr>
                <w:color w:val="000000" w:themeColor="text1"/>
              </w:rPr>
            </w:pPr>
            <w:r>
              <w:rPr>
                <w:rFonts w:hint="eastAsia"/>
                <w:color w:val="000000" w:themeColor="text1"/>
              </w:rPr>
              <w:t>人群噪声</w:t>
            </w:r>
          </w:p>
        </w:tc>
        <w:tc>
          <w:tcPr>
            <w:tcW w:w="1560" w:type="dxa"/>
            <w:vAlign w:val="center"/>
          </w:tcPr>
          <w:p>
            <w:pPr>
              <w:pStyle w:val="55"/>
              <w:rPr>
                <w:color w:val="000000" w:themeColor="text1"/>
              </w:rPr>
            </w:pPr>
            <w:r>
              <w:rPr>
                <w:rFonts w:hint="eastAsia"/>
                <w:color w:val="000000" w:themeColor="text1"/>
              </w:rPr>
              <w:t>间歇性排放</w:t>
            </w:r>
          </w:p>
        </w:tc>
      </w:tr>
      <w:bookmarkEnd w:id="216"/>
      <w:bookmarkEnd w:id="217"/>
      <w:bookmarkEnd w:id="218"/>
    </w:tbl>
    <w:p>
      <w:pPr>
        <w:ind w:firstLine="480"/>
        <w:rPr>
          <w:color w:val="000000" w:themeColor="text1"/>
        </w:rPr>
      </w:pPr>
      <w:r>
        <w:rPr>
          <w:rFonts w:hint="eastAsia"/>
          <w:color w:val="000000" w:themeColor="text1"/>
        </w:rPr>
        <w:t>设备噪声源距场地边界最近的距离以及关心点距噪声源距离见表6.3.1</w:t>
      </w:r>
      <w:r>
        <w:rPr>
          <w:color w:val="000000" w:themeColor="text1"/>
        </w:rPr>
        <w:t>-</w:t>
      </w:r>
      <w:r>
        <w:rPr>
          <w:rFonts w:hint="eastAsia"/>
          <w:color w:val="000000" w:themeColor="text1"/>
        </w:rPr>
        <w:t>2。</w:t>
      </w:r>
    </w:p>
    <w:p>
      <w:pPr>
        <w:pStyle w:val="54"/>
        <w:rPr>
          <w:color w:val="000000" w:themeColor="text1"/>
        </w:rPr>
      </w:pPr>
      <w:r>
        <w:rPr>
          <w:rFonts w:hint="eastAsia"/>
          <w:color w:val="000000" w:themeColor="text1"/>
        </w:rPr>
        <w:t>表6.3.1</w:t>
      </w:r>
      <w:r>
        <w:rPr>
          <w:color w:val="000000" w:themeColor="text1"/>
        </w:rPr>
        <w:t>-</w:t>
      </w:r>
      <w:r>
        <w:rPr>
          <w:rFonts w:hint="eastAsia"/>
          <w:color w:val="000000" w:themeColor="text1"/>
        </w:rPr>
        <w:t>2</w:t>
      </w:r>
      <w:r>
        <w:rPr>
          <w:color w:val="000000" w:themeColor="text1"/>
        </w:rPr>
        <w:t xml:space="preserve">   </w:t>
      </w:r>
      <w:r>
        <w:rPr>
          <w:rFonts w:hint="eastAsia"/>
          <w:color w:val="000000" w:themeColor="text1"/>
        </w:rPr>
        <w:t>各噪声源与预测点距离表</w:t>
      </w:r>
    </w:p>
    <w:tbl>
      <w:tblPr>
        <w:tblStyle w:val="42"/>
        <w:tblW w:w="81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2"/>
        <w:gridCol w:w="1134"/>
        <w:gridCol w:w="992"/>
        <w:gridCol w:w="1276"/>
        <w:gridCol w:w="910"/>
        <w:gridCol w:w="791"/>
        <w:gridCol w:w="768"/>
        <w:gridCol w:w="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482"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噪声源</w:t>
            </w:r>
          </w:p>
        </w:tc>
        <w:tc>
          <w:tcPr>
            <w:tcW w:w="1134"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单台（套）源强</w:t>
            </w:r>
          </w:p>
        </w:tc>
        <w:tc>
          <w:tcPr>
            <w:tcW w:w="992"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数量</w:t>
            </w:r>
          </w:p>
        </w:tc>
        <w:tc>
          <w:tcPr>
            <w:tcW w:w="1276"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叠加噪声源强</w:t>
            </w:r>
          </w:p>
        </w:tc>
        <w:tc>
          <w:tcPr>
            <w:tcW w:w="3266" w:type="dxa"/>
            <w:gridSpan w:val="4"/>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与四周厂界的距离（</w:t>
            </w:r>
            <w:r>
              <w:rPr>
                <w:color w:val="000000" w:themeColor="text1"/>
              </w:rPr>
              <w:t>m</w:t>
            </w:r>
            <w:r>
              <w:rPr>
                <w:rFonts w:hint="eastAsia"/>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2"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134"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992"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91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东</w:t>
            </w:r>
          </w:p>
        </w:tc>
        <w:tc>
          <w:tcPr>
            <w:tcW w:w="79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西</w:t>
            </w:r>
          </w:p>
        </w:tc>
        <w:tc>
          <w:tcPr>
            <w:tcW w:w="76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南</w:t>
            </w:r>
          </w:p>
        </w:tc>
        <w:tc>
          <w:tcPr>
            <w:tcW w:w="79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8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猪叫声</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90</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w:t>
            </w:r>
          </w:p>
        </w:tc>
        <w:tc>
          <w:tcPr>
            <w:tcW w:w="12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80</w:t>
            </w:r>
          </w:p>
        </w:tc>
        <w:tc>
          <w:tcPr>
            <w:tcW w:w="91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40</w:t>
            </w:r>
          </w:p>
        </w:tc>
        <w:tc>
          <w:tcPr>
            <w:tcW w:w="79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14</w:t>
            </w:r>
          </w:p>
        </w:tc>
        <w:tc>
          <w:tcPr>
            <w:tcW w:w="76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22</w:t>
            </w:r>
          </w:p>
        </w:tc>
        <w:tc>
          <w:tcPr>
            <w:tcW w:w="79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48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鸡叫声</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90</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w:t>
            </w:r>
          </w:p>
        </w:tc>
        <w:tc>
          <w:tcPr>
            <w:tcW w:w="12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80</w:t>
            </w:r>
          </w:p>
        </w:tc>
        <w:tc>
          <w:tcPr>
            <w:tcW w:w="91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40</w:t>
            </w:r>
          </w:p>
        </w:tc>
        <w:tc>
          <w:tcPr>
            <w:tcW w:w="79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14</w:t>
            </w:r>
          </w:p>
        </w:tc>
        <w:tc>
          <w:tcPr>
            <w:tcW w:w="76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100</w:t>
            </w:r>
          </w:p>
        </w:tc>
        <w:tc>
          <w:tcPr>
            <w:tcW w:w="79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48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生猪屠宰设备噪声</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85</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w:t>
            </w:r>
          </w:p>
        </w:tc>
        <w:tc>
          <w:tcPr>
            <w:tcW w:w="12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85</w:t>
            </w:r>
          </w:p>
        </w:tc>
        <w:tc>
          <w:tcPr>
            <w:tcW w:w="91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27</w:t>
            </w:r>
          </w:p>
        </w:tc>
        <w:tc>
          <w:tcPr>
            <w:tcW w:w="79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27</w:t>
            </w:r>
          </w:p>
        </w:tc>
        <w:tc>
          <w:tcPr>
            <w:tcW w:w="76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32</w:t>
            </w:r>
          </w:p>
        </w:tc>
        <w:tc>
          <w:tcPr>
            <w:tcW w:w="79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48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宰鸡设备</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85</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w:t>
            </w:r>
          </w:p>
        </w:tc>
        <w:tc>
          <w:tcPr>
            <w:tcW w:w="12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85</w:t>
            </w:r>
          </w:p>
        </w:tc>
        <w:tc>
          <w:tcPr>
            <w:tcW w:w="91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23</w:t>
            </w:r>
          </w:p>
        </w:tc>
        <w:tc>
          <w:tcPr>
            <w:tcW w:w="79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25</w:t>
            </w:r>
          </w:p>
        </w:tc>
        <w:tc>
          <w:tcPr>
            <w:tcW w:w="76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98</w:t>
            </w:r>
          </w:p>
        </w:tc>
        <w:tc>
          <w:tcPr>
            <w:tcW w:w="79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48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制冷压缩机</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75</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3</w:t>
            </w:r>
          </w:p>
        </w:tc>
        <w:tc>
          <w:tcPr>
            <w:tcW w:w="12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80</w:t>
            </w:r>
          </w:p>
        </w:tc>
        <w:tc>
          <w:tcPr>
            <w:tcW w:w="91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16</w:t>
            </w:r>
          </w:p>
        </w:tc>
        <w:tc>
          <w:tcPr>
            <w:tcW w:w="79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40</w:t>
            </w:r>
          </w:p>
        </w:tc>
        <w:tc>
          <w:tcPr>
            <w:tcW w:w="76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11</w:t>
            </w:r>
          </w:p>
        </w:tc>
        <w:tc>
          <w:tcPr>
            <w:tcW w:w="79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48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生猪屠宰车间通风风机</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75</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w:t>
            </w:r>
          </w:p>
        </w:tc>
        <w:tc>
          <w:tcPr>
            <w:tcW w:w="12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81</w:t>
            </w:r>
          </w:p>
        </w:tc>
        <w:tc>
          <w:tcPr>
            <w:tcW w:w="91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39</w:t>
            </w:r>
          </w:p>
        </w:tc>
        <w:tc>
          <w:tcPr>
            <w:tcW w:w="79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17</w:t>
            </w:r>
          </w:p>
        </w:tc>
        <w:tc>
          <w:tcPr>
            <w:tcW w:w="76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32</w:t>
            </w:r>
          </w:p>
        </w:tc>
        <w:tc>
          <w:tcPr>
            <w:tcW w:w="79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48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生鸡屠宰车间通风风机</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75</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w:t>
            </w:r>
          </w:p>
        </w:tc>
        <w:tc>
          <w:tcPr>
            <w:tcW w:w="12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78</w:t>
            </w:r>
          </w:p>
        </w:tc>
        <w:tc>
          <w:tcPr>
            <w:tcW w:w="91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85</w:t>
            </w:r>
          </w:p>
        </w:tc>
        <w:tc>
          <w:tcPr>
            <w:tcW w:w="79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41</w:t>
            </w:r>
          </w:p>
        </w:tc>
        <w:tc>
          <w:tcPr>
            <w:tcW w:w="76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16</w:t>
            </w:r>
          </w:p>
        </w:tc>
        <w:tc>
          <w:tcPr>
            <w:tcW w:w="79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48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泵类</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80</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w:t>
            </w:r>
          </w:p>
        </w:tc>
        <w:tc>
          <w:tcPr>
            <w:tcW w:w="127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86</w:t>
            </w:r>
          </w:p>
        </w:tc>
        <w:tc>
          <w:tcPr>
            <w:tcW w:w="91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48</w:t>
            </w:r>
          </w:p>
        </w:tc>
        <w:tc>
          <w:tcPr>
            <w:tcW w:w="79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8</w:t>
            </w:r>
          </w:p>
        </w:tc>
        <w:tc>
          <w:tcPr>
            <w:tcW w:w="76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78</w:t>
            </w:r>
          </w:p>
        </w:tc>
        <w:tc>
          <w:tcPr>
            <w:tcW w:w="79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36</w:t>
            </w:r>
          </w:p>
        </w:tc>
      </w:tr>
    </w:tbl>
    <w:p>
      <w:pPr>
        <w:pStyle w:val="38"/>
        <w:ind w:firstLine="281"/>
        <w:rPr>
          <w:color w:val="000000" w:themeColor="text1"/>
        </w:rPr>
      </w:pPr>
      <w:bookmarkStart w:id="219" w:name="_Toc47375873"/>
      <w:r>
        <w:rPr>
          <w:rFonts w:hint="eastAsia"/>
          <w:color w:val="000000" w:themeColor="text1"/>
        </w:rPr>
        <w:t>6.3.2噪声影响预测与评价</w:t>
      </w:r>
      <w:bookmarkEnd w:id="219"/>
    </w:p>
    <w:p>
      <w:pPr>
        <w:ind w:firstLine="480"/>
        <w:rPr>
          <w:color w:val="000000" w:themeColor="text1"/>
        </w:rPr>
      </w:pPr>
      <w:r>
        <w:rPr>
          <w:rFonts w:hint="eastAsia"/>
          <w:color w:val="000000" w:themeColor="text1"/>
        </w:rPr>
        <w:t>本项目为新建搬迁项目，根据项目特点其运营期噪声采用噪声预测值进行预测评价。</w:t>
      </w:r>
    </w:p>
    <w:p>
      <w:pPr>
        <w:ind w:firstLine="482"/>
        <w:rPr>
          <w:rFonts w:cs="Times New Roman"/>
          <w:b/>
          <w:color w:val="000000" w:themeColor="text1"/>
        </w:rPr>
      </w:pPr>
      <w:r>
        <w:rPr>
          <w:rFonts w:hint="eastAsia"/>
          <w:b/>
          <w:color w:val="000000" w:themeColor="text1"/>
        </w:rPr>
        <w:t>1、预测模式</w:t>
      </w:r>
    </w:p>
    <w:p>
      <w:pPr>
        <w:ind w:firstLine="480"/>
        <w:rPr>
          <w:bCs/>
          <w:color w:val="000000" w:themeColor="text1"/>
        </w:rPr>
      </w:pPr>
      <w:r>
        <w:rPr>
          <w:rFonts w:hint="eastAsia"/>
          <w:bCs/>
          <w:color w:val="000000" w:themeColor="text1"/>
        </w:rPr>
        <w:t>处于半自由空间的无指向性声源几何发散衰减按下列公式计算：</w:t>
      </w:r>
    </w:p>
    <w:p>
      <w:pPr>
        <w:ind w:firstLine="480"/>
        <w:rPr>
          <w:color w:val="000000" w:themeColor="text1"/>
          <w:lang w:val="fr-FR"/>
        </w:rPr>
      </w:pPr>
      <w:r>
        <w:rPr>
          <w:color w:val="000000" w:themeColor="text1"/>
          <w:lang w:val="fr-FR"/>
        </w:rPr>
        <w:t>LA(r)=Lr</w:t>
      </w:r>
      <w:r>
        <w:rPr>
          <w:color w:val="000000" w:themeColor="text1"/>
          <w:vertAlign w:val="subscript"/>
          <w:lang w:val="fr-FR"/>
        </w:rPr>
        <w:t xml:space="preserve">0 </w:t>
      </w:r>
      <w:r>
        <w:rPr>
          <w:color w:val="000000" w:themeColor="text1"/>
          <w:lang w:val="fr-FR"/>
        </w:rPr>
        <w:t>-20lg(r/r</w:t>
      </w:r>
      <w:r>
        <w:rPr>
          <w:color w:val="000000" w:themeColor="text1"/>
          <w:vertAlign w:val="subscript"/>
          <w:lang w:val="fr-FR"/>
        </w:rPr>
        <w:t>0</w:t>
      </w:r>
      <w:r>
        <w:rPr>
          <w:color w:val="000000" w:themeColor="text1"/>
          <w:lang w:val="fr-FR"/>
        </w:rPr>
        <w:t>)-</w:t>
      </w:r>
      <w:r>
        <w:rPr>
          <w:rFonts w:ascii="Cambria Math" w:hAnsi="Cambria Math" w:cs="Cambria Math"/>
          <w:color w:val="000000" w:themeColor="text1"/>
          <w:lang w:val="fr-FR"/>
        </w:rPr>
        <w:t>△</w:t>
      </w:r>
      <w:r>
        <w:rPr>
          <w:rFonts w:cs="Times New Roman"/>
          <w:color w:val="000000" w:themeColor="text1"/>
          <w:lang w:val="fr-FR"/>
        </w:rPr>
        <w:t>L</w:t>
      </w:r>
    </w:p>
    <w:p>
      <w:pPr>
        <w:ind w:firstLine="480"/>
        <w:rPr>
          <w:bCs/>
          <w:color w:val="000000" w:themeColor="text1"/>
        </w:rPr>
      </w:pPr>
      <w:r>
        <w:rPr>
          <w:rFonts w:hint="eastAsia"/>
          <w:bCs/>
          <w:color w:val="000000" w:themeColor="text1"/>
        </w:rPr>
        <w:t>式中：</w:t>
      </w:r>
      <w:r>
        <w:rPr>
          <w:bCs/>
          <w:color w:val="000000" w:themeColor="text1"/>
        </w:rPr>
        <w:t>LA(r)---</w:t>
      </w:r>
      <w:r>
        <w:rPr>
          <w:rFonts w:hint="eastAsia"/>
          <w:bCs/>
          <w:color w:val="000000" w:themeColor="text1"/>
        </w:rPr>
        <w:t>距声源</w:t>
      </w:r>
      <w:r>
        <w:rPr>
          <w:bCs/>
          <w:color w:val="000000" w:themeColor="text1"/>
        </w:rPr>
        <w:t>r</w:t>
      </w:r>
      <w:r>
        <w:rPr>
          <w:rFonts w:hint="eastAsia"/>
          <w:bCs/>
          <w:color w:val="000000" w:themeColor="text1"/>
        </w:rPr>
        <w:t>米处受声点的</w:t>
      </w:r>
      <w:r>
        <w:rPr>
          <w:bCs/>
          <w:color w:val="000000" w:themeColor="text1"/>
        </w:rPr>
        <w:t>A</w:t>
      </w:r>
      <w:r>
        <w:rPr>
          <w:rFonts w:hint="eastAsia"/>
          <w:bCs/>
          <w:color w:val="000000" w:themeColor="text1"/>
        </w:rPr>
        <w:t>声级；</w:t>
      </w:r>
    </w:p>
    <w:p>
      <w:pPr>
        <w:ind w:firstLine="1200" w:firstLineChars="500"/>
        <w:rPr>
          <w:bCs/>
          <w:color w:val="000000" w:themeColor="text1"/>
        </w:rPr>
      </w:pPr>
      <w:r>
        <w:rPr>
          <w:bCs/>
          <w:color w:val="000000" w:themeColor="text1"/>
        </w:rPr>
        <w:t>Lr</w:t>
      </w:r>
      <w:r>
        <w:rPr>
          <w:bCs/>
          <w:color w:val="000000" w:themeColor="text1"/>
          <w:vertAlign w:val="subscript"/>
        </w:rPr>
        <w:t>0</w:t>
      </w:r>
      <w:r>
        <w:rPr>
          <w:bCs/>
          <w:color w:val="000000" w:themeColor="text1"/>
        </w:rPr>
        <w:t>----</w:t>
      </w:r>
      <w:r>
        <w:rPr>
          <w:rFonts w:hint="eastAsia"/>
          <w:bCs/>
          <w:color w:val="000000" w:themeColor="text1"/>
        </w:rPr>
        <w:t>参考点声源强度；</w:t>
      </w:r>
    </w:p>
    <w:p>
      <w:pPr>
        <w:ind w:firstLine="1200" w:firstLineChars="500"/>
        <w:rPr>
          <w:bCs/>
          <w:color w:val="000000" w:themeColor="text1"/>
        </w:rPr>
      </w:pPr>
      <w:r>
        <w:rPr>
          <w:bCs/>
          <w:color w:val="000000" w:themeColor="text1"/>
        </w:rPr>
        <w:t>r-----</w:t>
      </w:r>
      <w:r>
        <w:rPr>
          <w:rFonts w:hint="eastAsia"/>
          <w:bCs/>
          <w:color w:val="000000" w:themeColor="text1"/>
        </w:rPr>
        <w:t>预测受声点与源之间的距离（</w:t>
      </w:r>
      <w:r>
        <w:rPr>
          <w:bCs/>
          <w:color w:val="000000" w:themeColor="text1"/>
        </w:rPr>
        <w:t>m</w:t>
      </w:r>
      <w:r>
        <w:rPr>
          <w:rFonts w:hint="eastAsia"/>
          <w:bCs/>
          <w:color w:val="000000" w:themeColor="text1"/>
        </w:rPr>
        <w:t>）；</w:t>
      </w:r>
    </w:p>
    <w:p>
      <w:pPr>
        <w:ind w:firstLine="1200" w:firstLineChars="500"/>
        <w:rPr>
          <w:bCs/>
          <w:color w:val="000000" w:themeColor="text1"/>
        </w:rPr>
      </w:pPr>
      <w:r>
        <w:rPr>
          <w:bCs/>
          <w:color w:val="000000" w:themeColor="text1"/>
        </w:rPr>
        <w:t>r</w:t>
      </w:r>
      <w:r>
        <w:rPr>
          <w:bCs/>
          <w:color w:val="000000" w:themeColor="text1"/>
          <w:vertAlign w:val="subscript"/>
        </w:rPr>
        <w:t>0</w:t>
      </w:r>
      <w:r>
        <w:rPr>
          <w:bCs/>
          <w:color w:val="000000" w:themeColor="text1"/>
        </w:rPr>
        <w:t>-----</w:t>
      </w:r>
      <w:r>
        <w:rPr>
          <w:rFonts w:hint="eastAsia"/>
          <w:bCs/>
          <w:color w:val="000000" w:themeColor="text1"/>
        </w:rPr>
        <w:t>参考点与源之间的距离（</w:t>
      </w:r>
      <w:r>
        <w:rPr>
          <w:bCs/>
          <w:color w:val="000000" w:themeColor="text1"/>
        </w:rPr>
        <w:t>m</w:t>
      </w:r>
      <w:r>
        <w:rPr>
          <w:rFonts w:hint="eastAsia"/>
          <w:bCs/>
          <w:color w:val="000000" w:themeColor="text1"/>
        </w:rPr>
        <w:t>）；</w:t>
      </w:r>
    </w:p>
    <w:p>
      <w:pPr>
        <w:ind w:firstLine="1080" w:firstLineChars="450"/>
        <w:rPr>
          <w:bCs/>
          <w:color w:val="000000" w:themeColor="text1"/>
        </w:rPr>
      </w:pPr>
      <w:r>
        <w:rPr>
          <w:rFonts w:ascii="Cambria Math" w:hAnsi="Cambria Math" w:cs="Cambria Math"/>
          <w:bCs/>
          <w:color w:val="000000" w:themeColor="text1"/>
        </w:rPr>
        <w:t>△</w:t>
      </w:r>
      <w:r>
        <w:rPr>
          <w:rFonts w:cs="Times New Roman"/>
          <w:bCs/>
          <w:color w:val="000000" w:themeColor="text1"/>
        </w:rPr>
        <w:t>L---</w:t>
      </w:r>
      <w:r>
        <w:rPr>
          <w:rFonts w:hint="eastAsia"/>
          <w:bCs/>
          <w:color w:val="000000" w:themeColor="text1"/>
        </w:rPr>
        <w:t>其它衰减因素（影响</w:t>
      </w:r>
      <w:r>
        <w:rPr>
          <w:rFonts w:ascii="Cambria Math" w:hAnsi="Cambria Math" w:cs="Cambria Math"/>
          <w:bCs/>
          <w:color w:val="000000" w:themeColor="text1"/>
        </w:rPr>
        <w:t>△</w:t>
      </w:r>
      <w:r>
        <w:rPr>
          <w:rFonts w:cs="Times New Roman"/>
          <w:bCs/>
          <w:color w:val="000000" w:themeColor="text1"/>
        </w:rPr>
        <w:t>L</w:t>
      </w:r>
      <w:r>
        <w:rPr>
          <w:rFonts w:hint="eastAsia"/>
          <w:bCs/>
          <w:color w:val="000000" w:themeColor="text1"/>
        </w:rPr>
        <w:t>取值的因素很多，主要考虑厂房隔声，建筑物反射等影响，采用建筑物隔声，隔声效果取值</w:t>
      </w:r>
      <w:r>
        <w:rPr>
          <w:bCs/>
          <w:color w:val="000000" w:themeColor="text1"/>
        </w:rPr>
        <w:t>1</w:t>
      </w:r>
      <w:r>
        <w:rPr>
          <w:rFonts w:hint="eastAsia"/>
          <w:bCs/>
          <w:color w:val="000000" w:themeColor="text1"/>
        </w:rPr>
        <w:t>5</w:t>
      </w:r>
      <w:r>
        <w:rPr>
          <w:bCs/>
          <w:color w:val="000000" w:themeColor="text1"/>
        </w:rPr>
        <w:t>dB</w:t>
      </w:r>
      <w:r>
        <w:rPr>
          <w:rFonts w:hint="eastAsia"/>
          <w:bCs/>
          <w:color w:val="000000" w:themeColor="text1"/>
        </w:rPr>
        <w:t>（</w:t>
      </w:r>
      <w:r>
        <w:rPr>
          <w:bCs/>
          <w:color w:val="000000" w:themeColor="text1"/>
        </w:rPr>
        <w:t>A</w:t>
      </w:r>
      <w:r>
        <w:rPr>
          <w:rFonts w:hint="eastAsia"/>
          <w:bCs/>
          <w:color w:val="000000" w:themeColor="text1"/>
        </w:rPr>
        <w:t>），污水处理站为地埋式，因此水泵的隔声效果取值25</w:t>
      </w:r>
      <w:r>
        <w:rPr>
          <w:bCs/>
          <w:color w:val="000000" w:themeColor="text1"/>
        </w:rPr>
        <w:t>dB</w:t>
      </w:r>
      <w:r>
        <w:rPr>
          <w:rFonts w:hint="eastAsia"/>
          <w:bCs/>
          <w:color w:val="000000" w:themeColor="text1"/>
        </w:rPr>
        <w:t>（</w:t>
      </w:r>
      <w:r>
        <w:rPr>
          <w:bCs/>
          <w:color w:val="000000" w:themeColor="text1"/>
        </w:rPr>
        <w:t>A</w:t>
      </w:r>
      <w:r>
        <w:rPr>
          <w:rFonts w:hint="eastAsia"/>
          <w:bCs/>
          <w:color w:val="000000" w:themeColor="text1"/>
        </w:rPr>
        <w:t>）。</w:t>
      </w:r>
    </w:p>
    <w:p>
      <w:pPr>
        <w:ind w:firstLine="480"/>
        <w:rPr>
          <w:bCs/>
          <w:color w:val="000000" w:themeColor="text1"/>
        </w:rPr>
      </w:pPr>
      <w:r>
        <w:rPr>
          <w:rFonts w:hint="eastAsia"/>
          <w:bCs/>
          <w:color w:val="000000" w:themeColor="text1"/>
        </w:rPr>
        <w:t>各受声点的声源叠加按下列公式计算：</w:t>
      </w:r>
    </w:p>
    <w:p>
      <w:pPr>
        <w:ind w:firstLine="480"/>
        <w:rPr>
          <w:color w:val="000000" w:themeColor="text1"/>
        </w:rPr>
      </w:pPr>
      <w:r>
        <w:rPr>
          <w:color w:val="000000" w:themeColor="text1"/>
        </w:rPr>
        <w:drawing>
          <wp:inline distT="0" distB="0" distL="0" distR="0">
            <wp:extent cx="1238250" cy="438150"/>
            <wp:effectExtent l="19050" t="0" r="0" b="0"/>
            <wp:docPr id="18" name="图片 33" descr="D:\My Documents\Tencent Files\452074256\Image\%MQIO@P3Z4AZC@~`(($51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3" descr="D:\My Documents\Tencent Files\452074256\Image\%MQIO@P3Z4AZC@~`(($516C.jpg"/>
                    <pic:cNvPicPr>
                      <a:picLocks noChangeAspect="1" noChangeArrowheads="1"/>
                    </pic:cNvPicPr>
                  </pic:nvPicPr>
                  <pic:blipFill>
                    <a:blip r:embed="rId38" r:link="rId39"/>
                    <a:srcRect/>
                    <a:stretch>
                      <a:fillRect/>
                    </a:stretch>
                  </pic:blipFill>
                  <pic:spPr>
                    <a:xfrm>
                      <a:off x="0" y="0"/>
                      <a:ext cx="1238250" cy="438150"/>
                    </a:xfrm>
                    <a:prstGeom prst="rect">
                      <a:avLst/>
                    </a:prstGeom>
                    <a:noFill/>
                    <a:ln w="9525">
                      <a:noFill/>
                      <a:miter lim="800000"/>
                      <a:headEnd/>
                      <a:tailEnd/>
                    </a:ln>
                  </pic:spPr>
                </pic:pic>
              </a:graphicData>
            </a:graphic>
          </wp:inline>
        </w:drawing>
      </w:r>
    </w:p>
    <w:p>
      <w:pPr>
        <w:ind w:firstLine="480"/>
        <w:rPr>
          <w:bCs/>
          <w:color w:val="000000" w:themeColor="text1"/>
        </w:rPr>
      </w:pPr>
      <w:r>
        <w:rPr>
          <w:rFonts w:hint="eastAsia"/>
          <w:bCs/>
          <w:color w:val="000000" w:themeColor="text1"/>
        </w:rPr>
        <w:t>式中：</w:t>
      </w:r>
      <w:r>
        <w:rPr>
          <w:bCs/>
          <w:color w:val="000000" w:themeColor="text1"/>
        </w:rPr>
        <w:t xml:space="preserve">Li--- </w:t>
      </w:r>
      <w:r>
        <w:rPr>
          <w:rFonts w:hint="eastAsia"/>
          <w:bCs/>
          <w:color w:val="000000" w:themeColor="text1"/>
        </w:rPr>
        <w:t>第</w:t>
      </w:r>
      <w:r>
        <w:rPr>
          <w:bCs/>
          <w:color w:val="000000" w:themeColor="text1"/>
        </w:rPr>
        <w:t>i</w:t>
      </w:r>
      <w:r>
        <w:rPr>
          <w:rFonts w:hint="eastAsia"/>
          <w:bCs/>
          <w:color w:val="000000" w:themeColor="text1"/>
        </w:rPr>
        <w:t>个声源声值；</w:t>
      </w:r>
    </w:p>
    <w:p>
      <w:pPr>
        <w:ind w:firstLine="480"/>
        <w:rPr>
          <w:bCs/>
          <w:color w:val="000000" w:themeColor="text1"/>
        </w:rPr>
      </w:pPr>
      <w:r>
        <w:rPr>
          <w:bCs/>
          <w:color w:val="000000" w:themeColor="text1"/>
        </w:rPr>
        <w:t xml:space="preserve">      LA---</w:t>
      </w:r>
      <w:r>
        <w:rPr>
          <w:rFonts w:hint="eastAsia"/>
          <w:bCs/>
          <w:color w:val="000000" w:themeColor="text1"/>
        </w:rPr>
        <w:t>某点噪声总叠加值；</w:t>
      </w:r>
    </w:p>
    <w:p>
      <w:pPr>
        <w:ind w:firstLine="480"/>
        <w:rPr>
          <w:bCs/>
          <w:color w:val="000000" w:themeColor="text1"/>
        </w:rPr>
      </w:pPr>
      <w:r>
        <w:rPr>
          <w:bCs/>
          <w:color w:val="000000" w:themeColor="text1"/>
        </w:rPr>
        <w:t xml:space="preserve">      n---</w:t>
      </w:r>
      <w:r>
        <w:rPr>
          <w:rFonts w:hint="eastAsia"/>
          <w:bCs/>
          <w:color w:val="000000" w:themeColor="text1"/>
        </w:rPr>
        <w:t>声源个数。</w:t>
      </w:r>
    </w:p>
    <w:p>
      <w:pPr>
        <w:ind w:firstLine="482"/>
        <w:rPr>
          <w:b/>
          <w:bCs/>
          <w:color w:val="000000" w:themeColor="text1"/>
        </w:rPr>
      </w:pPr>
      <w:r>
        <w:rPr>
          <w:rFonts w:hint="eastAsia"/>
          <w:b/>
          <w:bCs/>
          <w:color w:val="000000" w:themeColor="text1"/>
        </w:rPr>
        <w:t>2、预测结果及评价</w:t>
      </w:r>
    </w:p>
    <w:p>
      <w:pPr>
        <w:ind w:firstLine="480"/>
        <w:rPr>
          <w:bCs/>
          <w:color w:val="000000" w:themeColor="text1"/>
        </w:rPr>
      </w:pPr>
      <w:r>
        <w:rPr>
          <w:rFonts w:hint="eastAsia"/>
          <w:bCs/>
          <w:color w:val="000000" w:themeColor="text1"/>
        </w:rPr>
        <w:t>设备噪声源均看作点声源，经采取设备选型减噪、减震、隔声治理措施后设备到厂界四周的贡献值见表</w:t>
      </w:r>
      <w:r>
        <w:rPr>
          <w:bCs/>
          <w:color w:val="000000" w:themeColor="text1"/>
        </w:rPr>
        <w:t>6.</w:t>
      </w:r>
      <w:r>
        <w:rPr>
          <w:rFonts w:hint="eastAsia"/>
          <w:bCs/>
          <w:color w:val="000000" w:themeColor="text1"/>
        </w:rPr>
        <w:t>3.1-3。</w:t>
      </w:r>
    </w:p>
    <w:p>
      <w:pPr>
        <w:pStyle w:val="54"/>
        <w:rPr>
          <w:bCs/>
          <w:color w:val="000000" w:themeColor="text1"/>
        </w:rPr>
      </w:pPr>
      <w:r>
        <w:rPr>
          <w:rFonts w:hint="eastAsia"/>
          <w:color w:val="000000" w:themeColor="text1"/>
        </w:rPr>
        <w:t>表6.3.1-3</w:t>
      </w:r>
      <w:r>
        <w:rPr>
          <w:color w:val="000000" w:themeColor="text1"/>
        </w:rPr>
        <w:t xml:space="preserve">   </w:t>
      </w:r>
      <w:r>
        <w:rPr>
          <w:rFonts w:hint="eastAsia"/>
          <w:color w:val="000000" w:themeColor="text1"/>
        </w:rPr>
        <w:t>项目噪声到厂界的贡献值一览表</w:t>
      </w:r>
      <w:r>
        <w:rPr>
          <w:color w:val="000000" w:themeColor="text1"/>
        </w:rPr>
        <w:t xml:space="preserve">   </w:t>
      </w:r>
      <w:r>
        <w:rPr>
          <w:rFonts w:hint="eastAsia"/>
          <w:color w:val="000000" w:themeColor="text1"/>
        </w:rPr>
        <w:t>单位：</w:t>
      </w:r>
      <w:r>
        <w:rPr>
          <w:color w:val="000000" w:themeColor="text1"/>
        </w:rPr>
        <w:t>dB(A)</w:t>
      </w:r>
    </w:p>
    <w:tbl>
      <w:tblPr>
        <w:tblStyle w:val="42"/>
        <w:tblW w:w="8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885"/>
        <w:gridCol w:w="1766"/>
        <w:gridCol w:w="992"/>
        <w:gridCol w:w="974"/>
        <w:gridCol w:w="905"/>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38"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设备名称</w:t>
            </w:r>
          </w:p>
        </w:tc>
        <w:tc>
          <w:tcPr>
            <w:tcW w:w="885"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噪声级</w:t>
            </w:r>
          </w:p>
        </w:tc>
        <w:tc>
          <w:tcPr>
            <w:tcW w:w="1766"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经处理措施处理后的噪声级</w:t>
            </w:r>
          </w:p>
        </w:tc>
        <w:tc>
          <w:tcPr>
            <w:tcW w:w="3805" w:type="dxa"/>
            <w:gridSpan w:val="4"/>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贡献值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 w:hRule="atLeast"/>
          <w:jc w:val="center"/>
        </w:trPr>
        <w:tc>
          <w:tcPr>
            <w:tcW w:w="163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885"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76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厂界东</w:t>
            </w:r>
          </w:p>
        </w:tc>
        <w:tc>
          <w:tcPr>
            <w:tcW w:w="97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厂界西</w:t>
            </w:r>
          </w:p>
        </w:tc>
        <w:tc>
          <w:tcPr>
            <w:tcW w:w="9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厂界南</w:t>
            </w:r>
          </w:p>
        </w:tc>
        <w:tc>
          <w:tcPr>
            <w:tcW w:w="9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厂界北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 w:hRule="atLeast"/>
          <w:jc w:val="center"/>
        </w:trPr>
        <w:tc>
          <w:tcPr>
            <w:tcW w:w="163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猪叫声</w:t>
            </w:r>
          </w:p>
        </w:tc>
        <w:tc>
          <w:tcPr>
            <w:tcW w:w="88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80</w:t>
            </w:r>
          </w:p>
        </w:tc>
        <w:tc>
          <w:tcPr>
            <w:tcW w:w="176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szCs w:val="24"/>
              </w:rPr>
              <w:t>65</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szCs w:val="24"/>
              </w:rPr>
              <w:t>33</w:t>
            </w:r>
          </w:p>
        </w:tc>
        <w:tc>
          <w:tcPr>
            <w:tcW w:w="97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szCs w:val="24"/>
              </w:rPr>
              <w:t>42</w:t>
            </w:r>
          </w:p>
        </w:tc>
        <w:tc>
          <w:tcPr>
            <w:tcW w:w="9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szCs w:val="24"/>
              </w:rPr>
              <w:t>38.2</w:t>
            </w:r>
          </w:p>
        </w:tc>
        <w:tc>
          <w:tcPr>
            <w:tcW w:w="9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szCs w:val="24"/>
              </w:rPr>
              <w:t>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 w:hRule="atLeast"/>
          <w:jc w:val="center"/>
        </w:trPr>
        <w:tc>
          <w:tcPr>
            <w:tcW w:w="163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鸡叫声</w:t>
            </w:r>
          </w:p>
        </w:tc>
        <w:tc>
          <w:tcPr>
            <w:tcW w:w="88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80</w:t>
            </w:r>
          </w:p>
        </w:tc>
        <w:tc>
          <w:tcPr>
            <w:tcW w:w="176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szCs w:val="24"/>
              </w:rPr>
              <w:t>65</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szCs w:val="24"/>
              </w:rPr>
              <w:t>33</w:t>
            </w:r>
          </w:p>
        </w:tc>
        <w:tc>
          <w:tcPr>
            <w:tcW w:w="97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szCs w:val="24"/>
              </w:rPr>
              <w:t>42</w:t>
            </w:r>
          </w:p>
        </w:tc>
        <w:tc>
          <w:tcPr>
            <w:tcW w:w="9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szCs w:val="24"/>
              </w:rPr>
              <w:t>25</w:t>
            </w:r>
          </w:p>
        </w:tc>
        <w:tc>
          <w:tcPr>
            <w:tcW w:w="9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szCs w:val="24"/>
              </w:rP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 w:hRule="atLeast"/>
          <w:jc w:val="center"/>
        </w:trPr>
        <w:tc>
          <w:tcPr>
            <w:tcW w:w="163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生猪屠宰设备噪声</w:t>
            </w:r>
          </w:p>
        </w:tc>
        <w:tc>
          <w:tcPr>
            <w:tcW w:w="88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85</w:t>
            </w:r>
          </w:p>
        </w:tc>
        <w:tc>
          <w:tcPr>
            <w:tcW w:w="176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szCs w:val="24"/>
              </w:rPr>
              <w:t>70</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szCs w:val="24"/>
              </w:rPr>
              <w:t>41.4</w:t>
            </w:r>
          </w:p>
        </w:tc>
        <w:tc>
          <w:tcPr>
            <w:tcW w:w="97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szCs w:val="24"/>
              </w:rPr>
              <w:t>41.4</w:t>
            </w:r>
          </w:p>
        </w:tc>
        <w:tc>
          <w:tcPr>
            <w:tcW w:w="9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szCs w:val="24"/>
              </w:rPr>
              <w:t>39.9</w:t>
            </w:r>
          </w:p>
        </w:tc>
        <w:tc>
          <w:tcPr>
            <w:tcW w:w="9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szCs w:val="24"/>
              </w:rPr>
              <w:t>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 w:hRule="atLeast"/>
          <w:jc w:val="center"/>
        </w:trPr>
        <w:tc>
          <w:tcPr>
            <w:tcW w:w="163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宰鸡设备</w:t>
            </w:r>
          </w:p>
        </w:tc>
        <w:tc>
          <w:tcPr>
            <w:tcW w:w="88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85</w:t>
            </w:r>
          </w:p>
        </w:tc>
        <w:tc>
          <w:tcPr>
            <w:tcW w:w="176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szCs w:val="24"/>
              </w:rPr>
              <w:t>70</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szCs w:val="24"/>
              </w:rPr>
              <w:t>43</w:t>
            </w:r>
          </w:p>
        </w:tc>
        <w:tc>
          <w:tcPr>
            <w:tcW w:w="97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szCs w:val="24"/>
              </w:rPr>
              <w:t>42</w:t>
            </w:r>
          </w:p>
        </w:tc>
        <w:tc>
          <w:tcPr>
            <w:tcW w:w="9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szCs w:val="24"/>
              </w:rPr>
              <w:t>30.2</w:t>
            </w:r>
          </w:p>
        </w:tc>
        <w:tc>
          <w:tcPr>
            <w:tcW w:w="9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szCs w:val="24"/>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 w:hRule="atLeast"/>
          <w:jc w:val="center"/>
        </w:trPr>
        <w:tc>
          <w:tcPr>
            <w:tcW w:w="163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制冷压缩机</w:t>
            </w:r>
          </w:p>
        </w:tc>
        <w:tc>
          <w:tcPr>
            <w:tcW w:w="88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80</w:t>
            </w:r>
          </w:p>
        </w:tc>
        <w:tc>
          <w:tcPr>
            <w:tcW w:w="176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65</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41</w:t>
            </w:r>
          </w:p>
        </w:tc>
        <w:tc>
          <w:tcPr>
            <w:tcW w:w="97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33</w:t>
            </w:r>
          </w:p>
        </w:tc>
        <w:tc>
          <w:tcPr>
            <w:tcW w:w="9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44.2</w:t>
            </w:r>
          </w:p>
        </w:tc>
        <w:tc>
          <w:tcPr>
            <w:tcW w:w="9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 w:hRule="atLeast"/>
          <w:jc w:val="center"/>
        </w:trPr>
        <w:tc>
          <w:tcPr>
            <w:tcW w:w="163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生猪屠宰车间通风风机</w:t>
            </w:r>
          </w:p>
        </w:tc>
        <w:tc>
          <w:tcPr>
            <w:tcW w:w="88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81</w:t>
            </w:r>
          </w:p>
        </w:tc>
        <w:tc>
          <w:tcPr>
            <w:tcW w:w="176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szCs w:val="24"/>
              </w:rPr>
              <w:t>66</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szCs w:val="24"/>
              </w:rPr>
              <w:t>34.2</w:t>
            </w:r>
          </w:p>
        </w:tc>
        <w:tc>
          <w:tcPr>
            <w:tcW w:w="97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szCs w:val="24"/>
              </w:rPr>
              <w:t>41.4</w:t>
            </w:r>
          </w:p>
        </w:tc>
        <w:tc>
          <w:tcPr>
            <w:tcW w:w="9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szCs w:val="24"/>
              </w:rPr>
              <w:t>35.9</w:t>
            </w:r>
          </w:p>
        </w:tc>
        <w:tc>
          <w:tcPr>
            <w:tcW w:w="9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szCs w:val="24"/>
              </w:rPr>
              <w:t>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 w:hRule="atLeast"/>
          <w:jc w:val="center"/>
        </w:trPr>
        <w:tc>
          <w:tcPr>
            <w:tcW w:w="163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生鸡屠宰车间通风风机</w:t>
            </w:r>
          </w:p>
        </w:tc>
        <w:tc>
          <w:tcPr>
            <w:tcW w:w="88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78</w:t>
            </w:r>
          </w:p>
        </w:tc>
        <w:tc>
          <w:tcPr>
            <w:tcW w:w="176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63</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24.4</w:t>
            </w:r>
          </w:p>
        </w:tc>
        <w:tc>
          <w:tcPr>
            <w:tcW w:w="97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30.7</w:t>
            </w:r>
          </w:p>
        </w:tc>
        <w:tc>
          <w:tcPr>
            <w:tcW w:w="9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38.9</w:t>
            </w:r>
          </w:p>
        </w:tc>
        <w:tc>
          <w:tcPr>
            <w:tcW w:w="9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 w:hRule="atLeast"/>
          <w:jc w:val="center"/>
        </w:trPr>
        <w:tc>
          <w:tcPr>
            <w:tcW w:w="163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泵类</w:t>
            </w:r>
          </w:p>
        </w:tc>
        <w:tc>
          <w:tcPr>
            <w:tcW w:w="88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86</w:t>
            </w:r>
          </w:p>
        </w:tc>
        <w:tc>
          <w:tcPr>
            <w:tcW w:w="176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szCs w:val="24"/>
              </w:rPr>
              <w:t>61</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szCs w:val="24"/>
              </w:rPr>
              <w:t>27.4</w:t>
            </w:r>
          </w:p>
        </w:tc>
        <w:tc>
          <w:tcPr>
            <w:tcW w:w="97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szCs w:val="24"/>
              </w:rPr>
              <w:t>42.9</w:t>
            </w:r>
          </w:p>
        </w:tc>
        <w:tc>
          <w:tcPr>
            <w:tcW w:w="9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szCs w:val="24"/>
              </w:rPr>
              <w:t>23.2</w:t>
            </w:r>
          </w:p>
        </w:tc>
        <w:tc>
          <w:tcPr>
            <w:tcW w:w="9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szCs w:val="24"/>
              </w:rPr>
              <w:t>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4289"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叠加值</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47.31</w:t>
            </w:r>
          </w:p>
        </w:tc>
        <w:tc>
          <w:tcPr>
            <w:tcW w:w="97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49.91</w:t>
            </w:r>
          </w:p>
        </w:tc>
        <w:tc>
          <w:tcPr>
            <w:tcW w:w="9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47.47</w:t>
            </w:r>
          </w:p>
        </w:tc>
        <w:tc>
          <w:tcPr>
            <w:tcW w:w="9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46.34</w:t>
            </w:r>
          </w:p>
        </w:tc>
      </w:tr>
    </w:tbl>
    <w:p>
      <w:pPr>
        <w:ind w:firstLine="480"/>
        <w:rPr>
          <w:bCs/>
          <w:color w:val="000000" w:themeColor="text1"/>
        </w:rPr>
      </w:pPr>
      <w:r>
        <w:rPr>
          <w:rFonts w:hint="eastAsia"/>
          <w:bCs/>
          <w:color w:val="000000" w:themeColor="text1"/>
        </w:rPr>
        <w:t>噪声预测结果及评价见表6.3.1-4。</w:t>
      </w:r>
    </w:p>
    <w:p>
      <w:pPr>
        <w:pStyle w:val="54"/>
        <w:rPr>
          <w:rFonts w:cs="Times New Roman"/>
          <w:bCs/>
          <w:color w:val="000000" w:themeColor="text1"/>
        </w:rPr>
      </w:pPr>
      <w:r>
        <w:rPr>
          <w:rFonts w:hint="eastAsia"/>
          <w:color w:val="000000" w:themeColor="text1"/>
        </w:rPr>
        <w:t>表6.3.1-4</w:t>
      </w:r>
      <w:r>
        <w:rPr>
          <w:color w:val="000000" w:themeColor="text1"/>
        </w:rPr>
        <w:t xml:space="preserve">   </w:t>
      </w:r>
      <w:r>
        <w:rPr>
          <w:rFonts w:hint="eastAsia"/>
          <w:color w:val="000000" w:themeColor="text1"/>
        </w:rPr>
        <w:t>噪声预测结果一览表</w:t>
      </w:r>
      <w:r>
        <w:rPr>
          <w:color w:val="000000" w:themeColor="text1"/>
        </w:rPr>
        <w:t xml:space="preserve">    </w:t>
      </w:r>
      <w:r>
        <w:rPr>
          <w:rFonts w:hint="eastAsia"/>
          <w:color w:val="000000" w:themeColor="text1"/>
        </w:rPr>
        <w:t>单位：</w:t>
      </w:r>
      <w:r>
        <w:rPr>
          <w:color w:val="000000" w:themeColor="text1"/>
        </w:rPr>
        <w:t>dB</w:t>
      </w:r>
      <w:r>
        <w:rPr>
          <w:rFonts w:hint="eastAsia"/>
          <w:color w:val="000000" w:themeColor="text1"/>
        </w:rPr>
        <w:t>（</w:t>
      </w:r>
      <w:r>
        <w:rPr>
          <w:color w:val="000000" w:themeColor="text1"/>
        </w:rPr>
        <w:t>A</w:t>
      </w:r>
      <w:r>
        <w:rPr>
          <w:rFonts w:hint="eastAsia"/>
          <w:color w:val="000000" w:themeColor="text1"/>
        </w:rPr>
        <w:t>）</w:t>
      </w:r>
    </w:p>
    <w:tbl>
      <w:tblPr>
        <w:tblStyle w:val="42"/>
        <w:tblW w:w="68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1"/>
        <w:gridCol w:w="992"/>
        <w:gridCol w:w="992"/>
        <w:gridCol w:w="992"/>
        <w:gridCol w:w="1094"/>
        <w:gridCol w:w="1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31"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预测点</w:t>
            </w:r>
          </w:p>
        </w:tc>
        <w:tc>
          <w:tcPr>
            <w:tcW w:w="198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监测背景值</w:t>
            </w:r>
          </w:p>
        </w:tc>
        <w:tc>
          <w:tcPr>
            <w:tcW w:w="992"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贡献值</w:t>
            </w:r>
          </w:p>
        </w:tc>
        <w:tc>
          <w:tcPr>
            <w:tcW w:w="2231"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预测值（叠加背景值）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31"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昼间</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夜间</w:t>
            </w:r>
          </w:p>
        </w:tc>
        <w:tc>
          <w:tcPr>
            <w:tcW w:w="992"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109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昼间</w:t>
            </w:r>
          </w:p>
        </w:tc>
        <w:tc>
          <w:tcPr>
            <w:tcW w:w="113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63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厂界东</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51.4</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45.6</w:t>
            </w:r>
          </w:p>
        </w:tc>
        <w:tc>
          <w:tcPr>
            <w:tcW w:w="992" w:type="dxa"/>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47.31</w:t>
            </w:r>
          </w:p>
        </w:tc>
        <w:tc>
          <w:tcPr>
            <w:tcW w:w="109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52.8</w:t>
            </w:r>
          </w:p>
        </w:tc>
        <w:tc>
          <w:tcPr>
            <w:tcW w:w="113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63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厂界西</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48.6</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45.5</w:t>
            </w:r>
          </w:p>
        </w:tc>
        <w:tc>
          <w:tcPr>
            <w:tcW w:w="992" w:type="dxa"/>
            <w:tcBorders>
              <w:left w:val="single" w:color="auto" w:sz="4" w:space="0"/>
              <w:right w:val="single" w:color="auto" w:sz="4" w:space="0"/>
            </w:tcBorders>
            <w:vAlign w:val="center"/>
          </w:tcPr>
          <w:p>
            <w:pPr>
              <w:pStyle w:val="55"/>
              <w:rPr>
                <w:color w:val="000000" w:themeColor="text1"/>
              </w:rPr>
            </w:pPr>
            <w:r>
              <w:rPr>
                <w:rFonts w:hint="eastAsia"/>
                <w:color w:val="000000" w:themeColor="text1"/>
              </w:rPr>
              <w:t>49.91</w:t>
            </w:r>
          </w:p>
        </w:tc>
        <w:tc>
          <w:tcPr>
            <w:tcW w:w="109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52.3</w:t>
            </w:r>
          </w:p>
        </w:tc>
        <w:tc>
          <w:tcPr>
            <w:tcW w:w="113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3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厂界南</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50.3</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45.3</w:t>
            </w:r>
          </w:p>
        </w:tc>
        <w:tc>
          <w:tcPr>
            <w:tcW w:w="992" w:type="dxa"/>
            <w:tcBorders>
              <w:left w:val="single" w:color="auto" w:sz="4" w:space="0"/>
              <w:right w:val="single" w:color="auto" w:sz="4" w:space="0"/>
            </w:tcBorders>
            <w:vAlign w:val="center"/>
          </w:tcPr>
          <w:p>
            <w:pPr>
              <w:pStyle w:val="55"/>
              <w:rPr>
                <w:color w:val="000000" w:themeColor="text1"/>
              </w:rPr>
            </w:pPr>
            <w:r>
              <w:rPr>
                <w:rFonts w:hint="eastAsia"/>
                <w:color w:val="000000" w:themeColor="text1"/>
              </w:rPr>
              <w:t>47.47</w:t>
            </w:r>
          </w:p>
        </w:tc>
        <w:tc>
          <w:tcPr>
            <w:tcW w:w="109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52.1</w:t>
            </w:r>
          </w:p>
        </w:tc>
        <w:tc>
          <w:tcPr>
            <w:tcW w:w="113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3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厂界北</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50.7</w:t>
            </w:r>
          </w:p>
        </w:tc>
        <w:tc>
          <w:tcPr>
            <w:tcW w:w="99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44.7</w:t>
            </w:r>
          </w:p>
        </w:tc>
        <w:tc>
          <w:tcPr>
            <w:tcW w:w="992" w:type="dxa"/>
            <w:tcBorders>
              <w:left w:val="single" w:color="auto" w:sz="4" w:space="0"/>
              <w:right w:val="single" w:color="auto" w:sz="4" w:space="0"/>
            </w:tcBorders>
            <w:vAlign w:val="center"/>
          </w:tcPr>
          <w:p>
            <w:pPr>
              <w:pStyle w:val="55"/>
              <w:rPr>
                <w:color w:val="000000" w:themeColor="text1"/>
              </w:rPr>
            </w:pPr>
            <w:r>
              <w:rPr>
                <w:rFonts w:hint="eastAsia"/>
                <w:color w:val="000000" w:themeColor="text1"/>
              </w:rPr>
              <w:t>46.34</w:t>
            </w:r>
          </w:p>
        </w:tc>
        <w:tc>
          <w:tcPr>
            <w:tcW w:w="109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52.1</w:t>
            </w:r>
          </w:p>
        </w:tc>
        <w:tc>
          <w:tcPr>
            <w:tcW w:w="113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48.6</w:t>
            </w:r>
          </w:p>
        </w:tc>
      </w:tr>
    </w:tbl>
    <w:p>
      <w:pPr>
        <w:ind w:firstLine="480"/>
        <w:rPr>
          <w:rFonts w:cs="Times New Roman"/>
          <w:bCs/>
          <w:color w:val="000000" w:themeColor="text1"/>
        </w:rPr>
      </w:pPr>
      <w:r>
        <w:rPr>
          <w:rFonts w:hint="eastAsia"/>
          <w:bCs/>
          <w:color w:val="000000" w:themeColor="text1"/>
        </w:rPr>
        <w:t>从表</w:t>
      </w:r>
      <w:r>
        <w:rPr>
          <w:bCs/>
          <w:color w:val="000000" w:themeColor="text1"/>
        </w:rPr>
        <w:t>6.</w:t>
      </w:r>
      <w:r>
        <w:rPr>
          <w:rFonts w:hint="eastAsia"/>
          <w:bCs/>
          <w:color w:val="000000" w:themeColor="text1"/>
        </w:rPr>
        <w:t>.3.1-4可以看出，项目产生的昼间噪声在厂界东、西、南、北均可满足《工业企业厂界环境噪声标准》</w:t>
      </w:r>
      <w:r>
        <w:rPr>
          <w:rFonts w:hint="eastAsia"/>
          <w:color w:val="000000" w:themeColor="text1"/>
        </w:rPr>
        <w:t>(GB12348-2008)中</w:t>
      </w:r>
      <w:r>
        <w:rPr>
          <w:rFonts w:hint="eastAsia"/>
          <w:bCs/>
          <w:color w:val="000000" w:themeColor="text1"/>
        </w:rPr>
        <w:t>2类标准要求，即昼间60</w:t>
      </w:r>
      <w:r>
        <w:rPr>
          <w:bCs/>
          <w:color w:val="000000" w:themeColor="text1"/>
        </w:rPr>
        <w:t>dB</w:t>
      </w:r>
      <w:r>
        <w:rPr>
          <w:rFonts w:hint="eastAsia"/>
          <w:bCs/>
          <w:color w:val="000000" w:themeColor="text1"/>
        </w:rPr>
        <w:t>（</w:t>
      </w:r>
      <w:r>
        <w:rPr>
          <w:bCs/>
          <w:color w:val="000000" w:themeColor="text1"/>
        </w:rPr>
        <w:t>A</w:t>
      </w:r>
      <w:r>
        <w:rPr>
          <w:rFonts w:hint="eastAsia"/>
          <w:bCs/>
          <w:color w:val="000000" w:themeColor="text1"/>
        </w:rPr>
        <w:t>），夜间噪声</w:t>
      </w:r>
      <w:r>
        <w:rPr>
          <w:bCs/>
          <w:color w:val="000000" w:themeColor="text1"/>
        </w:rPr>
        <w:t>中</w:t>
      </w:r>
      <w:r>
        <w:rPr>
          <w:rFonts w:hint="eastAsia"/>
          <w:bCs/>
          <w:color w:val="000000" w:themeColor="text1"/>
        </w:rPr>
        <w:t>厂界东、南、北可满足《工业企业厂界环境噪声标准》</w:t>
      </w:r>
      <w:r>
        <w:rPr>
          <w:rFonts w:hint="eastAsia"/>
          <w:color w:val="000000" w:themeColor="text1"/>
        </w:rPr>
        <w:t>(GB12348-2008)中</w:t>
      </w:r>
      <w:r>
        <w:rPr>
          <w:rFonts w:hint="eastAsia"/>
          <w:bCs/>
          <w:color w:val="000000" w:themeColor="text1"/>
        </w:rPr>
        <w:t>2类标准要求，即夜间</w:t>
      </w:r>
      <w:r>
        <w:rPr>
          <w:bCs/>
          <w:color w:val="000000" w:themeColor="text1"/>
        </w:rPr>
        <w:t>5</w:t>
      </w:r>
      <w:r>
        <w:rPr>
          <w:rFonts w:hint="eastAsia"/>
          <w:bCs/>
          <w:color w:val="000000" w:themeColor="text1"/>
        </w:rPr>
        <w:t>0</w:t>
      </w:r>
      <w:r>
        <w:rPr>
          <w:bCs/>
          <w:color w:val="000000" w:themeColor="text1"/>
        </w:rPr>
        <w:t>dB</w:t>
      </w:r>
      <w:r>
        <w:rPr>
          <w:rFonts w:hint="eastAsia"/>
          <w:bCs/>
          <w:color w:val="000000" w:themeColor="text1"/>
        </w:rPr>
        <w:t>（</w:t>
      </w:r>
      <w:r>
        <w:rPr>
          <w:bCs/>
          <w:color w:val="000000" w:themeColor="text1"/>
        </w:rPr>
        <w:t>A</w:t>
      </w:r>
      <w:r>
        <w:rPr>
          <w:rFonts w:hint="eastAsia"/>
          <w:bCs/>
          <w:color w:val="000000" w:themeColor="text1"/>
        </w:rPr>
        <w:t>），厂界西夜间噪声超标，这是因为项目西侧主要为山坡，因此项目区内噪声较大的待宰区、屠宰间、污水处理站等均靠向西侧布置，西侧主要分布山坡、树林，噪声经过厂界围墙阻隔及绿化吸收后排放值应比预测值小。除此之外，本项目应该加强减缓噪声污染的措施，保证厂界噪声能够达标排放。</w:t>
      </w:r>
    </w:p>
    <w:p>
      <w:pPr>
        <w:pStyle w:val="38"/>
        <w:ind w:firstLine="281"/>
        <w:rPr>
          <w:color w:val="000000" w:themeColor="text1"/>
        </w:rPr>
      </w:pPr>
      <w:bookmarkStart w:id="220" w:name="_Toc530059710"/>
      <w:bookmarkStart w:id="221" w:name="_Toc47375874"/>
      <w:r>
        <w:rPr>
          <w:color w:val="000000" w:themeColor="text1"/>
        </w:rPr>
        <w:t>6.</w:t>
      </w:r>
      <w:r>
        <w:rPr>
          <w:rFonts w:hint="eastAsia"/>
          <w:color w:val="000000" w:themeColor="text1"/>
        </w:rPr>
        <w:t>3</w:t>
      </w:r>
      <w:r>
        <w:rPr>
          <w:color w:val="000000" w:themeColor="text1"/>
        </w:rPr>
        <w:t>.3</w:t>
      </w:r>
      <w:r>
        <w:rPr>
          <w:rFonts w:hint="eastAsia"/>
          <w:color w:val="000000" w:themeColor="text1"/>
        </w:rPr>
        <w:t>防治措施</w:t>
      </w:r>
      <w:bookmarkEnd w:id="220"/>
      <w:bookmarkEnd w:id="221"/>
    </w:p>
    <w:p>
      <w:pPr>
        <w:ind w:firstLine="480"/>
        <w:rPr>
          <w:color w:val="000000" w:themeColor="text1"/>
          <w:szCs w:val="24"/>
        </w:rPr>
      </w:pPr>
      <w:r>
        <w:rPr>
          <w:rFonts w:hint="eastAsia"/>
          <w:color w:val="000000" w:themeColor="text1"/>
        </w:rPr>
        <w:t>（</w:t>
      </w:r>
      <w:r>
        <w:rPr>
          <w:color w:val="000000" w:themeColor="text1"/>
        </w:rPr>
        <w:t>1</w:t>
      </w:r>
      <w:r>
        <w:rPr>
          <w:rFonts w:hint="eastAsia"/>
          <w:color w:val="000000" w:themeColor="text1"/>
        </w:rPr>
        <w:t>）在同类型设备选购阶段，应选购先进的低噪动力设备，减少发生设备产噪量；</w:t>
      </w:r>
    </w:p>
    <w:p>
      <w:pPr>
        <w:ind w:firstLine="480"/>
        <w:rPr>
          <w:bCs/>
          <w:color w:val="000000" w:themeColor="text1"/>
        </w:rPr>
      </w:pPr>
      <w:r>
        <w:rPr>
          <w:rFonts w:hint="eastAsia"/>
          <w:color w:val="000000" w:themeColor="text1"/>
        </w:rPr>
        <w:t>（</w:t>
      </w:r>
      <w:r>
        <w:rPr>
          <w:color w:val="000000" w:themeColor="text1"/>
        </w:rPr>
        <w:t>2</w:t>
      </w:r>
      <w:r>
        <w:rPr>
          <w:rFonts w:hint="eastAsia"/>
          <w:color w:val="000000" w:themeColor="text1"/>
        </w:rPr>
        <w:t>）电麻机、输送机等大噪声设备需安装</w:t>
      </w:r>
      <w:r>
        <w:rPr>
          <w:rFonts w:hint="eastAsia"/>
          <w:bCs/>
          <w:color w:val="000000" w:themeColor="text1"/>
        </w:rPr>
        <w:t>在车间内远离门窗的部位，底座增加防震垫，并加强管理，定期检修和润滑传动部件，以减少噪声的强度；</w:t>
      </w:r>
    </w:p>
    <w:p>
      <w:pPr>
        <w:ind w:firstLine="480"/>
        <w:rPr>
          <w:bCs/>
          <w:color w:val="000000" w:themeColor="text1"/>
        </w:rPr>
      </w:pPr>
      <w:r>
        <w:rPr>
          <w:rFonts w:hint="eastAsia"/>
          <w:bCs/>
          <w:color w:val="000000" w:themeColor="text1"/>
        </w:rPr>
        <w:t>（</w:t>
      </w:r>
      <w:r>
        <w:rPr>
          <w:bCs/>
          <w:color w:val="000000" w:themeColor="text1"/>
        </w:rPr>
        <w:t>3</w:t>
      </w:r>
      <w:r>
        <w:rPr>
          <w:rFonts w:hint="eastAsia"/>
          <w:bCs/>
          <w:color w:val="000000" w:themeColor="text1"/>
        </w:rPr>
        <w:t>）在备用发电机使用时需对其增加防震垫，并设置隔声罩，减少其噪声的影响；</w:t>
      </w:r>
    </w:p>
    <w:p>
      <w:pPr>
        <w:ind w:firstLine="480"/>
        <w:rPr>
          <w:color w:val="000000" w:themeColor="text1"/>
        </w:rPr>
      </w:pPr>
      <w:r>
        <w:rPr>
          <w:rFonts w:hint="eastAsia"/>
          <w:color w:val="000000" w:themeColor="text1"/>
        </w:rPr>
        <w:t>（</w:t>
      </w:r>
      <w:r>
        <w:rPr>
          <w:color w:val="000000" w:themeColor="text1"/>
        </w:rPr>
        <w:t>4</w:t>
      </w:r>
      <w:r>
        <w:rPr>
          <w:rFonts w:hint="eastAsia"/>
          <w:color w:val="000000" w:themeColor="text1"/>
        </w:rPr>
        <w:t>）加强车间隔声，高噪声设备在夜间</w:t>
      </w:r>
      <w:r>
        <w:rPr>
          <w:color w:val="000000" w:themeColor="text1"/>
        </w:rPr>
        <w:t>22:00-</w:t>
      </w:r>
      <w:r>
        <w:rPr>
          <w:rFonts w:hint="eastAsia"/>
          <w:color w:val="000000" w:themeColor="text1"/>
        </w:rPr>
        <w:t>次日</w:t>
      </w:r>
      <w:r>
        <w:rPr>
          <w:color w:val="000000" w:themeColor="text1"/>
        </w:rPr>
        <w:t>6:00</w:t>
      </w:r>
      <w:r>
        <w:rPr>
          <w:rFonts w:hint="eastAsia"/>
          <w:color w:val="000000" w:themeColor="text1"/>
        </w:rPr>
        <w:t>不得频繁使用；</w:t>
      </w:r>
    </w:p>
    <w:p>
      <w:pPr>
        <w:ind w:firstLine="480"/>
        <w:rPr>
          <w:color w:val="000000" w:themeColor="text1"/>
        </w:rPr>
      </w:pPr>
      <w:r>
        <w:rPr>
          <w:rFonts w:hint="eastAsia"/>
          <w:color w:val="000000" w:themeColor="text1"/>
        </w:rPr>
        <w:t>（</w:t>
      </w:r>
      <w:r>
        <w:rPr>
          <w:color w:val="000000" w:themeColor="text1"/>
        </w:rPr>
        <w:t>5</w:t>
      </w:r>
      <w:r>
        <w:rPr>
          <w:rFonts w:hint="eastAsia"/>
          <w:color w:val="000000" w:themeColor="text1"/>
        </w:rPr>
        <w:t>）加强日常维护，保持设备运行状态良好，避免设备不正常运转产生高噪声的现象；</w:t>
      </w:r>
    </w:p>
    <w:p>
      <w:pPr>
        <w:ind w:firstLine="480"/>
        <w:rPr>
          <w:color w:val="000000" w:themeColor="text1"/>
        </w:rPr>
      </w:pPr>
      <w:r>
        <w:rPr>
          <w:rFonts w:hint="eastAsia"/>
          <w:color w:val="000000" w:themeColor="text1"/>
        </w:rPr>
        <w:t>（</w:t>
      </w:r>
      <w:r>
        <w:rPr>
          <w:color w:val="000000" w:themeColor="text1"/>
        </w:rPr>
        <w:t>6</w:t>
      </w:r>
      <w:r>
        <w:rPr>
          <w:rFonts w:hint="eastAsia"/>
          <w:color w:val="000000" w:themeColor="text1"/>
        </w:rPr>
        <w:t>）加强车辆管理，在厂区设置车辆禁鸣标志，严禁夜间车辆鸣笛；</w:t>
      </w:r>
    </w:p>
    <w:p>
      <w:pPr>
        <w:ind w:firstLine="480"/>
        <w:rPr>
          <w:color w:val="000000" w:themeColor="text1"/>
        </w:rPr>
      </w:pPr>
      <w:r>
        <w:rPr>
          <w:rFonts w:hint="eastAsia"/>
          <w:color w:val="000000" w:themeColor="text1"/>
        </w:rPr>
        <w:t>（</w:t>
      </w:r>
      <w:r>
        <w:rPr>
          <w:color w:val="000000" w:themeColor="text1"/>
        </w:rPr>
        <w:t>7</w:t>
      </w:r>
      <w:r>
        <w:rPr>
          <w:rFonts w:hint="eastAsia"/>
          <w:color w:val="000000" w:themeColor="text1"/>
        </w:rPr>
        <w:t>）加强人员环保意识教育，提倡文明检测，防止人为噪声。</w:t>
      </w:r>
    </w:p>
    <w:p>
      <w:pPr>
        <w:ind w:firstLine="480"/>
        <w:rPr>
          <w:bCs/>
          <w:color w:val="000000" w:themeColor="text1"/>
        </w:rPr>
      </w:pPr>
      <w:r>
        <w:rPr>
          <w:rFonts w:hint="eastAsia"/>
          <w:color w:val="000000" w:themeColor="text1"/>
        </w:rPr>
        <w:t>通过采取措施后，机械设备噪声可</w:t>
      </w:r>
      <w:r>
        <w:rPr>
          <w:rFonts w:hint="eastAsia"/>
          <w:bCs/>
          <w:color w:val="000000" w:themeColor="text1"/>
        </w:rPr>
        <w:t>实现达标排放，对外环境</w:t>
      </w:r>
      <w:r>
        <w:rPr>
          <w:rFonts w:hint="eastAsia"/>
          <w:color w:val="000000" w:themeColor="text1"/>
        </w:rPr>
        <w:t>影响可以接受</w:t>
      </w:r>
      <w:r>
        <w:rPr>
          <w:rFonts w:hint="eastAsia"/>
          <w:bCs/>
          <w:color w:val="000000" w:themeColor="text1"/>
        </w:rPr>
        <w:t>。</w:t>
      </w:r>
    </w:p>
    <w:p>
      <w:pPr>
        <w:pStyle w:val="3"/>
        <w:rPr>
          <w:color w:val="000000" w:themeColor="text1"/>
          <w:sz w:val="32"/>
        </w:rPr>
      </w:pPr>
      <w:bookmarkStart w:id="222" w:name="_Toc388604089"/>
      <w:bookmarkStart w:id="223" w:name="_Toc143085420"/>
      <w:bookmarkStart w:id="224" w:name="_Toc229976826"/>
      <w:bookmarkStart w:id="225" w:name="_Toc47375875"/>
      <w:bookmarkStart w:id="226" w:name="_Toc387938388"/>
      <w:bookmarkStart w:id="227" w:name="_Toc530059711"/>
      <w:r>
        <w:rPr>
          <w:rFonts w:hint="eastAsia"/>
          <w:color w:val="000000" w:themeColor="text1"/>
        </w:rPr>
        <w:t>6.4运营期固体废物环境影响分析</w:t>
      </w:r>
      <w:bookmarkEnd w:id="222"/>
      <w:bookmarkEnd w:id="223"/>
      <w:bookmarkEnd w:id="224"/>
      <w:bookmarkEnd w:id="225"/>
      <w:bookmarkEnd w:id="226"/>
      <w:bookmarkEnd w:id="227"/>
      <w:bookmarkStart w:id="228" w:name="_Toc326738777"/>
    </w:p>
    <w:bookmarkEnd w:id="228"/>
    <w:p>
      <w:pPr>
        <w:ind w:firstLine="480"/>
        <w:rPr>
          <w:color w:val="000000" w:themeColor="text1"/>
        </w:rPr>
      </w:pPr>
      <w:r>
        <w:rPr>
          <w:rFonts w:hint="eastAsia"/>
          <w:color w:val="000000" w:themeColor="text1"/>
        </w:rPr>
        <w:t>生产期产生的固体废物主要为待宰过程的死猪（鸡）、屠宰过程中的不合格产品、碎骨肉、肠胃内容物、粪便、焚烧炉残渣、检疫试纸、污水处理系统产生的栅渣和污泥以及员工日常生活产生的生活垃圾等。</w:t>
      </w:r>
    </w:p>
    <w:p>
      <w:pPr>
        <w:ind w:firstLine="480"/>
        <w:rPr>
          <w:color w:val="000000" w:themeColor="text1"/>
        </w:rPr>
      </w:pPr>
      <w:r>
        <w:rPr>
          <w:rFonts w:hint="eastAsia"/>
          <w:color w:val="000000" w:themeColor="text1"/>
        </w:rPr>
        <w:t>（</w:t>
      </w:r>
      <w:r>
        <w:rPr>
          <w:color w:val="000000" w:themeColor="text1"/>
        </w:rPr>
        <w:t>1</w:t>
      </w:r>
      <w:r>
        <w:rPr>
          <w:rFonts w:hint="eastAsia"/>
          <w:color w:val="000000" w:themeColor="text1"/>
        </w:rPr>
        <w:t>）病死猪（鸡）、不合格产品、碎骨肉</w:t>
      </w:r>
    </w:p>
    <w:p>
      <w:pPr>
        <w:ind w:firstLine="480"/>
        <w:rPr>
          <w:color w:val="000000" w:themeColor="text1"/>
        </w:rPr>
      </w:pPr>
      <w:r>
        <w:rPr>
          <w:rFonts w:hint="eastAsia"/>
          <w:color w:val="000000" w:themeColor="text1"/>
        </w:rPr>
        <w:t>根据工程分析可知，本项目生猪屠宰产生的病死猪、不合格产品、碎骨肉等固废的量共计为</w:t>
      </w:r>
      <w:r>
        <w:rPr>
          <w:rFonts w:hint="eastAsia"/>
          <w:color w:val="000000" w:themeColor="text1"/>
          <w:kern w:val="0"/>
          <w:szCs w:val="24"/>
        </w:rPr>
        <w:t>93.3t</w:t>
      </w:r>
      <w:r>
        <w:rPr>
          <w:color w:val="000000" w:themeColor="text1"/>
          <w:kern w:val="0"/>
          <w:szCs w:val="24"/>
        </w:rPr>
        <w:t>/a</w:t>
      </w:r>
      <w:r>
        <w:rPr>
          <w:rFonts w:hint="eastAsia"/>
          <w:color w:val="000000" w:themeColor="text1"/>
          <w:kern w:val="0"/>
          <w:szCs w:val="24"/>
        </w:rPr>
        <w:t>；</w:t>
      </w:r>
      <w:r>
        <w:rPr>
          <w:color w:val="000000" w:themeColor="text1"/>
          <w:kern w:val="0"/>
          <w:szCs w:val="24"/>
        </w:rPr>
        <w:t>生鸡屠宰产生的病死鸡</w:t>
      </w:r>
      <w:r>
        <w:rPr>
          <w:rFonts w:hint="eastAsia"/>
          <w:color w:val="000000" w:themeColor="text1"/>
          <w:kern w:val="0"/>
          <w:szCs w:val="24"/>
        </w:rPr>
        <w:t>、</w:t>
      </w:r>
      <w:r>
        <w:rPr>
          <w:color w:val="000000" w:themeColor="text1"/>
          <w:kern w:val="0"/>
          <w:szCs w:val="24"/>
        </w:rPr>
        <w:t>不合格产品等</w:t>
      </w:r>
      <w:r>
        <w:rPr>
          <w:rFonts w:hint="eastAsia"/>
          <w:color w:val="000000" w:themeColor="text1"/>
        </w:rPr>
        <w:t>的量共计为</w:t>
      </w:r>
      <w:r>
        <w:rPr>
          <w:rFonts w:hint="eastAsia"/>
          <w:color w:val="000000" w:themeColor="text1"/>
          <w:kern w:val="0"/>
          <w:szCs w:val="24"/>
        </w:rPr>
        <w:t>48.15t</w:t>
      </w:r>
      <w:r>
        <w:rPr>
          <w:color w:val="000000" w:themeColor="text1"/>
          <w:kern w:val="0"/>
          <w:szCs w:val="24"/>
        </w:rPr>
        <w:t>/a</w:t>
      </w:r>
      <w:r>
        <w:rPr>
          <w:rFonts w:hint="eastAsia"/>
          <w:color w:val="000000" w:themeColor="text1"/>
          <w:kern w:val="0"/>
          <w:szCs w:val="24"/>
        </w:rPr>
        <w:t>。</w:t>
      </w:r>
      <w:r>
        <w:rPr>
          <w:color w:val="000000" w:themeColor="text1"/>
          <w:kern w:val="0"/>
          <w:szCs w:val="24"/>
        </w:rPr>
        <w:t>全厂总产量为</w:t>
      </w:r>
      <w:r>
        <w:rPr>
          <w:rFonts w:hint="eastAsia"/>
          <w:color w:val="000000" w:themeColor="text1"/>
        </w:rPr>
        <w:t>141.45</w:t>
      </w:r>
      <w:r>
        <w:rPr>
          <w:color w:val="000000" w:themeColor="text1"/>
        </w:rPr>
        <w:t>t/a</w:t>
      </w:r>
      <w:r>
        <w:rPr>
          <w:rFonts w:hint="eastAsia"/>
          <w:color w:val="000000" w:themeColor="text1"/>
        </w:rPr>
        <w:t>，</w:t>
      </w:r>
      <w:r>
        <w:rPr>
          <w:color w:val="000000" w:themeColor="text1"/>
        </w:rPr>
        <w:t>这部分固废</w:t>
      </w:r>
      <w:r>
        <w:rPr>
          <w:rFonts w:hint="eastAsia"/>
          <w:color w:val="000000" w:themeColor="text1"/>
        </w:rPr>
        <w:t>采用项目自建的一体化无害化焚烧炉进行处理，为进一步减小生产废物对环境产生二次影响，本次评价提出如下措施：</w:t>
      </w:r>
      <w:r>
        <w:rPr>
          <w:color w:val="000000" w:themeColor="text1"/>
        </w:rPr>
        <w:t>a</w:t>
      </w:r>
      <w:r>
        <w:rPr>
          <w:rFonts w:hint="eastAsia"/>
          <w:color w:val="000000" w:themeColor="text1"/>
        </w:rPr>
        <w:t>、应严格按照动物防疫法的相关规定执行，对病死猪（鸡）不准宰杀、不准食用、不准出售、不准运载；b及时通过焚烧炉焚烧处理，严禁随意丢弃，严禁出售或作为饲料再利用。</w:t>
      </w:r>
    </w:p>
    <w:p>
      <w:pPr>
        <w:ind w:firstLine="480"/>
        <w:rPr>
          <w:color w:val="000000" w:themeColor="text1"/>
        </w:rPr>
      </w:pPr>
      <w:r>
        <w:rPr>
          <w:rFonts w:hint="eastAsia"/>
          <w:color w:val="000000" w:themeColor="text1"/>
        </w:rPr>
        <w:t>通过及时将生产废物进行焚烧处理后，生产废物对环境的影响在可控范围内。</w:t>
      </w:r>
    </w:p>
    <w:p>
      <w:pPr>
        <w:ind w:firstLine="480"/>
        <w:rPr>
          <w:color w:val="000000" w:themeColor="text1"/>
        </w:rPr>
      </w:pPr>
      <w:r>
        <w:rPr>
          <w:rFonts w:hint="eastAsia"/>
          <w:color w:val="000000" w:themeColor="text1"/>
        </w:rPr>
        <w:t>（2）粪便及肠胃内容物</w:t>
      </w:r>
    </w:p>
    <w:p>
      <w:pPr>
        <w:ind w:firstLine="480"/>
        <w:rPr>
          <w:color w:val="000000" w:themeColor="text1"/>
        </w:rPr>
      </w:pPr>
      <w:r>
        <w:rPr>
          <w:rFonts w:hint="eastAsia"/>
          <w:color w:val="000000" w:themeColor="text1"/>
        </w:rPr>
        <w:t>根据工程分析可知，该项目</w:t>
      </w:r>
      <w:r>
        <w:rPr>
          <w:rFonts w:hint="eastAsia"/>
          <w:bCs/>
          <w:iCs/>
          <w:color w:val="000000" w:themeColor="text1"/>
          <w:szCs w:val="24"/>
        </w:rPr>
        <w:t>猪粪及肠胃内容物产生量约为93.2</w:t>
      </w:r>
      <w:r>
        <w:rPr>
          <w:bCs/>
          <w:iCs/>
          <w:color w:val="000000" w:themeColor="text1"/>
          <w:szCs w:val="24"/>
        </w:rPr>
        <w:t>t/a</w:t>
      </w:r>
      <w:r>
        <w:rPr>
          <w:rFonts w:hint="eastAsia"/>
          <w:color w:val="000000" w:themeColor="text1"/>
        </w:rPr>
        <w:t>，</w:t>
      </w:r>
      <w:r>
        <w:rPr>
          <w:rFonts w:hint="eastAsia"/>
          <w:bCs/>
          <w:iCs/>
          <w:color w:val="000000" w:themeColor="text1"/>
          <w:szCs w:val="24"/>
        </w:rPr>
        <w:t>鸡粪及肠胃内容物产生量约为70</w:t>
      </w:r>
      <w:r>
        <w:rPr>
          <w:bCs/>
          <w:iCs/>
          <w:color w:val="000000" w:themeColor="text1"/>
          <w:szCs w:val="24"/>
        </w:rPr>
        <w:t>t/a</w:t>
      </w:r>
      <w:r>
        <w:rPr>
          <w:rFonts w:hint="eastAsia"/>
          <w:bCs/>
          <w:iCs/>
          <w:color w:val="000000" w:themeColor="text1"/>
          <w:szCs w:val="24"/>
        </w:rPr>
        <w:t>，共计为163.2t/a。</w:t>
      </w:r>
      <w:r>
        <w:rPr>
          <w:bCs/>
          <w:iCs/>
          <w:color w:val="000000" w:themeColor="text1"/>
          <w:szCs w:val="24"/>
        </w:rPr>
        <w:t>粪便</w:t>
      </w:r>
      <w:r>
        <w:rPr>
          <w:rFonts w:hint="eastAsia"/>
          <w:color w:val="000000" w:themeColor="text1"/>
        </w:rPr>
        <w:t>为一般生产固废，在粪便暂存间</w:t>
      </w:r>
      <w:r>
        <w:rPr>
          <w:rFonts w:hint="eastAsia"/>
          <w:bCs/>
          <w:iCs/>
          <w:color w:val="000000" w:themeColor="text1"/>
          <w:szCs w:val="24"/>
        </w:rPr>
        <w:t>由当地农户运走堆肥腐熟后作为农用肥料使用</w:t>
      </w:r>
      <w:r>
        <w:rPr>
          <w:rFonts w:hint="eastAsia"/>
          <w:color w:val="000000" w:themeColor="text1"/>
        </w:rPr>
        <w:t>。</w:t>
      </w:r>
    </w:p>
    <w:p>
      <w:pPr>
        <w:ind w:firstLine="480"/>
        <w:rPr>
          <w:color w:val="000000" w:themeColor="text1"/>
        </w:rPr>
      </w:pPr>
      <w:r>
        <w:rPr>
          <w:rFonts w:hint="eastAsia"/>
          <w:color w:val="000000" w:themeColor="text1"/>
        </w:rPr>
        <w:t>参照《畜禽养殖业污染防治技术规范》（</w:t>
      </w:r>
      <w:r>
        <w:rPr>
          <w:color w:val="000000" w:themeColor="text1"/>
        </w:rPr>
        <w:t>HJ/T81-2001</w:t>
      </w:r>
      <w:r>
        <w:rPr>
          <w:rFonts w:hint="eastAsia"/>
          <w:color w:val="000000" w:themeColor="text1"/>
        </w:rPr>
        <w:t>）畜禽粪便的贮存要求，本项目粪便暂存间内暂存要求是：①对</w:t>
      </w:r>
      <w:r>
        <w:rPr>
          <w:rFonts w:hint="eastAsia"/>
          <w:bCs/>
          <w:color w:val="000000" w:themeColor="text1"/>
        </w:rPr>
        <w:t>粪便暂存间采取</w:t>
      </w:r>
      <w:r>
        <w:rPr>
          <w:rFonts w:hint="eastAsia"/>
          <w:color w:val="000000" w:themeColor="text1"/>
        </w:rPr>
        <w:t>防雨、防泄漏、防渗、防溢流、防晒等措施，防止雨季雨水进入粪便暂存间而产生渗滤废水；②在粪便暂存池四周设置围堰，防止粪便散露和外围雨水进入粪便暂存池，围堰高度不低于</w:t>
      </w:r>
      <w:r>
        <w:rPr>
          <w:color w:val="000000" w:themeColor="text1"/>
        </w:rPr>
        <w:t>50cm</w:t>
      </w:r>
      <w:r>
        <w:rPr>
          <w:rFonts w:hint="eastAsia"/>
          <w:color w:val="000000" w:themeColor="text1"/>
        </w:rPr>
        <w:t>；③对粪便暂存池设置半封闭措施，防止粪便堆放产生的恶臭对环境造成影响；④对粪便暂存池进行采取有效的防渗处理工艺，</w:t>
      </w:r>
      <w:r>
        <w:rPr>
          <w:rFonts w:hint="eastAsia"/>
          <w:bCs/>
          <w:color w:val="000000" w:themeColor="text1"/>
        </w:rPr>
        <w:t>防渗层为至少</w:t>
      </w:r>
      <w:r>
        <w:rPr>
          <w:bCs/>
          <w:color w:val="000000" w:themeColor="text1"/>
        </w:rPr>
        <w:t>2</w:t>
      </w:r>
      <w:r>
        <w:rPr>
          <w:rFonts w:hint="eastAsia"/>
          <w:bCs/>
          <w:color w:val="000000" w:themeColor="text1"/>
        </w:rPr>
        <w:t>毫米厚高密度聚乙烯，渗透系数</w:t>
      </w:r>
      <w:r>
        <w:rPr>
          <w:bCs/>
          <w:color w:val="000000" w:themeColor="text1"/>
        </w:rPr>
        <w:t>≤10</w:t>
      </w:r>
      <w:r>
        <w:rPr>
          <w:bCs/>
          <w:color w:val="000000" w:themeColor="text1"/>
          <w:vertAlign w:val="superscript"/>
        </w:rPr>
        <w:t>-7</w:t>
      </w:r>
      <w:r>
        <w:rPr>
          <w:bCs/>
          <w:color w:val="000000" w:themeColor="text1"/>
        </w:rPr>
        <w:t>cm/s</w:t>
      </w:r>
      <w:r>
        <w:rPr>
          <w:rFonts w:hint="eastAsia"/>
          <w:color w:val="000000" w:themeColor="text1"/>
        </w:rPr>
        <w:t>。</w:t>
      </w:r>
    </w:p>
    <w:p>
      <w:pPr>
        <w:ind w:firstLine="480"/>
        <w:rPr>
          <w:color w:val="000000" w:themeColor="text1"/>
        </w:rPr>
      </w:pPr>
      <w:r>
        <w:rPr>
          <w:rFonts w:hint="eastAsia"/>
          <w:color w:val="000000" w:themeColor="text1"/>
        </w:rPr>
        <w:t>综上所述，项目在认真做好粪便的暂存管理，设置规范化的粪便暂存池，做到粪便日产日清工作后，则运营期产生的粪便可得到合理的处置，对周边环境的影响在可控范围内。</w:t>
      </w:r>
    </w:p>
    <w:p>
      <w:pPr>
        <w:ind w:firstLine="480"/>
        <w:rPr>
          <w:color w:val="000000" w:themeColor="text1"/>
        </w:rPr>
      </w:pPr>
      <w:r>
        <w:rPr>
          <w:rFonts w:hint="eastAsia"/>
          <w:color w:val="000000" w:themeColor="text1"/>
        </w:rPr>
        <w:t>（</w:t>
      </w:r>
      <w:r>
        <w:rPr>
          <w:color w:val="000000" w:themeColor="text1"/>
        </w:rPr>
        <w:t>3</w:t>
      </w:r>
      <w:r>
        <w:rPr>
          <w:rFonts w:hint="eastAsia"/>
          <w:color w:val="000000" w:themeColor="text1"/>
        </w:rPr>
        <w:t>）焚烧炉残渣</w:t>
      </w:r>
    </w:p>
    <w:p>
      <w:pPr>
        <w:ind w:firstLine="480"/>
        <w:rPr>
          <w:color w:val="000000" w:themeColor="text1"/>
        </w:rPr>
      </w:pPr>
      <w:r>
        <w:rPr>
          <w:rFonts w:hint="eastAsia"/>
          <w:color w:val="000000" w:themeColor="text1"/>
        </w:rPr>
        <w:t>项目运输及待宰过程的病死猪（鸡）、不合格产品、碎骨肉等经无害化焚烧炉处理后会产生残渣，根据工程分析可知，焚烧炉残渣产生量为4.24</w:t>
      </w:r>
      <w:r>
        <w:rPr>
          <w:color w:val="000000" w:themeColor="text1"/>
        </w:rPr>
        <w:t>t/a</w:t>
      </w:r>
      <w:r>
        <w:rPr>
          <w:rFonts w:hint="eastAsia"/>
          <w:color w:val="000000" w:themeColor="text1"/>
        </w:rPr>
        <w:t>。本项目死猪、死鸡、不合格产品等属于医疗废物中非特定行业的“</w:t>
      </w:r>
      <w:r>
        <w:rPr>
          <w:rFonts w:hint="eastAsia"/>
          <w:bCs/>
          <w:iCs/>
          <w:color w:val="000000" w:themeColor="text1"/>
          <w:szCs w:val="24"/>
        </w:rPr>
        <w:t>为防治动物传染病而需要收集和处置的废物”，</w:t>
      </w:r>
      <w:r>
        <w:rPr>
          <w:rFonts w:hint="eastAsia"/>
          <w:color w:val="000000" w:themeColor="text1"/>
        </w:rPr>
        <w:t>根据《危险废物名录》（2016），医疗废物焚烧后的残渣不属于危险废物。因此本项目焚烧炉残渣按照《生活垃圾填埋场控制标准》（GB 16889-2008）中6.3要求进行处理：</w:t>
      </w:r>
    </w:p>
    <w:p>
      <w:pPr>
        <w:ind w:firstLine="480"/>
        <w:rPr>
          <w:rFonts w:cs="Times New Roman"/>
          <w:color w:val="000000" w:themeColor="text1"/>
        </w:rPr>
      </w:pPr>
      <w:r>
        <w:rPr>
          <w:rFonts w:cs="Times New Roman"/>
          <w:color w:val="000000" w:themeColor="text1"/>
        </w:rPr>
        <w:t>①含水率小于30%：本项目焚烧炉残渣为高温焚烧后留下的飞灰、底渣，为干燥灰渣，含水率极低，可满足含水率小于30%的要求；</w:t>
      </w:r>
    </w:p>
    <w:p>
      <w:pPr>
        <w:ind w:firstLine="480"/>
        <w:rPr>
          <w:color w:val="000000" w:themeColor="text1"/>
        </w:rPr>
      </w:pPr>
      <w:r>
        <w:rPr>
          <w:rFonts w:cs="Times New Roman"/>
          <w:color w:val="000000" w:themeColor="text1"/>
        </w:rPr>
        <w:t>②二噁英含量（或等效毒性量）低于3μg/kg：</w:t>
      </w:r>
      <w:r>
        <w:rPr>
          <w:rFonts w:hint="eastAsia"/>
          <w:color w:val="000000" w:themeColor="text1"/>
        </w:rPr>
        <w:t>本项目所使用的焚烧炉焚烧温度最低为</w:t>
      </w:r>
      <w:r>
        <w:rPr>
          <w:color w:val="000000" w:themeColor="text1"/>
        </w:rPr>
        <w:t>650</w:t>
      </w:r>
      <w:r>
        <w:rPr>
          <w:rFonts w:hint="eastAsia" w:ascii="宋体" w:hAnsi="宋体" w:cs="宋体"/>
          <w:color w:val="000000" w:themeColor="text1"/>
        </w:rPr>
        <w:t>℃</w:t>
      </w:r>
      <w:r>
        <w:rPr>
          <w:rFonts w:hint="eastAsia"/>
          <w:color w:val="000000" w:themeColor="text1"/>
        </w:rPr>
        <w:t>，而二噁英产生的温度在</w:t>
      </w:r>
      <w:r>
        <w:rPr>
          <w:color w:val="000000" w:themeColor="text1"/>
        </w:rPr>
        <w:t>300~400</w:t>
      </w:r>
      <w:r>
        <w:rPr>
          <w:rFonts w:hint="eastAsia" w:ascii="宋体" w:hAnsi="宋体" w:cs="宋体"/>
          <w:color w:val="000000" w:themeColor="text1"/>
        </w:rPr>
        <w:t>℃</w:t>
      </w:r>
      <w:r>
        <w:rPr>
          <w:rFonts w:hint="eastAsia"/>
          <w:color w:val="000000" w:themeColor="text1"/>
        </w:rPr>
        <w:t>之间，且二噁英的主要来源是含氯物质的燃烧所致，而病死猪（鸡）的主要成分为</w:t>
      </w:r>
      <w:r>
        <w:fldChar w:fldCharType="begin"/>
      </w:r>
      <w:r>
        <w:instrText xml:space="preserve"> HYPERLINK "https://baike.so.com/doc/968469-1023692.html" \t "_blank" </w:instrText>
      </w:r>
      <w:r>
        <w:fldChar w:fldCharType="separate"/>
      </w:r>
      <w:r>
        <w:rPr>
          <w:rStyle w:val="46"/>
          <w:rFonts w:hint="eastAsia"/>
          <w:color w:val="000000" w:themeColor="text1"/>
          <w:u w:val="none"/>
        </w:rPr>
        <w:t>蛋白质</w:t>
      </w:r>
      <w:r>
        <w:rPr>
          <w:rStyle w:val="46"/>
          <w:rFonts w:hint="eastAsia"/>
          <w:color w:val="000000" w:themeColor="text1"/>
          <w:u w:val="none"/>
        </w:rPr>
        <w:fldChar w:fldCharType="end"/>
      </w:r>
      <w:r>
        <w:rPr>
          <w:rFonts w:hint="eastAsia"/>
          <w:color w:val="000000" w:themeColor="text1"/>
        </w:rPr>
        <w:t>及脂肪、</w:t>
      </w:r>
      <w:r>
        <w:fldChar w:fldCharType="begin"/>
      </w:r>
      <w:r>
        <w:instrText xml:space="preserve"> HYPERLINK "https://baike.so.com/doc/5373132-5609099.html" \t "_blank" </w:instrText>
      </w:r>
      <w:r>
        <w:fldChar w:fldCharType="separate"/>
      </w:r>
      <w:r>
        <w:rPr>
          <w:rStyle w:val="46"/>
          <w:rFonts w:hint="eastAsia"/>
          <w:color w:val="000000" w:themeColor="text1"/>
          <w:u w:val="none"/>
        </w:rPr>
        <w:t>碳水化合物</w:t>
      </w:r>
      <w:r>
        <w:rPr>
          <w:rStyle w:val="46"/>
          <w:rFonts w:hint="eastAsia"/>
          <w:color w:val="000000" w:themeColor="text1"/>
          <w:u w:val="none"/>
        </w:rPr>
        <w:fldChar w:fldCharType="end"/>
      </w:r>
      <w:r>
        <w:rPr>
          <w:rFonts w:hint="eastAsia"/>
          <w:color w:val="000000" w:themeColor="text1"/>
        </w:rPr>
        <w:t>、</w:t>
      </w:r>
      <w:r>
        <w:fldChar w:fldCharType="begin"/>
      </w:r>
      <w:r>
        <w:instrText xml:space="preserve"> HYPERLINK "https://baike.so.com/doc/5373739-5609728.html" \t "_blank" </w:instrText>
      </w:r>
      <w:r>
        <w:fldChar w:fldCharType="separate"/>
      </w:r>
      <w:r>
        <w:rPr>
          <w:rStyle w:val="46"/>
          <w:rFonts w:hint="eastAsia"/>
          <w:color w:val="000000" w:themeColor="text1"/>
          <w:u w:val="none"/>
        </w:rPr>
        <w:t>钙</w:t>
      </w:r>
      <w:r>
        <w:rPr>
          <w:rStyle w:val="46"/>
          <w:rFonts w:hint="eastAsia"/>
          <w:color w:val="000000" w:themeColor="text1"/>
          <w:u w:val="none"/>
        </w:rPr>
        <w:fldChar w:fldCharType="end"/>
      </w:r>
      <w:r>
        <w:rPr>
          <w:rFonts w:hint="eastAsia"/>
          <w:color w:val="000000" w:themeColor="text1"/>
        </w:rPr>
        <w:t>、铁、</w:t>
      </w:r>
      <w:r>
        <w:fldChar w:fldCharType="begin"/>
      </w:r>
      <w:r>
        <w:instrText xml:space="preserve"> HYPERLINK "https://baike.so.com/doc/4236858-4438872.html" \t "_blank" </w:instrText>
      </w:r>
      <w:r>
        <w:fldChar w:fldCharType="separate"/>
      </w:r>
      <w:r>
        <w:rPr>
          <w:rStyle w:val="46"/>
          <w:rFonts w:hint="eastAsia"/>
          <w:color w:val="000000" w:themeColor="text1"/>
          <w:u w:val="none"/>
        </w:rPr>
        <w:t>磷</w:t>
      </w:r>
      <w:r>
        <w:rPr>
          <w:rStyle w:val="46"/>
          <w:rFonts w:hint="eastAsia"/>
          <w:color w:val="000000" w:themeColor="text1"/>
          <w:u w:val="none"/>
        </w:rPr>
        <w:fldChar w:fldCharType="end"/>
      </w:r>
      <w:r>
        <w:rPr>
          <w:rFonts w:hint="eastAsia"/>
          <w:color w:val="000000" w:themeColor="text1"/>
        </w:rPr>
        <w:t>及其他微量元素，几乎不含有氯元素，所以，本项目使用焚烧炉焚烧病死猪实体不会产生二噁英。</w:t>
      </w:r>
    </w:p>
    <w:p>
      <w:pPr>
        <w:ind w:firstLine="480"/>
        <w:rPr>
          <w:rFonts w:cs="Times New Roman"/>
          <w:color w:val="000000" w:themeColor="text1"/>
        </w:rPr>
      </w:pPr>
      <w:r>
        <w:rPr>
          <w:rFonts w:hint="eastAsia"/>
          <w:color w:val="000000" w:themeColor="text1"/>
        </w:rPr>
        <w:t>③按照HJ/T300-2007制备的浸出液中危害成分质量浓度低于表1规定的限值：《固体废物浸出毒性浸出方法醋酸缓冲溶液法》（HJ/T300-2007）中表1规定的限值主要有挥发性物质、半挥发性物质、金属物质，本项目病死猪（鸡）的主要成分为</w:t>
      </w:r>
      <w:r>
        <w:fldChar w:fldCharType="begin"/>
      </w:r>
      <w:r>
        <w:instrText xml:space="preserve"> HYPERLINK "https://baike.so.com/doc/968469-1023692.html" \t "_blank" </w:instrText>
      </w:r>
      <w:r>
        <w:fldChar w:fldCharType="separate"/>
      </w:r>
      <w:r>
        <w:rPr>
          <w:rStyle w:val="46"/>
          <w:rFonts w:hint="eastAsia"/>
          <w:color w:val="000000" w:themeColor="text1"/>
          <w:u w:val="none"/>
        </w:rPr>
        <w:t>蛋白质</w:t>
      </w:r>
      <w:r>
        <w:rPr>
          <w:rStyle w:val="46"/>
          <w:rFonts w:hint="eastAsia"/>
          <w:color w:val="000000" w:themeColor="text1"/>
          <w:u w:val="none"/>
        </w:rPr>
        <w:fldChar w:fldCharType="end"/>
      </w:r>
      <w:r>
        <w:rPr>
          <w:rFonts w:hint="eastAsia"/>
          <w:color w:val="000000" w:themeColor="text1"/>
        </w:rPr>
        <w:t>及脂肪、</w:t>
      </w:r>
      <w:r>
        <w:fldChar w:fldCharType="begin"/>
      </w:r>
      <w:r>
        <w:instrText xml:space="preserve"> HYPERLINK "https://baike.so.com/doc/5373132-5609099.html" \t "_blank" </w:instrText>
      </w:r>
      <w:r>
        <w:fldChar w:fldCharType="separate"/>
      </w:r>
      <w:r>
        <w:rPr>
          <w:rStyle w:val="46"/>
          <w:rFonts w:hint="eastAsia"/>
          <w:color w:val="000000" w:themeColor="text1"/>
          <w:u w:val="none"/>
        </w:rPr>
        <w:t>碳水化合物</w:t>
      </w:r>
      <w:r>
        <w:rPr>
          <w:rStyle w:val="46"/>
          <w:rFonts w:hint="eastAsia"/>
          <w:color w:val="000000" w:themeColor="text1"/>
          <w:u w:val="none"/>
        </w:rPr>
        <w:fldChar w:fldCharType="end"/>
      </w:r>
      <w:r>
        <w:rPr>
          <w:rFonts w:hint="eastAsia"/>
          <w:color w:val="000000" w:themeColor="text1"/>
        </w:rPr>
        <w:t>、</w:t>
      </w:r>
      <w:r>
        <w:fldChar w:fldCharType="begin"/>
      </w:r>
      <w:r>
        <w:instrText xml:space="preserve"> HYPERLINK "https://baike.so.com/doc/5373739-5609728.html" \t "_blank" </w:instrText>
      </w:r>
      <w:r>
        <w:fldChar w:fldCharType="separate"/>
      </w:r>
      <w:r>
        <w:rPr>
          <w:rStyle w:val="46"/>
          <w:rFonts w:hint="eastAsia"/>
          <w:color w:val="000000" w:themeColor="text1"/>
          <w:u w:val="none"/>
        </w:rPr>
        <w:t>钙</w:t>
      </w:r>
      <w:r>
        <w:rPr>
          <w:rStyle w:val="46"/>
          <w:rFonts w:hint="eastAsia"/>
          <w:color w:val="000000" w:themeColor="text1"/>
          <w:u w:val="none"/>
        </w:rPr>
        <w:fldChar w:fldCharType="end"/>
      </w:r>
      <w:r>
        <w:rPr>
          <w:rFonts w:hint="eastAsia"/>
          <w:color w:val="000000" w:themeColor="text1"/>
        </w:rPr>
        <w:t>、铁、</w:t>
      </w:r>
      <w:r>
        <w:fldChar w:fldCharType="begin"/>
      </w:r>
      <w:r>
        <w:instrText xml:space="preserve"> HYPERLINK "https://baike.so.com/doc/4236858-4438872.html" \t "_blank" </w:instrText>
      </w:r>
      <w:r>
        <w:fldChar w:fldCharType="separate"/>
      </w:r>
      <w:r>
        <w:rPr>
          <w:rStyle w:val="46"/>
          <w:rFonts w:hint="eastAsia"/>
          <w:color w:val="000000" w:themeColor="text1"/>
          <w:u w:val="none"/>
        </w:rPr>
        <w:t>磷</w:t>
      </w:r>
      <w:r>
        <w:rPr>
          <w:rStyle w:val="46"/>
          <w:rFonts w:hint="eastAsia"/>
          <w:color w:val="000000" w:themeColor="text1"/>
          <w:u w:val="none"/>
        </w:rPr>
        <w:fldChar w:fldCharType="end"/>
      </w:r>
      <w:r>
        <w:rPr>
          <w:rFonts w:hint="eastAsia"/>
          <w:color w:val="000000" w:themeColor="text1"/>
        </w:rPr>
        <w:t>及其他微量元素，几乎不含有挥发性物质、半挥发性物质、金属物质等。</w:t>
      </w:r>
    </w:p>
    <w:p>
      <w:pPr>
        <w:ind w:firstLine="480"/>
        <w:rPr>
          <w:color w:val="000000" w:themeColor="text1"/>
        </w:rPr>
      </w:pPr>
      <w:r>
        <w:rPr>
          <w:rFonts w:hint="eastAsia"/>
          <w:color w:val="000000" w:themeColor="text1"/>
        </w:rPr>
        <w:t>综上，本项目焚烧炉属于一般固体废物，且可达到《生活垃圾填埋场控制标准》（GB 16889-2008）中6.3要求，经过</w:t>
      </w:r>
      <w:r>
        <w:rPr>
          <w:rFonts w:hint="eastAsia"/>
          <w:bCs/>
          <w:iCs/>
          <w:color w:val="000000" w:themeColor="text1"/>
          <w:szCs w:val="24"/>
        </w:rPr>
        <w:t>统一收集后送至砚山县垃圾填埋场处置</w:t>
      </w:r>
      <w:r>
        <w:rPr>
          <w:rFonts w:hint="eastAsia"/>
          <w:color w:val="000000" w:themeColor="text1"/>
        </w:rPr>
        <w:t>。</w:t>
      </w:r>
    </w:p>
    <w:p>
      <w:pPr>
        <w:ind w:firstLine="480"/>
        <w:rPr>
          <w:color w:val="000000" w:themeColor="text1"/>
        </w:rPr>
      </w:pPr>
      <w:r>
        <w:rPr>
          <w:rFonts w:hint="eastAsia"/>
          <w:color w:val="000000" w:themeColor="text1"/>
        </w:rPr>
        <w:t>（</w:t>
      </w:r>
      <w:r>
        <w:rPr>
          <w:color w:val="000000" w:themeColor="text1"/>
        </w:rPr>
        <w:t>4</w:t>
      </w:r>
      <w:r>
        <w:rPr>
          <w:rFonts w:hint="eastAsia"/>
          <w:color w:val="000000" w:themeColor="text1"/>
        </w:rPr>
        <w:t>）栅渣及污泥</w:t>
      </w:r>
    </w:p>
    <w:p>
      <w:pPr>
        <w:ind w:firstLine="480"/>
        <w:rPr>
          <w:color w:val="000000" w:themeColor="text1"/>
        </w:rPr>
      </w:pPr>
      <w:r>
        <w:rPr>
          <w:rFonts w:hint="eastAsia"/>
          <w:color w:val="000000" w:themeColor="text1"/>
        </w:rPr>
        <w:t>根据工程分析可知，项目污水处理站的栅渣及污泥产生量合计为24.79</w:t>
      </w:r>
      <w:r>
        <w:rPr>
          <w:color w:val="000000" w:themeColor="text1"/>
        </w:rPr>
        <w:t>t/a</w:t>
      </w:r>
      <w:r>
        <w:rPr>
          <w:rFonts w:hint="eastAsia"/>
          <w:bCs/>
          <w:color w:val="000000" w:themeColor="text1"/>
        </w:rPr>
        <w:t>，此外还有少量的化粪池污泥，</w:t>
      </w:r>
      <w:r>
        <w:rPr>
          <w:rFonts w:hint="eastAsia"/>
          <w:color w:val="000000" w:themeColor="text1"/>
        </w:rPr>
        <w:t>污泥定期清掏消毒后</w:t>
      </w:r>
      <w:r>
        <w:rPr>
          <w:rFonts w:hint="eastAsia"/>
          <w:bCs/>
          <w:iCs/>
          <w:color w:val="000000" w:themeColor="text1"/>
          <w:szCs w:val="24"/>
        </w:rPr>
        <w:t>按照环卫部门要求统一清运处置</w:t>
      </w:r>
      <w:r>
        <w:rPr>
          <w:rFonts w:hint="eastAsia"/>
          <w:color w:val="000000" w:themeColor="text1"/>
        </w:rPr>
        <w:t>。</w:t>
      </w:r>
    </w:p>
    <w:p>
      <w:pPr>
        <w:ind w:firstLine="480"/>
        <w:rPr>
          <w:color w:val="000000" w:themeColor="text1"/>
        </w:rPr>
      </w:pPr>
      <w:r>
        <w:rPr>
          <w:rFonts w:hint="eastAsia"/>
          <w:color w:val="000000" w:themeColor="text1"/>
        </w:rPr>
        <w:t>（</w:t>
      </w:r>
      <w:r>
        <w:rPr>
          <w:color w:val="000000" w:themeColor="text1"/>
        </w:rPr>
        <w:t>5</w:t>
      </w:r>
      <w:r>
        <w:rPr>
          <w:rFonts w:hint="eastAsia"/>
          <w:color w:val="000000" w:themeColor="text1"/>
        </w:rPr>
        <w:t>）检疫试纸</w:t>
      </w:r>
    </w:p>
    <w:p>
      <w:pPr>
        <w:ind w:firstLine="480"/>
        <w:rPr>
          <w:color w:val="000000" w:themeColor="text1"/>
        </w:rPr>
      </w:pPr>
      <w:r>
        <w:rPr>
          <w:rFonts w:hint="eastAsia"/>
          <w:color w:val="000000" w:themeColor="text1"/>
        </w:rPr>
        <w:t>根据工程分析可知，项目检疫过程产生的废实验盒量约为1</w:t>
      </w:r>
      <w:r>
        <w:rPr>
          <w:color w:val="000000" w:themeColor="text1"/>
        </w:rPr>
        <w:t>t/a</w:t>
      </w:r>
      <w:r>
        <w:rPr>
          <w:rFonts w:hint="eastAsia"/>
          <w:bCs/>
          <w:color w:val="000000" w:themeColor="text1"/>
        </w:rPr>
        <w:t>，</w:t>
      </w:r>
      <w:r>
        <w:rPr>
          <w:rFonts w:hint="eastAsia"/>
          <w:bCs/>
          <w:iCs/>
          <w:color w:val="000000" w:themeColor="text1"/>
          <w:szCs w:val="24"/>
        </w:rPr>
        <w:t>废实验盒属于《危险废物名录》（</w:t>
      </w:r>
      <w:r>
        <w:rPr>
          <w:bCs/>
          <w:iCs/>
          <w:color w:val="000000" w:themeColor="text1"/>
          <w:szCs w:val="24"/>
        </w:rPr>
        <w:t>2016</w:t>
      </w:r>
      <w:r>
        <w:rPr>
          <w:rFonts w:hint="eastAsia"/>
          <w:bCs/>
          <w:iCs/>
          <w:color w:val="000000" w:themeColor="text1"/>
          <w:szCs w:val="24"/>
        </w:rPr>
        <w:t>）中规定的危险废物，危废类别为</w:t>
      </w:r>
      <w:r>
        <w:rPr>
          <w:bCs/>
          <w:iCs/>
          <w:color w:val="000000" w:themeColor="text1"/>
          <w:szCs w:val="24"/>
        </w:rPr>
        <w:t>HW49</w:t>
      </w:r>
      <w:r>
        <w:rPr>
          <w:rFonts w:hint="eastAsia"/>
          <w:bCs/>
          <w:iCs/>
          <w:color w:val="000000" w:themeColor="text1"/>
          <w:szCs w:val="24"/>
        </w:rPr>
        <w:t>其他废物，代码为</w:t>
      </w:r>
      <w:r>
        <w:rPr>
          <w:bCs/>
          <w:iCs/>
          <w:color w:val="000000" w:themeColor="text1"/>
          <w:szCs w:val="24"/>
        </w:rPr>
        <w:t>900-047-49</w:t>
      </w:r>
      <w:r>
        <w:rPr>
          <w:rFonts w:hint="eastAsia"/>
          <w:bCs/>
          <w:iCs/>
          <w:color w:val="000000" w:themeColor="text1"/>
          <w:szCs w:val="24"/>
        </w:rPr>
        <w:t>，由动物卫生监督所的检疫人员带走进行处置</w:t>
      </w:r>
      <w:r>
        <w:rPr>
          <w:rFonts w:hint="eastAsia"/>
          <w:color w:val="000000" w:themeColor="text1"/>
        </w:rPr>
        <w:t>。</w:t>
      </w:r>
    </w:p>
    <w:p>
      <w:pPr>
        <w:ind w:firstLine="480"/>
        <w:rPr>
          <w:color w:val="000000" w:themeColor="text1"/>
        </w:rPr>
      </w:pPr>
      <w:r>
        <w:rPr>
          <w:rFonts w:hint="eastAsia"/>
          <w:color w:val="000000" w:themeColor="text1"/>
        </w:rPr>
        <w:t>（</w:t>
      </w:r>
      <w:r>
        <w:rPr>
          <w:color w:val="000000" w:themeColor="text1"/>
        </w:rPr>
        <w:t>6</w:t>
      </w:r>
      <w:r>
        <w:rPr>
          <w:rFonts w:hint="eastAsia"/>
          <w:color w:val="000000" w:themeColor="text1"/>
        </w:rPr>
        <w:t>）生活垃圾</w:t>
      </w:r>
    </w:p>
    <w:p>
      <w:pPr>
        <w:ind w:firstLine="480"/>
        <w:rPr>
          <w:color w:val="000000" w:themeColor="text1"/>
        </w:rPr>
      </w:pPr>
      <w:r>
        <w:rPr>
          <w:rFonts w:hint="eastAsia"/>
          <w:color w:val="000000" w:themeColor="text1"/>
        </w:rPr>
        <w:t>根据工程分析可知，项目生活垃圾产生量为7.28</w:t>
      </w:r>
      <w:r>
        <w:rPr>
          <w:color w:val="000000" w:themeColor="text1"/>
        </w:rPr>
        <w:t>t/a</w:t>
      </w:r>
      <w:r>
        <w:rPr>
          <w:rFonts w:hint="eastAsia"/>
          <w:color w:val="000000" w:themeColor="text1"/>
        </w:rPr>
        <w:t>，</w:t>
      </w:r>
      <w:r>
        <w:rPr>
          <w:rFonts w:hint="eastAsia"/>
          <w:bCs/>
          <w:iCs/>
          <w:color w:val="000000" w:themeColor="text1"/>
          <w:szCs w:val="24"/>
        </w:rPr>
        <w:t>生活垃圾统一收集后按照环卫部门要求统一清运处置</w:t>
      </w:r>
      <w:r>
        <w:rPr>
          <w:rFonts w:hint="eastAsia"/>
          <w:color w:val="000000" w:themeColor="text1"/>
        </w:rPr>
        <w:t>。</w:t>
      </w:r>
    </w:p>
    <w:p>
      <w:pPr>
        <w:ind w:firstLine="480"/>
        <w:rPr>
          <w:color w:val="000000" w:themeColor="text1"/>
        </w:rPr>
      </w:pPr>
      <w:r>
        <w:rPr>
          <w:rFonts w:hint="eastAsia"/>
          <w:color w:val="000000" w:themeColor="text1"/>
        </w:rPr>
        <w:t>通过采取上述措施，项目产生的固废均得到妥善处置，有效处置率</w:t>
      </w:r>
      <w:r>
        <w:rPr>
          <w:color w:val="000000" w:themeColor="text1"/>
        </w:rPr>
        <w:t>100%</w:t>
      </w:r>
      <w:r>
        <w:rPr>
          <w:rFonts w:hint="eastAsia"/>
          <w:color w:val="000000" w:themeColor="text1"/>
        </w:rPr>
        <w:t>。只要加强固体废弃物的收集和管理，做好及时处理生产废料、及时清运粪便及生活垃圾的工作，严禁乱倒乱抛现象，固体废弃物对环境的影响在可接受范围内。</w:t>
      </w:r>
    </w:p>
    <w:p>
      <w:pPr>
        <w:pStyle w:val="3"/>
        <w:rPr>
          <w:color w:val="000000" w:themeColor="text1"/>
        </w:rPr>
      </w:pPr>
      <w:bookmarkStart w:id="229" w:name="_Toc47375876"/>
      <w:r>
        <w:rPr>
          <w:rFonts w:hint="eastAsia"/>
          <w:color w:val="000000" w:themeColor="text1"/>
        </w:rPr>
        <w:t>6.5环境风险分析</w:t>
      </w:r>
      <w:bookmarkEnd w:id="229"/>
      <w:r>
        <w:rPr>
          <w:color w:val="000000" w:themeColor="text1"/>
        </w:rPr>
        <w:tab/>
      </w:r>
    </w:p>
    <w:p>
      <w:pPr>
        <w:ind w:firstLine="480"/>
        <w:rPr>
          <w:color w:val="000000" w:themeColor="text1"/>
        </w:rPr>
      </w:pPr>
      <w:bookmarkStart w:id="230" w:name="_Toc474943131"/>
      <w:bookmarkStart w:id="231" w:name="_Toc477851402"/>
      <w:r>
        <w:rPr>
          <w:rFonts w:hint="eastAsia"/>
          <w:color w:val="000000" w:themeColor="text1"/>
        </w:rPr>
        <w:t>为全面落实《关于进一步加强环境影响评价管理防范环境风险的通知</w:t>
      </w:r>
      <w:r>
        <w:rPr>
          <w:color w:val="000000" w:themeColor="text1"/>
        </w:rPr>
        <w:t>(</w:t>
      </w:r>
      <w:r>
        <w:rPr>
          <w:rFonts w:hint="eastAsia"/>
          <w:color w:val="000000" w:themeColor="text1"/>
        </w:rPr>
        <w:t>环发</w:t>
      </w:r>
      <w:r>
        <w:rPr>
          <w:color w:val="000000" w:themeColor="text1"/>
        </w:rPr>
        <w:t>[2012]77</w:t>
      </w:r>
      <w:r>
        <w:rPr>
          <w:rFonts w:hint="eastAsia"/>
          <w:color w:val="000000" w:themeColor="text1"/>
        </w:rPr>
        <w:t>号</w:t>
      </w:r>
      <w:r>
        <w:rPr>
          <w:color w:val="000000" w:themeColor="text1"/>
        </w:rPr>
        <w:t>)</w:t>
      </w:r>
      <w:r>
        <w:rPr>
          <w:rFonts w:hint="eastAsia"/>
          <w:color w:val="000000" w:themeColor="text1"/>
        </w:rPr>
        <w:t>》的要求，查找建设项目存在的环境风险隐患，使得企业在生产正常运转的基础上，确保厂界外的环境质量，确保周边影响区内人群的健康和生命安全。</w:t>
      </w:r>
      <w:bookmarkEnd w:id="230"/>
      <w:bookmarkEnd w:id="231"/>
    </w:p>
    <w:p>
      <w:pPr>
        <w:ind w:firstLine="480"/>
        <w:rPr>
          <w:color w:val="000000" w:themeColor="text1"/>
        </w:rPr>
      </w:pPr>
      <w:bookmarkStart w:id="232" w:name="_Toc477851403"/>
      <w:bookmarkStart w:id="233" w:name="_Toc474943132"/>
      <w:r>
        <w:rPr>
          <w:rFonts w:hint="eastAsia"/>
          <w:color w:val="000000" w:themeColor="text1"/>
        </w:rPr>
        <w:t>本次环境风险评价将把事故引起厂界外人群的伤害、环境质量的恶化及对生态系统影响的预测和防护作为评价重点。通过分析本项目中主要物料的危险性和毒性，识别其潜在危险源并提出防治措施，达到降低风险性、危害程度，保护环境之目的。</w:t>
      </w:r>
      <w:bookmarkEnd w:id="232"/>
      <w:bookmarkEnd w:id="233"/>
    </w:p>
    <w:p>
      <w:pPr>
        <w:pStyle w:val="38"/>
        <w:ind w:firstLine="281"/>
        <w:rPr>
          <w:color w:val="000000" w:themeColor="text1"/>
        </w:rPr>
      </w:pPr>
      <w:bookmarkStart w:id="234" w:name="_Toc47375877"/>
      <w:r>
        <w:rPr>
          <w:rFonts w:hint="eastAsia"/>
          <w:color w:val="000000" w:themeColor="text1"/>
        </w:rPr>
        <w:t>6.5.1风险调查</w:t>
      </w:r>
      <w:bookmarkEnd w:id="234"/>
      <w:r>
        <w:rPr>
          <w:color w:val="000000" w:themeColor="text1"/>
        </w:rPr>
        <w:t xml:space="preserve"> </w:t>
      </w:r>
    </w:p>
    <w:p>
      <w:pPr>
        <w:ind w:firstLine="482"/>
        <w:rPr>
          <w:b/>
          <w:color w:val="000000" w:themeColor="text1"/>
        </w:rPr>
      </w:pPr>
      <w:r>
        <w:rPr>
          <w:rFonts w:hint="eastAsia"/>
          <w:b/>
          <w:color w:val="000000" w:themeColor="text1"/>
        </w:rPr>
        <w:t>1、风险源调查</w:t>
      </w:r>
    </w:p>
    <w:p>
      <w:pPr>
        <w:ind w:firstLine="480"/>
        <w:rPr>
          <w:color w:val="000000" w:themeColor="text1"/>
        </w:rPr>
      </w:pPr>
      <w:r>
        <w:rPr>
          <w:rFonts w:hint="eastAsia"/>
          <w:color w:val="000000" w:themeColor="text1"/>
        </w:rPr>
        <w:t>调查建设项目危险物质数量和分布情况、生产工艺特点，收集危险物质安全技术说明书（MSDS）等基础资料。</w:t>
      </w:r>
    </w:p>
    <w:p>
      <w:pPr>
        <w:ind w:firstLine="480"/>
        <w:rPr>
          <w:color w:val="000000" w:themeColor="text1"/>
        </w:rPr>
      </w:pPr>
      <w:r>
        <w:rPr>
          <w:rFonts w:hint="eastAsia"/>
          <w:color w:val="000000" w:themeColor="text1"/>
        </w:rPr>
        <w:t>本项目危险物质主要为生产所使用的原辅料，原辅料主要为生猪、生鸡、生物质燃料制冷剂(R22，二氟一氯甲烷)、次氯酸钠(消毒用)等。次氯酸钠(消毒用)原料暂存于车间内原料库，项目生产工艺较为简单、成熟。</w:t>
      </w:r>
    </w:p>
    <w:p>
      <w:pPr>
        <w:ind w:firstLine="480"/>
        <w:rPr>
          <w:color w:val="000000" w:themeColor="text1"/>
        </w:rPr>
      </w:pPr>
      <w:r>
        <w:rPr>
          <w:rFonts w:hint="eastAsia"/>
          <w:color w:val="000000" w:themeColor="text1"/>
        </w:rPr>
        <w:t>根据《建设项目环境风险评价技术导则》（HJ169-2018）附录 B 危险物质及临界量可知，涉及的风险物质为次氯酸钠，涉及的风险源为次氯酸钠存储区。</w:t>
      </w:r>
    </w:p>
    <w:p>
      <w:pPr>
        <w:ind w:firstLine="482"/>
        <w:rPr>
          <w:rFonts w:cs="Times New Roman"/>
          <w:b/>
          <w:color w:val="000000" w:themeColor="text1"/>
          <w:szCs w:val="24"/>
        </w:rPr>
      </w:pPr>
      <w:r>
        <w:rPr>
          <w:b/>
          <w:color w:val="000000" w:themeColor="text1"/>
        </w:rPr>
        <w:t>2</w:t>
      </w:r>
      <w:r>
        <w:rPr>
          <w:rFonts w:hint="eastAsia"/>
          <w:b/>
          <w:color w:val="000000" w:themeColor="text1"/>
        </w:rPr>
        <w:t>、风险潜势的判断</w:t>
      </w:r>
    </w:p>
    <w:p>
      <w:pPr>
        <w:ind w:firstLine="480"/>
        <w:rPr>
          <w:color w:val="000000" w:themeColor="text1"/>
        </w:rPr>
      </w:pPr>
      <w:r>
        <w:rPr>
          <w:rFonts w:hint="eastAsia"/>
          <w:color w:val="000000" w:themeColor="text1"/>
        </w:rPr>
        <w:t>（</w:t>
      </w:r>
      <w:r>
        <w:rPr>
          <w:color w:val="000000" w:themeColor="text1"/>
        </w:rPr>
        <w:t>1</w:t>
      </w:r>
      <w:r>
        <w:rPr>
          <w:rFonts w:hint="eastAsia"/>
          <w:color w:val="000000" w:themeColor="text1"/>
        </w:rPr>
        <w:t>）存储量</w:t>
      </w:r>
    </w:p>
    <w:p>
      <w:pPr>
        <w:ind w:firstLine="480"/>
        <w:rPr>
          <w:color w:val="000000" w:themeColor="text1"/>
        </w:rPr>
      </w:pPr>
      <w:r>
        <w:rPr>
          <w:rFonts w:hint="eastAsia"/>
          <w:color w:val="000000" w:themeColor="text1"/>
        </w:rPr>
        <w:t>本项目危险化学品危险物质存储量见表6.5.1-1。</w:t>
      </w:r>
    </w:p>
    <w:p>
      <w:pPr>
        <w:pStyle w:val="54"/>
        <w:rPr>
          <w:color w:val="000000" w:themeColor="text1"/>
        </w:rPr>
      </w:pPr>
      <w:r>
        <w:rPr>
          <w:rFonts w:hint="eastAsia"/>
          <w:color w:val="000000" w:themeColor="text1"/>
        </w:rPr>
        <w:t>6.5.1-1  危险化学品储存量一览表</w:t>
      </w:r>
    </w:p>
    <w:tbl>
      <w:tblPr>
        <w:tblStyle w:val="43"/>
        <w:tblW w:w="7455" w:type="dxa"/>
        <w:jc w:val="center"/>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75"/>
        <w:gridCol w:w="1418"/>
        <w:gridCol w:w="1134"/>
        <w:gridCol w:w="1960"/>
        <w:gridCol w:w="2268"/>
      </w:tblGrid>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75" w:type="dxa"/>
            <w:vAlign w:val="center"/>
          </w:tcPr>
          <w:p>
            <w:pPr>
              <w:pStyle w:val="55"/>
              <w:rPr>
                <w:color w:val="000000" w:themeColor="text1"/>
              </w:rPr>
            </w:pPr>
            <w:r>
              <w:rPr>
                <w:color w:val="000000" w:themeColor="text1"/>
              </w:rPr>
              <w:t>序号</w:t>
            </w:r>
          </w:p>
        </w:tc>
        <w:tc>
          <w:tcPr>
            <w:tcW w:w="1418" w:type="dxa"/>
            <w:vAlign w:val="center"/>
          </w:tcPr>
          <w:p>
            <w:pPr>
              <w:pStyle w:val="55"/>
              <w:rPr>
                <w:color w:val="000000" w:themeColor="text1"/>
              </w:rPr>
            </w:pPr>
            <w:r>
              <w:rPr>
                <w:color w:val="000000" w:themeColor="text1"/>
              </w:rPr>
              <w:t>物料名称</w:t>
            </w:r>
          </w:p>
        </w:tc>
        <w:tc>
          <w:tcPr>
            <w:tcW w:w="1134" w:type="dxa"/>
            <w:vAlign w:val="center"/>
          </w:tcPr>
          <w:p>
            <w:pPr>
              <w:pStyle w:val="55"/>
              <w:rPr>
                <w:color w:val="000000" w:themeColor="text1"/>
              </w:rPr>
            </w:pPr>
            <w:r>
              <w:rPr>
                <w:color w:val="000000" w:themeColor="text1"/>
              </w:rPr>
              <w:t>年用量</w:t>
            </w:r>
          </w:p>
        </w:tc>
        <w:tc>
          <w:tcPr>
            <w:tcW w:w="1960" w:type="dxa"/>
            <w:vAlign w:val="center"/>
          </w:tcPr>
          <w:p>
            <w:pPr>
              <w:pStyle w:val="55"/>
              <w:rPr>
                <w:color w:val="000000" w:themeColor="text1"/>
              </w:rPr>
            </w:pPr>
            <w:r>
              <w:rPr>
                <w:rFonts w:hint="eastAsia"/>
                <w:color w:val="000000" w:themeColor="text1"/>
              </w:rPr>
              <w:t>厂区内最大储存量</w:t>
            </w:r>
          </w:p>
        </w:tc>
        <w:tc>
          <w:tcPr>
            <w:tcW w:w="2268" w:type="dxa"/>
          </w:tcPr>
          <w:p>
            <w:pPr>
              <w:pStyle w:val="55"/>
              <w:rPr>
                <w:color w:val="000000" w:themeColor="text1"/>
              </w:rPr>
            </w:pPr>
            <w:r>
              <w:rPr>
                <w:color w:val="000000" w:themeColor="text1"/>
              </w:rPr>
              <w:t>储存位置</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75" w:type="dxa"/>
            <w:vAlign w:val="center"/>
          </w:tcPr>
          <w:p>
            <w:pPr>
              <w:pStyle w:val="55"/>
              <w:rPr>
                <w:color w:val="000000" w:themeColor="text1"/>
              </w:rPr>
            </w:pPr>
            <w:r>
              <w:rPr>
                <w:rFonts w:hint="eastAsia"/>
                <w:color w:val="000000" w:themeColor="text1"/>
              </w:rPr>
              <w:t>1</w:t>
            </w:r>
          </w:p>
        </w:tc>
        <w:tc>
          <w:tcPr>
            <w:tcW w:w="1418" w:type="dxa"/>
            <w:vAlign w:val="center"/>
          </w:tcPr>
          <w:p>
            <w:pPr>
              <w:pStyle w:val="55"/>
              <w:rPr>
                <w:color w:val="000000" w:themeColor="text1"/>
              </w:rPr>
            </w:pPr>
            <w:r>
              <w:rPr>
                <w:color w:val="000000" w:themeColor="text1"/>
              </w:rPr>
              <w:t>次氯酸钠</w:t>
            </w:r>
          </w:p>
        </w:tc>
        <w:tc>
          <w:tcPr>
            <w:tcW w:w="1134" w:type="dxa"/>
            <w:vAlign w:val="center"/>
          </w:tcPr>
          <w:p>
            <w:pPr>
              <w:pStyle w:val="55"/>
              <w:rPr>
                <w:color w:val="000000" w:themeColor="text1"/>
              </w:rPr>
            </w:pPr>
            <w:r>
              <w:rPr>
                <w:rFonts w:hint="eastAsia"/>
                <w:color w:val="000000" w:themeColor="text1"/>
              </w:rPr>
              <w:t>3t/a</w:t>
            </w:r>
          </w:p>
        </w:tc>
        <w:tc>
          <w:tcPr>
            <w:tcW w:w="1960" w:type="dxa"/>
            <w:vAlign w:val="center"/>
          </w:tcPr>
          <w:p>
            <w:pPr>
              <w:pStyle w:val="55"/>
              <w:rPr>
                <w:color w:val="000000" w:themeColor="text1"/>
              </w:rPr>
            </w:pPr>
            <w:r>
              <w:rPr>
                <w:rFonts w:hint="eastAsia"/>
                <w:color w:val="000000" w:themeColor="text1"/>
              </w:rPr>
              <w:t>0.5t</w:t>
            </w:r>
          </w:p>
        </w:tc>
        <w:tc>
          <w:tcPr>
            <w:tcW w:w="2268" w:type="dxa"/>
          </w:tcPr>
          <w:p>
            <w:pPr>
              <w:pStyle w:val="55"/>
              <w:rPr>
                <w:color w:val="000000" w:themeColor="text1"/>
              </w:rPr>
            </w:pPr>
            <w:r>
              <w:rPr>
                <w:color w:val="000000" w:themeColor="text1"/>
              </w:rPr>
              <w:t>原料库</w:t>
            </w:r>
          </w:p>
        </w:tc>
      </w:tr>
    </w:tbl>
    <w:p>
      <w:pPr>
        <w:ind w:firstLine="480"/>
        <w:rPr>
          <w:rFonts w:cs="Times New Roman" w:eastAsiaTheme="minorEastAsia"/>
          <w:bCs/>
          <w:color w:val="000000" w:themeColor="text1"/>
        </w:rPr>
      </w:pPr>
      <w:r>
        <w:rPr>
          <w:rFonts w:cs="Times New Roman" w:hAnsiTheme="minorEastAsia" w:eastAsiaTheme="minorEastAsia"/>
          <w:bCs/>
          <w:color w:val="000000" w:themeColor="text1"/>
        </w:rPr>
        <w:t>（</w:t>
      </w:r>
      <w:r>
        <w:rPr>
          <w:rFonts w:cs="Times New Roman" w:eastAsiaTheme="minorEastAsia"/>
          <w:bCs/>
          <w:color w:val="000000" w:themeColor="text1"/>
        </w:rPr>
        <w:t>2</w:t>
      </w:r>
      <w:r>
        <w:rPr>
          <w:rFonts w:cs="Times New Roman" w:hAnsiTheme="minorEastAsia" w:eastAsiaTheme="minorEastAsia"/>
          <w:bCs/>
          <w:color w:val="000000" w:themeColor="text1"/>
        </w:rPr>
        <w:t>）潜势值辨识</w:t>
      </w:r>
    </w:p>
    <w:p>
      <w:pPr>
        <w:ind w:firstLine="480"/>
        <w:rPr>
          <w:rFonts w:cs="Times New Roman" w:eastAsiaTheme="minorEastAsia"/>
          <w:bCs/>
          <w:color w:val="000000" w:themeColor="text1"/>
        </w:rPr>
      </w:pPr>
      <w:r>
        <w:rPr>
          <w:rFonts w:cs="Times New Roman" w:hAnsiTheme="minorEastAsia" w:eastAsiaTheme="minorEastAsia"/>
          <w:bCs/>
          <w:color w:val="000000" w:themeColor="text1"/>
        </w:rPr>
        <w:t>①</w:t>
      </w:r>
      <w:r>
        <w:rPr>
          <w:rFonts w:cs="Times New Roman" w:eastAsiaTheme="minorEastAsia"/>
          <w:bCs/>
          <w:color w:val="000000" w:themeColor="text1"/>
        </w:rPr>
        <w:t xml:space="preserve"> </w:t>
      </w:r>
      <w:r>
        <w:rPr>
          <w:rFonts w:cs="Times New Roman" w:hAnsiTheme="minorEastAsia" w:eastAsiaTheme="minorEastAsia"/>
          <w:bCs/>
          <w:color w:val="000000" w:themeColor="text1"/>
        </w:rPr>
        <w:t>单元内存在的危险物质为单一危险物质时，计算该物质的总量和其临界量比值，即为</w:t>
      </w:r>
      <w:r>
        <w:rPr>
          <w:rFonts w:cs="Times New Roman" w:eastAsiaTheme="minorEastAsia"/>
          <w:bCs/>
          <w:color w:val="000000" w:themeColor="text1"/>
        </w:rPr>
        <w:t>Q</w:t>
      </w:r>
      <w:r>
        <w:rPr>
          <w:rFonts w:cs="Times New Roman" w:hAnsiTheme="minorEastAsia" w:eastAsiaTheme="minorEastAsia"/>
          <w:bCs/>
          <w:color w:val="000000" w:themeColor="text1"/>
        </w:rPr>
        <w:t>。</w:t>
      </w:r>
    </w:p>
    <w:p>
      <w:pPr>
        <w:ind w:firstLine="480"/>
        <w:rPr>
          <w:rFonts w:cs="Times New Roman" w:eastAsiaTheme="minorEastAsia"/>
          <w:bCs/>
          <w:color w:val="000000" w:themeColor="text1"/>
        </w:rPr>
      </w:pPr>
      <w:r>
        <w:rPr>
          <w:rFonts w:cs="Times New Roman" w:hAnsiTheme="minorEastAsia" w:eastAsiaTheme="minorEastAsia"/>
          <w:bCs/>
          <w:color w:val="000000" w:themeColor="text1"/>
        </w:rPr>
        <w:t>②</w:t>
      </w:r>
      <w:r>
        <w:rPr>
          <w:rFonts w:cs="Times New Roman" w:eastAsiaTheme="minorEastAsia"/>
          <w:bCs/>
          <w:color w:val="000000" w:themeColor="text1"/>
        </w:rPr>
        <w:t xml:space="preserve"> </w:t>
      </w:r>
      <w:r>
        <w:rPr>
          <w:rFonts w:cs="Times New Roman" w:hAnsiTheme="minorEastAsia" w:eastAsiaTheme="minorEastAsia"/>
          <w:bCs/>
          <w:color w:val="000000" w:themeColor="text1"/>
        </w:rPr>
        <w:t>单元内存在的危险化学品为多品种时，则按下式计算，若满足下面公式，则定为重大危险源：</w:t>
      </w:r>
    </w:p>
    <w:p>
      <w:pPr>
        <w:ind w:firstLine="480"/>
        <w:rPr>
          <w:rFonts w:cs="Times New Roman" w:eastAsiaTheme="minorEastAsia"/>
          <w:bCs/>
          <w:color w:val="000000" w:themeColor="text1"/>
        </w:rPr>
      </w:pPr>
      <w:r>
        <w:rPr>
          <w:rFonts w:cs="Times New Roman" w:eastAsiaTheme="minorEastAsia"/>
          <w:bCs/>
          <w:color w:val="000000" w:themeColor="text1"/>
        </w:rPr>
        <w:t>q</w:t>
      </w:r>
      <w:r>
        <w:rPr>
          <w:rFonts w:cs="Times New Roman" w:eastAsiaTheme="minorEastAsia"/>
          <w:bCs/>
          <w:color w:val="000000" w:themeColor="text1"/>
          <w:vertAlign w:val="subscript"/>
        </w:rPr>
        <w:t>1</w:t>
      </w:r>
      <w:r>
        <w:rPr>
          <w:rFonts w:cs="Times New Roman" w:eastAsiaTheme="minorEastAsia"/>
          <w:bCs/>
          <w:color w:val="000000" w:themeColor="text1"/>
        </w:rPr>
        <w:t>/Q</w:t>
      </w:r>
      <w:r>
        <w:rPr>
          <w:rFonts w:cs="Times New Roman" w:eastAsiaTheme="minorEastAsia"/>
          <w:bCs/>
          <w:color w:val="000000" w:themeColor="text1"/>
          <w:vertAlign w:val="subscript"/>
        </w:rPr>
        <w:t>1</w:t>
      </w:r>
      <w:r>
        <w:rPr>
          <w:rFonts w:cs="Times New Roman" w:eastAsiaTheme="minorEastAsia"/>
          <w:bCs/>
          <w:color w:val="000000" w:themeColor="text1"/>
        </w:rPr>
        <w:t>+ q</w:t>
      </w:r>
      <w:r>
        <w:rPr>
          <w:rFonts w:cs="Times New Roman" w:eastAsiaTheme="minorEastAsia"/>
          <w:bCs/>
          <w:color w:val="000000" w:themeColor="text1"/>
          <w:vertAlign w:val="subscript"/>
        </w:rPr>
        <w:t>2</w:t>
      </w:r>
      <w:r>
        <w:rPr>
          <w:rFonts w:cs="Times New Roman" w:eastAsiaTheme="minorEastAsia"/>
          <w:bCs/>
          <w:color w:val="000000" w:themeColor="text1"/>
        </w:rPr>
        <w:t>/Q</w:t>
      </w:r>
      <w:r>
        <w:rPr>
          <w:rFonts w:cs="Times New Roman" w:eastAsiaTheme="minorEastAsia"/>
          <w:bCs/>
          <w:color w:val="000000" w:themeColor="text1"/>
          <w:vertAlign w:val="subscript"/>
        </w:rPr>
        <w:t>2</w:t>
      </w:r>
      <w:r>
        <w:rPr>
          <w:rFonts w:cs="Times New Roman" w:eastAsiaTheme="minorEastAsia"/>
          <w:bCs/>
          <w:color w:val="000000" w:themeColor="text1"/>
        </w:rPr>
        <w:t>+ … qn/Qn≥1</w:t>
      </w:r>
    </w:p>
    <w:p>
      <w:pPr>
        <w:ind w:firstLine="480"/>
        <w:rPr>
          <w:rFonts w:cs="Times New Roman" w:eastAsiaTheme="minorEastAsia"/>
          <w:bCs/>
          <w:color w:val="000000" w:themeColor="text1"/>
        </w:rPr>
      </w:pPr>
      <w:r>
        <w:rPr>
          <w:rFonts w:cs="Times New Roman" w:hAnsiTheme="minorEastAsia" w:eastAsiaTheme="minorEastAsia"/>
          <w:bCs/>
          <w:color w:val="000000" w:themeColor="text1"/>
        </w:rPr>
        <w:t>式中：</w:t>
      </w:r>
      <w:r>
        <w:rPr>
          <w:rFonts w:cs="Times New Roman" w:eastAsiaTheme="minorEastAsia"/>
          <w:bCs/>
          <w:color w:val="000000" w:themeColor="text1"/>
        </w:rPr>
        <w:t>q</w:t>
      </w:r>
      <w:r>
        <w:rPr>
          <w:rFonts w:cs="Times New Roman" w:eastAsiaTheme="minorEastAsia"/>
          <w:bCs/>
          <w:color w:val="000000" w:themeColor="text1"/>
          <w:vertAlign w:val="subscript"/>
        </w:rPr>
        <w:t>1</w:t>
      </w:r>
      <w:r>
        <w:rPr>
          <w:rFonts w:cs="Times New Roman" w:hAnsiTheme="minorEastAsia" w:eastAsiaTheme="minorEastAsia"/>
          <w:bCs/>
          <w:color w:val="000000" w:themeColor="text1"/>
        </w:rPr>
        <w:t>、</w:t>
      </w:r>
      <w:r>
        <w:rPr>
          <w:rFonts w:cs="Times New Roman" w:eastAsiaTheme="minorEastAsia"/>
          <w:bCs/>
          <w:color w:val="000000" w:themeColor="text1"/>
        </w:rPr>
        <w:t>q</w:t>
      </w:r>
      <w:r>
        <w:rPr>
          <w:rFonts w:cs="Times New Roman" w:eastAsiaTheme="minorEastAsia"/>
          <w:bCs/>
          <w:color w:val="000000" w:themeColor="text1"/>
          <w:vertAlign w:val="subscript"/>
        </w:rPr>
        <w:t>2</w:t>
      </w:r>
      <w:r>
        <w:rPr>
          <w:rFonts w:cs="Times New Roman" w:eastAsiaTheme="minorEastAsia"/>
          <w:bCs/>
          <w:color w:val="000000" w:themeColor="text1"/>
        </w:rPr>
        <w:t>…</w:t>
      </w:r>
      <w:r>
        <w:rPr>
          <w:rFonts w:cs="Times New Roman" w:hAnsiTheme="minorEastAsia" w:eastAsiaTheme="minorEastAsia"/>
          <w:bCs/>
          <w:color w:val="000000" w:themeColor="text1"/>
        </w:rPr>
        <w:t>、</w:t>
      </w:r>
      <w:r>
        <w:rPr>
          <w:rFonts w:cs="Times New Roman" w:eastAsiaTheme="minorEastAsia"/>
          <w:bCs/>
          <w:color w:val="000000" w:themeColor="text1"/>
        </w:rPr>
        <w:t>q</w:t>
      </w:r>
      <w:r>
        <w:rPr>
          <w:rFonts w:cs="Times New Roman" w:eastAsiaTheme="minorEastAsia"/>
          <w:bCs/>
          <w:color w:val="000000" w:themeColor="text1"/>
          <w:vertAlign w:val="subscript"/>
        </w:rPr>
        <w:t>n</w:t>
      </w:r>
      <w:r>
        <w:rPr>
          <w:rFonts w:cs="Times New Roman" w:eastAsiaTheme="minorEastAsia"/>
          <w:bCs/>
          <w:color w:val="000000" w:themeColor="text1"/>
        </w:rPr>
        <w:t>——</w:t>
      </w:r>
      <w:r>
        <w:rPr>
          <w:rFonts w:cs="Times New Roman" w:hAnsiTheme="minorEastAsia" w:eastAsiaTheme="minorEastAsia"/>
          <w:bCs/>
          <w:color w:val="000000" w:themeColor="text1"/>
        </w:rPr>
        <w:t>每种危险化学品最大存储量，</w:t>
      </w:r>
      <w:r>
        <w:rPr>
          <w:rFonts w:cs="Times New Roman" w:eastAsiaTheme="minorEastAsia"/>
          <w:bCs/>
          <w:color w:val="000000" w:themeColor="text1"/>
        </w:rPr>
        <w:t>t</w:t>
      </w:r>
      <w:r>
        <w:rPr>
          <w:rFonts w:cs="Times New Roman" w:hAnsiTheme="minorEastAsia" w:eastAsiaTheme="minorEastAsia"/>
          <w:bCs/>
          <w:color w:val="000000" w:themeColor="text1"/>
        </w:rPr>
        <w:t>。</w:t>
      </w:r>
    </w:p>
    <w:p>
      <w:pPr>
        <w:ind w:firstLine="1200" w:firstLineChars="500"/>
        <w:rPr>
          <w:rFonts w:cs="Times New Roman" w:eastAsiaTheme="minorEastAsia"/>
          <w:bCs/>
          <w:color w:val="000000" w:themeColor="text1"/>
        </w:rPr>
      </w:pPr>
      <w:r>
        <w:rPr>
          <w:rFonts w:cs="Times New Roman" w:eastAsiaTheme="minorEastAsia"/>
          <w:bCs/>
          <w:color w:val="000000" w:themeColor="text1"/>
        </w:rPr>
        <w:t>Q</w:t>
      </w:r>
      <w:r>
        <w:rPr>
          <w:rFonts w:cs="Times New Roman" w:eastAsiaTheme="minorEastAsia"/>
          <w:bCs/>
          <w:color w:val="000000" w:themeColor="text1"/>
          <w:vertAlign w:val="subscript"/>
        </w:rPr>
        <w:t>1</w:t>
      </w:r>
      <w:r>
        <w:rPr>
          <w:rFonts w:cs="Times New Roman" w:hAnsiTheme="minorEastAsia" w:eastAsiaTheme="minorEastAsia"/>
          <w:bCs/>
          <w:color w:val="000000" w:themeColor="text1"/>
        </w:rPr>
        <w:t>、</w:t>
      </w:r>
      <w:r>
        <w:rPr>
          <w:rFonts w:cs="Times New Roman" w:eastAsiaTheme="minorEastAsia"/>
          <w:bCs/>
          <w:color w:val="000000" w:themeColor="text1"/>
        </w:rPr>
        <w:t>Q</w:t>
      </w:r>
      <w:r>
        <w:rPr>
          <w:rFonts w:cs="Times New Roman" w:eastAsiaTheme="minorEastAsia"/>
          <w:bCs/>
          <w:color w:val="000000" w:themeColor="text1"/>
          <w:vertAlign w:val="subscript"/>
        </w:rPr>
        <w:t>2</w:t>
      </w:r>
      <w:r>
        <w:rPr>
          <w:rFonts w:cs="Times New Roman" w:eastAsiaTheme="minorEastAsia"/>
          <w:bCs/>
          <w:color w:val="000000" w:themeColor="text1"/>
        </w:rPr>
        <w:t>…</w:t>
      </w:r>
      <w:r>
        <w:rPr>
          <w:rFonts w:cs="Times New Roman" w:hAnsiTheme="minorEastAsia" w:eastAsiaTheme="minorEastAsia"/>
          <w:bCs/>
          <w:color w:val="000000" w:themeColor="text1"/>
        </w:rPr>
        <w:t>、</w:t>
      </w:r>
      <w:r>
        <w:rPr>
          <w:rFonts w:cs="Times New Roman" w:eastAsiaTheme="minorEastAsia"/>
          <w:bCs/>
          <w:color w:val="000000" w:themeColor="text1"/>
        </w:rPr>
        <w:t>Q</w:t>
      </w:r>
      <w:r>
        <w:rPr>
          <w:rFonts w:cs="Times New Roman" w:eastAsiaTheme="minorEastAsia"/>
          <w:bCs/>
          <w:color w:val="000000" w:themeColor="text1"/>
          <w:vertAlign w:val="subscript"/>
        </w:rPr>
        <w:t>n</w:t>
      </w:r>
      <w:r>
        <w:rPr>
          <w:rFonts w:cs="Times New Roman" w:eastAsiaTheme="minorEastAsia"/>
          <w:bCs/>
          <w:color w:val="000000" w:themeColor="text1"/>
        </w:rPr>
        <w:t>——</w:t>
      </w:r>
      <w:r>
        <w:rPr>
          <w:rFonts w:cs="Times New Roman" w:hAnsiTheme="minorEastAsia" w:eastAsiaTheme="minorEastAsia"/>
          <w:bCs/>
          <w:color w:val="000000" w:themeColor="text1"/>
        </w:rPr>
        <w:t>每种物质的临界量，</w:t>
      </w:r>
      <w:r>
        <w:rPr>
          <w:rFonts w:cs="Times New Roman" w:eastAsiaTheme="minorEastAsia"/>
          <w:bCs/>
          <w:color w:val="000000" w:themeColor="text1"/>
        </w:rPr>
        <w:t>t</w:t>
      </w:r>
      <w:r>
        <w:rPr>
          <w:rFonts w:cs="Times New Roman" w:hAnsiTheme="minorEastAsia" w:eastAsiaTheme="minorEastAsia"/>
          <w:bCs/>
          <w:color w:val="000000" w:themeColor="text1"/>
        </w:rPr>
        <w:t>。</w:t>
      </w:r>
    </w:p>
    <w:p>
      <w:pPr>
        <w:ind w:firstLine="480"/>
        <w:rPr>
          <w:color w:val="000000" w:themeColor="text1"/>
          <w:kern w:val="0"/>
        </w:rPr>
      </w:pPr>
      <w:r>
        <w:rPr>
          <w:rFonts w:hint="eastAsia"/>
          <w:color w:val="000000" w:themeColor="text1"/>
          <w:kern w:val="0"/>
        </w:rPr>
        <w:t>项目涉及《建设项目环境风险评价技术导则》（</w:t>
      </w:r>
      <w:r>
        <w:rPr>
          <w:color w:val="000000" w:themeColor="text1"/>
          <w:kern w:val="0"/>
        </w:rPr>
        <w:t>HJ/T 169-2018</w:t>
      </w:r>
      <w:r>
        <w:rPr>
          <w:rFonts w:hint="eastAsia"/>
          <w:color w:val="000000" w:themeColor="text1"/>
          <w:kern w:val="0"/>
        </w:rPr>
        <w:t>）附录</w:t>
      </w:r>
      <w:r>
        <w:rPr>
          <w:color w:val="000000" w:themeColor="text1"/>
          <w:kern w:val="0"/>
        </w:rPr>
        <w:t>B</w:t>
      </w:r>
      <w:r>
        <w:rPr>
          <w:rFonts w:hint="eastAsia"/>
          <w:color w:val="000000" w:themeColor="text1"/>
          <w:kern w:val="0"/>
        </w:rPr>
        <w:t>中的危险物质为次氯酸钠，主要用于厂区进场车辆消毒及污水处理站消毒，</w:t>
      </w:r>
      <w:r>
        <w:rPr>
          <w:color w:val="000000" w:themeColor="text1"/>
          <w:kern w:val="0"/>
        </w:rPr>
        <w:t>Q</w:t>
      </w:r>
      <w:r>
        <w:rPr>
          <w:rFonts w:hint="eastAsia"/>
          <w:color w:val="000000" w:themeColor="text1"/>
          <w:kern w:val="0"/>
        </w:rPr>
        <w:t>值如下表：</w:t>
      </w:r>
    </w:p>
    <w:p>
      <w:pPr>
        <w:pStyle w:val="54"/>
        <w:rPr>
          <w:color w:val="000000" w:themeColor="text1"/>
          <w:kern w:val="0"/>
          <w:sz w:val="24"/>
        </w:rPr>
      </w:pPr>
      <w:r>
        <w:rPr>
          <w:rFonts w:hint="eastAsia"/>
          <w:color w:val="000000" w:themeColor="text1"/>
          <w:kern w:val="0"/>
        </w:rPr>
        <w:t>表6.5.1-2   环境风险物质最大储存量和临界量</w:t>
      </w:r>
    </w:p>
    <w:tbl>
      <w:tblPr>
        <w:tblStyle w:val="42"/>
        <w:tblW w:w="7674" w:type="dxa"/>
        <w:jc w:val="center"/>
        <w:tblLayout w:type="fixed"/>
        <w:tblCellMar>
          <w:top w:w="0" w:type="dxa"/>
          <w:left w:w="0" w:type="dxa"/>
          <w:bottom w:w="0" w:type="dxa"/>
          <w:right w:w="0" w:type="dxa"/>
        </w:tblCellMar>
      </w:tblPr>
      <w:tblGrid>
        <w:gridCol w:w="1327"/>
        <w:gridCol w:w="921"/>
        <w:gridCol w:w="1565"/>
        <w:gridCol w:w="1082"/>
        <w:gridCol w:w="1626"/>
        <w:gridCol w:w="1153"/>
      </w:tblGrid>
      <w:tr>
        <w:tblPrEx>
          <w:tblCellMar>
            <w:top w:w="0" w:type="dxa"/>
            <w:left w:w="0" w:type="dxa"/>
            <w:bottom w:w="0" w:type="dxa"/>
            <w:right w:w="0" w:type="dxa"/>
          </w:tblCellMar>
        </w:tblPrEx>
        <w:trPr>
          <w:trHeight w:val="294" w:hRule="atLeast"/>
          <w:jc w:val="center"/>
        </w:trPr>
        <w:tc>
          <w:tcPr>
            <w:tcW w:w="1327" w:type="dxa"/>
            <w:tcBorders>
              <w:top w:val="single" w:color="000000" w:sz="4" w:space="0"/>
              <w:left w:val="single" w:color="000000" w:sz="4" w:space="0"/>
              <w:bottom w:val="single" w:color="000000" w:sz="4" w:space="0"/>
              <w:right w:val="single" w:color="000000" w:sz="4" w:space="0"/>
            </w:tcBorders>
            <w:tcMar>
              <w:top w:w="10" w:type="dxa"/>
              <w:left w:w="10" w:type="dxa"/>
              <w:bottom w:w="0" w:type="dxa"/>
              <w:right w:w="10" w:type="dxa"/>
            </w:tcMar>
            <w:vAlign w:val="center"/>
          </w:tcPr>
          <w:p>
            <w:pPr>
              <w:pStyle w:val="55"/>
              <w:rPr>
                <w:color w:val="000000" w:themeColor="text1"/>
                <w:kern w:val="0"/>
              </w:rPr>
            </w:pPr>
            <w:r>
              <w:rPr>
                <w:rFonts w:hint="eastAsia"/>
                <w:color w:val="000000" w:themeColor="text1"/>
                <w:kern w:val="0"/>
              </w:rPr>
              <w:t>风险物质</w:t>
            </w:r>
          </w:p>
        </w:tc>
        <w:tc>
          <w:tcPr>
            <w:tcW w:w="921" w:type="dxa"/>
            <w:tcBorders>
              <w:top w:val="single" w:color="000000" w:sz="4" w:space="0"/>
              <w:left w:val="single" w:color="000000" w:sz="4" w:space="0"/>
              <w:bottom w:val="single" w:color="000000" w:sz="4" w:space="0"/>
              <w:right w:val="single" w:color="000000" w:sz="4" w:space="0"/>
            </w:tcBorders>
            <w:tcMar>
              <w:top w:w="10" w:type="dxa"/>
              <w:left w:w="10" w:type="dxa"/>
              <w:bottom w:w="0" w:type="dxa"/>
              <w:right w:w="10" w:type="dxa"/>
            </w:tcMar>
            <w:vAlign w:val="center"/>
          </w:tcPr>
          <w:p>
            <w:pPr>
              <w:pStyle w:val="55"/>
              <w:rPr>
                <w:color w:val="000000" w:themeColor="text1"/>
                <w:kern w:val="0"/>
              </w:rPr>
            </w:pPr>
            <w:r>
              <w:rPr>
                <w:color w:val="000000" w:themeColor="text1"/>
                <w:kern w:val="0"/>
              </w:rPr>
              <w:t>CAS</w:t>
            </w:r>
            <w:r>
              <w:rPr>
                <w:rFonts w:hint="eastAsia"/>
                <w:color w:val="000000" w:themeColor="text1"/>
                <w:kern w:val="0"/>
              </w:rPr>
              <w:t>号</w:t>
            </w:r>
          </w:p>
        </w:tc>
        <w:tc>
          <w:tcPr>
            <w:tcW w:w="1565" w:type="dxa"/>
            <w:tcBorders>
              <w:top w:val="single" w:color="000000" w:sz="4" w:space="0"/>
              <w:left w:val="single" w:color="000000" w:sz="4" w:space="0"/>
              <w:bottom w:val="single" w:color="000000" w:sz="4" w:space="0"/>
              <w:right w:val="single" w:color="000000" w:sz="4" w:space="0"/>
            </w:tcBorders>
            <w:tcMar>
              <w:top w:w="10" w:type="dxa"/>
              <w:left w:w="10" w:type="dxa"/>
              <w:bottom w:w="0" w:type="dxa"/>
              <w:right w:w="10" w:type="dxa"/>
            </w:tcMar>
            <w:vAlign w:val="center"/>
          </w:tcPr>
          <w:p>
            <w:pPr>
              <w:pStyle w:val="55"/>
              <w:rPr>
                <w:color w:val="000000" w:themeColor="text1"/>
                <w:kern w:val="0"/>
              </w:rPr>
            </w:pPr>
            <w:r>
              <w:rPr>
                <w:rFonts w:hint="eastAsia"/>
                <w:color w:val="000000" w:themeColor="text1"/>
                <w:kern w:val="0"/>
              </w:rPr>
              <w:t>最大存储量（</w:t>
            </w:r>
            <w:r>
              <w:rPr>
                <w:color w:val="000000" w:themeColor="text1"/>
                <w:kern w:val="0"/>
              </w:rPr>
              <w:t>t</w:t>
            </w:r>
            <w:r>
              <w:rPr>
                <w:rFonts w:hint="eastAsia"/>
                <w:color w:val="000000" w:themeColor="text1"/>
                <w:kern w:val="0"/>
              </w:rPr>
              <w:t>）</w:t>
            </w:r>
          </w:p>
        </w:tc>
        <w:tc>
          <w:tcPr>
            <w:tcW w:w="1082" w:type="dxa"/>
            <w:tcBorders>
              <w:top w:val="single" w:color="000000" w:sz="4" w:space="0"/>
              <w:left w:val="single" w:color="000000" w:sz="4" w:space="0"/>
              <w:bottom w:val="single" w:color="000000" w:sz="4" w:space="0"/>
              <w:right w:val="single" w:color="000000" w:sz="4" w:space="0"/>
            </w:tcBorders>
            <w:tcMar>
              <w:top w:w="10" w:type="dxa"/>
              <w:left w:w="10" w:type="dxa"/>
              <w:bottom w:w="0" w:type="dxa"/>
              <w:right w:w="10" w:type="dxa"/>
            </w:tcMar>
            <w:vAlign w:val="center"/>
          </w:tcPr>
          <w:p>
            <w:pPr>
              <w:pStyle w:val="55"/>
              <w:rPr>
                <w:color w:val="000000" w:themeColor="text1"/>
                <w:kern w:val="0"/>
              </w:rPr>
            </w:pPr>
            <w:r>
              <w:rPr>
                <w:rFonts w:hint="eastAsia"/>
                <w:color w:val="000000" w:themeColor="text1"/>
                <w:kern w:val="0"/>
              </w:rPr>
              <w:t>临界量（</w:t>
            </w:r>
            <w:r>
              <w:rPr>
                <w:color w:val="000000" w:themeColor="text1"/>
                <w:kern w:val="0"/>
              </w:rPr>
              <w:t>t</w:t>
            </w:r>
            <w:r>
              <w:rPr>
                <w:rFonts w:hint="eastAsia"/>
                <w:color w:val="000000" w:themeColor="text1"/>
                <w:kern w:val="0"/>
              </w:rPr>
              <w:t>）</w:t>
            </w:r>
          </w:p>
        </w:tc>
        <w:tc>
          <w:tcPr>
            <w:tcW w:w="1626" w:type="dxa"/>
            <w:tcBorders>
              <w:top w:val="single" w:color="000000" w:sz="4" w:space="0"/>
              <w:left w:val="single" w:color="000000" w:sz="4" w:space="0"/>
              <w:bottom w:val="single" w:color="000000" w:sz="4" w:space="0"/>
              <w:right w:val="single" w:color="000000" w:sz="4" w:space="0"/>
            </w:tcBorders>
            <w:tcMar>
              <w:top w:w="10" w:type="dxa"/>
              <w:left w:w="10" w:type="dxa"/>
              <w:bottom w:w="0" w:type="dxa"/>
              <w:right w:w="10" w:type="dxa"/>
            </w:tcMar>
            <w:vAlign w:val="center"/>
          </w:tcPr>
          <w:p>
            <w:pPr>
              <w:pStyle w:val="55"/>
              <w:rPr>
                <w:color w:val="000000" w:themeColor="text1"/>
                <w:kern w:val="0"/>
              </w:rPr>
            </w:pPr>
            <w:r>
              <w:rPr>
                <w:rFonts w:hint="eastAsia"/>
                <w:color w:val="000000" w:themeColor="text1"/>
                <w:kern w:val="0"/>
              </w:rPr>
              <w:t>最大存在量与临界量比值</w:t>
            </w:r>
          </w:p>
        </w:tc>
        <w:tc>
          <w:tcPr>
            <w:tcW w:w="1153" w:type="dxa"/>
            <w:tcBorders>
              <w:top w:val="single" w:color="000000" w:sz="4" w:space="0"/>
              <w:left w:val="single" w:color="000000" w:sz="4" w:space="0"/>
              <w:bottom w:val="single" w:color="000000" w:sz="4" w:space="0"/>
              <w:right w:val="single" w:color="000000" w:sz="4" w:space="0"/>
            </w:tcBorders>
            <w:tcMar>
              <w:top w:w="10" w:type="dxa"/>
              <w:left w:w="10" w:type="dxa"/>
              <w:bottom w:w="0" w:type="dxa"/>
              <w:right w:w="10" w:type="dxa"/>
            </w:tcMar>
            <w:vAlign w:val="center"/>
          </w:tcPr>
          <w:p>
            <w:pPr>
              <w:pStyle w:val="55"/>
              <w:rPr>
                <w:color w:val="000000" w:themeColor="text1"/>
                <w:kern w:val="0"/>
              </w:rPr>
            </w:pPr>
            <w:r>
              <w:rPr>
                <w:rFonts w:hint="eastAsia"/>
                <w:color w:val="000000" w:themeColor="text1"/>
                <w:kern w:val="0"/>
              </w:rPr>
              <w:t>存储方式</w:t>
            </w:r>
          </w:p>
        </w:tc>
      </w:tr>
      <w:tr>
        <w:tblPrEx>
          <w:tblCellMar>
            <w:top w:w="0" w:type="dxa"/>
            <w:left w:w="0" w:type="dxa"/>
            <w:bottom w:w="0" w:type="dxa"/>
            <w:right w:w="0" w:type="dxa"/>
          </w:tblCellMar>
        </w:tblPrEx>
        <w:trPr>
          <w:trHeight w:val="461" w:hRule="atLeast"/>
          <w:jc w:val="center"/>
        </w:trPr>
        <w:tc>
          <w:tcPr>
            <w:tcW w:w="1327" w:type="dxa"/>
            <w:tcBorders>
              <w:top w:val="single" w:color="000000" w:sz="4" w:space="0"/>
              <w:left w:val="single" w:color="000000" w:sz="4" w:space="0"/>
              <w:bottom w:val="single" w:color="000000" w:sz="4" w:space="0"/>
              <w:right w:val="single" w:color="000000" w:sz="4" w:space="0"/>
            </w:tcBorders>
            <w:tcMar>
              <w:top w:w="10" w:type="dxa"/>
              <w:left w:w="10" w:type="dxa"/>
              <w:bottom w:w="0" w:type="dxa"/>
              <w:right w:w="10" w:type="dxa"/>
            </w:tcMar>
            <w:vAlign w:val="center"/>
          </w:tcPr>
          <w:p>
            <w:pPr>
              <w:pStyle w:val="55"/>
              <w:rPr>
                <w:color w:val="000000" w:themeColor="text1"/>
                <w:kern w:val="0"/>
              </w:rPr>
            </w:pPr>
            <w:r>
              <w:rPr>
                <w:rFonts w:hint="eastAsia"/>
                <w:color w:val="000000" w:themeColor="text1"/>
                <w:kern w:val="0"/>
              </w:rPr>
              <w:t>次氯酸钠</w:t>
            </w:r>
          </w:p>
        </w:tc>
        <w:tc>
          <w:tcPr>
            <w:tcW w:w="921" w:type="dxa"/>
            <w:tcBorders>
              <w:top w:val="single" w:color="000000" w:sz="4" w:space="0"/>
              <w:left w:val="single" w:color="000000" w:sz="4" w:space="0"/>
              <w:bottom w:val="single" w:color="000000" w:sz="4" w:space="0"/>
              <w:right w:val="single" w:color="000000" w:sz="4" w:space="0"/>
            </w:tcBorders>
            <w:tcMar>
              <w:top w:w="10" w:type="dxa"/>
              <w:left w:w="10" w:type="dxa"/>
              <w:bottom w:w="0" w:type="dxa"/>
              <w:right w:w="10" w:type="dxa"/>
            </w:tcMar>
            <w:vAlign w:val="center"/>
          </w:tcPr>
          <w:p>
            <w:pPr>
              <w:pStyle w:val="55"/>
              <w:rPr>
                <w:color w:val="000000" w:themeColor="text1"/>
                <w:kern w:val="0"/>
              </w:rPr>
            </w:pPr>
            <w:r>
              <w:rPr>
                <w:color w:val="000000" w:themeColor="text1"/>
              </w:rPr>
              <w:t>7681-52-9</w:t>
            </w:r>
          </w:p>
        </w:tc>
        <w:tc>
          <w:tcPr>
            <w:tcW w:w="1565" w:type="dxa"/>
            <w:tcBorders>
              <w:top w:val="single" w:color="000000" w:sz="4" w:space="0"/>
              <w:left w:val="single" w:color="000000" w:sz="4" w:space="0"/>
              <w:bottom w:val="single" w:color="000000" w:sz="4" w:space="0"/>
              <w:right w:val="single" w:color="000000" w:sz="4" w:space="0"/>
            </w:tcBorders>
            <w:tcMar>
              <w:top w:w="10" w:type="dxa"/>
              <w:left w:w="10" w:type="dxa"/>
              <w:bottom w:w="0" w:type="dxa"/>
              <w:right w:w="10" w:type="dxa"/>
            </w:tcMar>
            <w:vAlign w:val="center"/>
          </w:tcPr>
          <w:p>
            <w:pPr>
              <w:pStyle w:val="55"/>
              <w:rPr>
                <w:color w:val="000000" w:themeColor="text1"/>
                <w:kern w:val="0"/>
              </w:rPr>
            </w:pPr>
            <w:r>
              <w:rPr>
                <w:rFonts w:hint="eastAsia"/>
                <w:color w:val="000000" w:themeColor="text1"/>
                <w:kern w:val="0"/>
              </w:rPr>
              <w:t>0.5</w:t>
            </w:r>
          </w:p>
        </w:tc>
        <w:tc>
          <w:tcPr>
            <w:tcW w:w="1082" w:type="dxa"/>
            <w:tcBorders>
              <w:top w:val="single" w:color="000000" w:sz="4" w:space="0"/>
              <w:left w:val="single" w:color="000000" w:sz="4" w:space="0"/>
              <w:bottom w:val="single" w:color="000000" w:sz="4" w:space="0"/>
              <w:right w:val="single" w:color="000000" w:sz="4" w:space="0"/>
            </w:tcBorders>
            <w:tcMar>
              <w:top w:w="10" w:type="dxa"/>
              <w:left w:w="10" w:type="dxa"/>
              <w:bottom w:w="0" w:type="dxa"/>
              <w:right w:w="10" w:type="dxa"/>
            </w:tcMar>
            <w:vAlign w:val="center"/>
          </w:tcPr>
          <w:p>
            <w:pPr>
              <w:pStyle w:val="55"/>
              <w:rPr>
                <w:color w:val="000000" w:themeColor="text1"/>
                <w:kern w:val="0"/>
              </w:rPr>
            </w:pPr>
            <w:r>
              <w:rPr>
                <w:rFonts w:hint="eastAsia"/>
                <w:color w:val="000000" w:themeColor="text1"/>
                <w:kern w:val="0"/>
              </w:rPr>
              <w:t>5</w:t>
            </w:r>
          </w:p>
        </w:tc>
        <w:tc>
          <w:tcPr>
            <w:tcW w:w="1626" w:type="dxa"/>
            <w:tcBorders>
              <w:top w:val="single" w:color="000000" w:sz="4" w:space="0"/>
              <w:left w:val="single" w:color="000000" w:sz="4" w:space="0"/>
              <w:bottom w:val="single" w:color="000000" w:sz="4" w:space="0"/>
              <w:right w:val="single" w:color="000000" w:sz="4" w:space="0"/>
            </w:tcBorders>
            <w:tcMar>
              <w:top w:w="10" w:type="dxa"/>
              <w:left w:w="10" w:type="dxa"/>
              <w:bottom w:w="0" w:type="dxa"/>
              <w:right w:w="10" w:type="dxa"/>
            </w:tcMar>
            <w:vAlign w:val="center"/>
          </w:tcPr>
          <w:p>
            <w:pPr>
              <w:pStyle w:val="55"/>
              <w:rPr>
                <w:color w:val="000000" w:themeColor="text1"/>
                <w:kern w:val="0"/>
              </w:rPr>
            </w:pPr>
            <w:r>
              <w:rPr>
                <w:rFonts w:hint="eastAsia"/>
                <w:color w:val="000000" w:themeColor="text1"/>
                <w:kern w:val="0"/>
              </w:rPr>
              <w:t>0.1</w:t>
            </w:r>
          </w:p>
        </w:tc>
        <w:tc>
          <w:tcPr>
            <w:tcW w:w="1153" w:type="dxa"/>
            <w:tcBorders>
              <w:top w:val="single" w:color="000000" w:sz="4" w:space="0"/>
              <w:left w:val="single" w:color="000000" w:sz="4" w:space="0"/>
              <w:bottom w:val="single" w:color="000000" w:sz="4" w:space="0"/>
              <w:right w:val="single" w:color="000000" w:sz="4" w:space="0"/>
            </w:tcBorders>
            <w:tcMar>
              <w:top w:w="10" w:type="dxa"/>
              <w:left w:w="10" w:type="dxa"/>
              <w:bottom w:w="0" w:type="dxa"/>
              <w:right w:w="10" w:type="dxa"/>
            </w:tcMar>
            <w:vAlign w:val="center"/>
          </w:tcPr>
          <w:p>
            <w:pPr>
              <w:pStyle w:val="55"/>
              <w:rPr>
                <w:color w:val="000000" w:themeColor="text1"/>
                <w:kern w:val="0"/>
              </w:rPr>
            </w:pPr>
            <w:r>
              <w:rPr>
                <w:rFonts w:hint="eastAsia"/>
                <w:color w:val="000000" w:themeColor="text1"/>
                <w:kern w:val="0"/>
              </w:rPr>
              <w:t>桶装</w:t>
            </w:r>
          </w:p>
        </w:tc>
      </w:tr>
    </w:tbl>
    <w:p>
      <w:pPr>
        <w:ind w:firstLine="480"/>
        <w:rPr>
          <w:rFonts w:cs="Times New Roman" w:eastAsiaTheme="minorEastAsia"/>
          <w:bCs/>
          <w:color w:val="000000" w:themeColor="text1"/>
        </w:rPr>
      </w:pPr>
      <w:r>
        <w:rPr>
          <w:rFonts w:cs="Times New Roman" w:hAnsiTheme="minorEastAsia" w:eastAsiaTheme="minorEastAsia"/>
          <w:bCs/>
          <w:color w:val="000000" w:themeColor="text1"/>
        </w:rPr>
        <w:t>由</w:t>
      </w:r>
      <w:r>
        <w:rPr>
          <w:rFonts w:hint="eastAsia" w:cs="Times New Roman" w:hAnsiTheme="minorEastAsia" w:eastAsiaTheme="minorEastAsia"/>
          <w:bCs/>
          <w:color w:val="000000" w:themeColor="text1"/>
        </w:rPr>
        <w:t>上表</w:t>
      </w:r>
      <w:r>
        <w:rPr>
          <w:rFonts w:cs="Times New Roman" w:hAnsiTheme="minorEastAsia" w:eastAsiaTheme="minorEastAsia"/>
          <w:bCs/>
          <w:color w:val="000000" w:themeColor="text1"/>
        </w:rPr>
        <w:t>可知，</w:t>
      </w:r>
      <w:r>
        <w:rPr>
          <w:rFonts w:cs="Times New Roman" w:eastAsiaTheme="minorEastAsia"/>
          <w:bCs/>
          <w:color w:val="000000" w:themeColor="text1"/>
        </w:rPr>
        <w:t>Q</w:t>
      </w:r>
      <w:r>
        <w:rPr>
          <w:rFonts w:cs="Times New Roman" w:hAnsiTheme="minorEastAsia" w:eastAsiaTheme="minorEastAsia"/>
          <w:bCs/>
          <w:color w:val="000000" w:themeColor="text1"/>
        </w:rPr>
        <w:t>＜</w:t>
      </w:r>
      <w:r>
        <w:rPr>
          <w:rFonts w:cs="Times New Roman" w:eastAsiaTheme="minorEastAsia"/>
          <w:bCs/>
          <w:color w:val="000000" w:themeColor="text1"/>
        </w:rPr>
        <w:t>1</w:t>
      </w:r>
      <w:r>
        <w:rPr>
          <w:rFonts w:cs="Times New Roman" w:hAnsiTheme="minorEastAsia" w:eastAsiaTheme="minorEastAsia"/>
          <w:bCs/>
          <w:color w:val="000000" w:themeColor="text1"/>
        </w:rPr>
        <w:t>，本项目的风险潜势为</w:t>
      </w:r>
      <w:r>
        <w:rPr>
          <w:rFonts w:cs="Times New Roman" w:eastAsiaTheme="minorEastAsia"/>
          <w:bCs/>
          <w:color w:val="000000" w:themeColor="text1"/>
        </w:rPr>
        <w:fldChar w:fldCharType="begin"/>
      </w:r>
      <w:r>
        <w:rPr>
          <w:rFonts w:cs="Times New Roman" w:eastAsiaTheme="minorEastAsia"/>
          <w:bCs/>
          <w:color w:val="000000" w:themeColor="text1"/>
        </w:rPr>
        <w:instrText xml:space="preserve"> = 1 \* ROMAN </w:instrText>
      </w:r>
      <w:r>
        <w:rPr>
          <w:rFonts w:cs="Times New Roman" w:eastAsiaTheme="minorEastAsia"/>
          <w:bCs/>
          <w:color w:val="000000" w:themeColor="text1"/>
        </w:rPr>
        <w:fldChar w:fldCharType="separate"/>
      </w:r>
      <w:r>
        <w:rPr>
          <w:rFonts w:cs="Times New Roman" w:eastAsiaTheme="minorEastAsia"/>
          <w:bCs/>
          <w:color w:val="000000" w:themeColor="text1"/>
        </w:rPr>
        <w:t>I</w:t>
      </w:r>
      <w:r>
        <w:rPr>
          <w:rFonts w:cs="Times New Roman" w:eastAsiaTheme="minorEastAsia"/>
          <w:bCs/>
          <w:color w:val="000000" w:themeColor="text1"/>
        </w:rPr>
        <w:fldChar w:fldCharType="end"/>
      </w:r>
      <w:r>
        <w:rPr>
          <w:rFonts w:cs="Times New Roman" w:hAnsiTheme="minorEastAsia" w:eastAsiaTheme="minorEastAsia"/>
          <w:bCs/>
          <w:color w:val="000000" w:themeColor="text1"/>
        </w:rPr>
        <w:t>。</w:t>
      </w:r>
    </w:p>
    <w:p>
      <w:pPr>
        <w:ind w:firstLine="482"/>
        <w:rPr>
          <w:b/>
          <w:color w:val="000000" w:themeColor="text1"/>
        </w:rPr>
      </w:pPr>
      <w:r>
        <w:rPr>
          <w:b/>
          <w:color w:val="000000" w:themeColor="text1"/>
        </w:rPr>
        <w:t>3</w:t>
      </w:r>
      <w:r>
        <w:rPr>
          <w:rFonts w:hint="eastAsia"/>
          <w:b/>
          <w:color w:val="000000" w:themeColor="text1"/>
        </w:rPr>
        <w:t>、评价等级</w:t>
      </w:r>
    </w:p>
    <w:p>
      <w:pPr>
        <w:ind w:firstLine="480"/>
        <w:rPr>
          <w:color w:val="000000" w:themeColor="text1"/>
        </w:rPr>
      </w:pPr>
      <w:r>
        <w:rPr>
          <w:rFonts w:hint="eastAsia"/>
          <w:color w:val="000000" w:themeColor="text1"/>
        </w:rPr>
        <w:t>（</w:t>
      </w:r>
      <w:r>
        <w:rPr>
          <w:color w:val="000000" w:themeColor="text1"/>
        </w:rPr>
        <w:t>1</w:t>
      </w:r>
      <w:r>
        <w:rPr>
          <w:rFonts w:hint="eastAsia"/>
          <w:color w:val="000000" w:themeColor="text1"/>
        </w:rPr>
        <w:t>）评价等级</w:t>
      </w:r>
    </w:p>
    <w:p>
      <w:pPr>
        <w:ind w:firstLine="480"/>
        <w:rPr>
          <w:color w:val="000000" w:themeColor="text1"/>
        </w:rPr>
      </w:pPr>
      <w:r>
        <w:rPr>
          <w:rFonts w:hint="eastAsia"/>
          <w:color w:val="000000" w:themeColor="text1"/>
        </w:rPr>
        <w:t>其评价工作等级判别见表6.5.1-3。</w:t>
      </w:r>
    </w:p>
    <w:p>
      <w:pPr>
        <w:pStyle w:val="54"/>
        <w:rPr>
          <w:color w:val="000000" w:themeColor="text1"/>
        </w:rPr>
      </w:pPr>
      <w:r>
        <w:rPr>
          <w:rFonts w:hint="eastAsia"/>
          <w:color w:val="000000" w:themeColor="text1"/>
        </w:rPr>
        <w:t>表6.5.1-3</w:t>
      </w:r>
      <w:r>
        <w:rPr>
          <w:color w:val="000000" w:themeColor="text1"/>
        </w:rPr>
        <w:t xml:space="preserve">    </w:t>
      </w:r>
      <w:r>
        <w:rPr>
          <w:rFonts w:hint="eastAsia"/>
          <w:color w:val="000000" w:themeColor="text1"/>
        </w:rPr>
        <w:t>评价等级划分一览表</w:t>
      </w:r>
    </w:p>
    <w:tbl>
      <w:tblPr>
        <w:tblStyle w:val="42"/>
        <w:tblW w:w="73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513"/>
        <w:gridCol w:w="1401"/>
        <w:gridCol w:w="1134"/>
        <w:gridCol w:w="1276"/>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513" w:type="dxa"/>
            <w:tcMar>
              <w:top w:w="0" w:type="dxa"/>
              <w:left w:w="113" w:type="dxa"/>
              <w:bottom w:w="0" w:type="dxa"/>
              <w:right w:w="113" w:type="dxa"/>
            </w:tcMar>
            <w:vAlign w:val="center"/>
          </w:tcPr>
          <w:p>
            <w:pPr>
              <w:pStyle w:val="55"/>
              <w:rPr>
                <w:color w:val="000000" w:themeColor="text1"/>
              </w:rPr>
            </w:pPr>
            <w:r>
              <w:rPr>
                <w:rFonts w:hint="eastAsia"/>
                <w:color w:val="000000" w:themeColor="text1"/>
              </w:rPr>
              <w:t>环境风险潜势</w:t>
            </w:r>
          </w:p>
        </w:tc>
        <w:tc>
          <w:tcPr>
            <w:tcW w:w="1401" w:type="dxa"/>
            <w:tcMar>
              <w:top w:w="0" w:type="dxa"/>
              <w:left w:w="113" w:type="dxa"/>
              <w:bottom w:w="0" w:type="dxa"/>
              <w:right w:w="113" w:type="dxa"/>
            </w:tcMar>
            <w:vAlign w:val="center"/>
          </w:tcPr>
          <w:p>
            <w:pPr>
              <w:pStyle w:val="55"/>
              <w:rPr>
                <w:color w:val="000000" w:themeColor="text1"/>
              </w:rPr>
            </w:pPr>
            <w:r>
              <w:rPr>
                <w:color w:val="000000" w:themeColor="text1"/>
              </w:rPr>
              <w:fldChar w:fldCharType="begin"/>
            </w:r>
            <w:r>
              <w:rPr>
                <w:color w:val="000000" w:themeColor="text1"/>
              </w:rPr>
              <w:instrText xml:space="preserve"> = 4 \* ROMAN </w:instrText>
            </w:r>
            <w:r>
              <w:rPr>
                <w:color w:val="000000" w:themeColor="text1"/>
              </w:rPr>
              <w:fldChar w:fldCharType="separate"/>
            </w:r>
            <w:r>
              <w:rPr>
                <w:color w:val="000000" w:themeColor="text1"/>
              </w:rPr>
              <w:t>IV</w:t>
            </w:r>
            <w:r>
              <w:rPr>
                <w:color w:val="000000" w:themeColor="text1"/>
              </w:rPr>
              <w:fldChar w:fldCharType="end"/>
            </w:r>
            <w:r>
              <w:rPr>
                <w:rFonts w:hint="eastAsia"/>
                <w:color w:val="000000" w:themeColor="text1"/>
              </w:rPr>
              <w:t>、</w:t>
            </w:r>
            <w:r>
              <w:rPr>
                <w:color w:val="000000" w:themeColor="text1"/>
              </w:rPr>
              <w:fldChar w:fldCharType="begin"/>
            </w:r>
            <w:r>
              <w:rPr>
                <w:color w:val="000000" w:themeColor="text1"/>
              </w:rPr>
              <w:instrText xml:space="preserve"> = 4 \* ROMAN </w:instrText>
            </w:r>
            <w:r>
              <w:rPr>
                <w:color w:val="000000" w:themeColor="text1"/>
              </w:rPr>
              <w:fldChar w:fldCharType="separate"/>
            </w:r>
            <w:r>
              <w:rPr>
                <w:color w:val="000000" w:themeColor="text1"/>
              </w:rPr>
              <w:t>IV</w:t>
            </w:r>
            <w:r>
              <w:rPr>
                <w:color w:val="000000" w:themeColor="text1"/>
              </w:rPr>
              <w:fldChar w:fldCharType="end"/>
            </w:r>
            <w:r>
              <w:rPr>
                <w:color w:val="000000" w:themeColor="text1"/>
                <w:vertAlign w:val="superscript"/>
              </w:rPr>
              <w:t>+</w:t>
            </w:r>
          </w:p>
        </w:tc>
        <w:tc>
          <w:tcPr>
            <w:tcW w:w="1134" w:type="dxa"/>
            <w:vAlign w:val="center"/>
          </w:tcPr>
          <w:p>
            <w:pPr>
              <w:pStyle w:val="55"/>
              <w:rPr>
                <w:color w:val="000000" w:themeColor="text1"/>
              </w:rPr>
            </w:pPr>
            <w:r>
              <w:rPr>
                <w:color w:val="000000" w:themeColor="text1"/>
              </w:rPr>
              <w:fldChar w:fldCharType="begin"/>
            </w:r>
            <w:r>
              <w:rPr>
                <w:color w:val="000000" w:themeColor="text1"/>
              </w:rPr>
              <w:instrText xml:space="preserve"> = 3 \* ROMAN </w:instrText>
            </w:r>
            <w:r>
              <w:rPr>
                <w:color w:val="000000" w:themeColor="text1"/>
              </w:rPr>
              <w:fldChar w:fldCharType="separate"/>
            </w:r>
            <w:r>
              <w:rPr>
                <w:color w:val="000000" w:themeColor="text1"/>
              </w:rPr>
              <w:t>III</w:t>
            </w:r>
            <w:r>
              <w:rPr>
                <w:color w:val="000000" w:themeColor="text1"/>
              </w:rPr>
              <w:fldChar w:fldCharType="end"/>
            </w:r>
          </w:p>
        </w:tc>
        <w:tc>
          <w:tcPr>
            <w:tcW w:w="1276" w:type="dxa"/>
            <w:vAlign w:val="center"/>
          </w:tcPr>
          <w:p>
            <w:pPr>
              <w:pStyle w:val="55"/>
              <w:rPr>
                <w:color w:val="000000" w:themeColor="text1"/>
              </w:rPr>
            </w:pPr>
            <w:r>
              <w:rPr>
                <w:color w:val="000000" w:themeColor="text1"/>
              </w:rPr>
              <w:fldChar w:fldCharType="begin"/>
            </w:r>
            <w:r>
              <w:rPr>
                <w:color w:val="000000" w:themeColor="text1"/>
              </w:rPr>
              <w:instrText xml:space="preserve"> = 2 \* ROMAN </w:instrText>
            </w:r>
            <w:r>
              <w:rPr>
                <w:color w:val="000000" w:themeColor="text1"/>
              </w:rPr>
              <w:fldChar w:fldCharType="separate"/>
            </w:r>
            <w:r>
              <w:rPr>
                <w:color w:val="000000" w:themeColor="text1"/>
              </w:rPr>
              <w:t>II</w:t>
            </w:r>
            <w:r>
              <w:rPr>
                <w:color w:val="000000" w:themeColor="text1"/>
              </w:rPr>
              <w:fldChar w:fldCharType="end"/>
            </w:r>
          </w:p>
        </w:tc>
        <w:tc>
          <w:tcPr>
            <w:tcW w:w="1984" w:type="dxa"/>
            <w:vAlign w:val="center"/>
          </w:tcPr>
          <w:p>
            <w:pPr>
              <w:pStyle w:val="55"/>
              <w:rPr>
                <w:color w:val="000000" w:themeColor="text1"/>
              </w:rPr>
            </w:pPr>
            <w:r>
              <w:rPr>
                <w:color w:val="000000" w:themeColor="text1"/>
              </w:rPr>
              <w:fldChar w:fldCharType="begin"/>
            </w:r>
            <w:r>
              <w:rPr>
                <w:color w:val="000000" w:themeColor="text1"/>
              </w:rPr>
              <w:instrText xml:space="preserve"> = 1 \* ROMAN </w:instrText>
            </w:r>
            <w:r>
              <w:rPr>
                <w:color w:val="000000" w:themeColor="text1"/>
              </w:rPr>
              <w:fldChar w:fldCharType="separate"/>
            </w:r>
            <w:r>
              <w:rPr>
                <w:color w:val="000000" w:themeColor="text1"/>
              </w:rPr>
              <w:t>I</w:t>
            </w:r>
            <w:r>
              <w:rPr>
                <w:color w:val="000000" w:themeColor="text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513" w:type="dxa"/>
            <w:tcMar>
              <w:top w:w="0" w:type="dxa"/>
              <w:left w:w="113" w:type="dxa"/>
              <w:bottom w:w="0" w:type="dxa"/>
              <w:right w:w="113" w:type="dxa"/>
            </w:tcMar>
            <w:vAlign w:val="center"/>
          </w:tcPr>
          <w:p>
            <w:pPr>
              <w:pStyle w:val="55"/>
              <w:rPr>
                <w:bCs/>
                <w:color w:val="000000" w:themeColor="text1"/>
              </w:rPr>
            </w:pPr>
            <w:r>
              <w:rPr>
                <w:rFonts w:hint="eastAsia"/>
                <w:bCs/>
                <w:color w:val="000000" w:themeColor="text1"/>
              </w:rPr>
              <w:t>评价等级</w:t>
            </w:r>
          </w:p>
        </w:tc>
        <w:tc>
          <w:tcPr>
            <w:tcW w:w="1401" w:type="dxa"/>
            <w:tcMar>
              <w:top w:w="0" w:type="dxa"/>
              <w:left w:w="113" w:type="dxa"/>
              <w:bottom w:w="0" w:type="dxa"/>
              <w:right w:w="113" w:type="dxa"/>
            </w:tcMar>
            <w:vAlign w:val="center"/>
          </w:tcPr>
          <w:p>
            <w:pPr>
              <w:pStyle w:val="55"/>
              <w:rPr>
                <w:bCs/>
                <w:color w:val="000000" w:themeColor="text1"/>
              </w:rPr>
            </w:pPr>
            <w:r>
              <w:rPr>
                <w:rFonts w:hint="eastAsia"/>
                <w:bCs/>
                <w:color w:val="000000" w:themeColor="text1"/>
              </w:rPr>
              <w:t>一</w:t>
            </w:r>
          </w:p>
        </w:tc>
        <w:tc>
          <w:tcPr>
            <w:tcW w:w="1134" w:type="dxa"/>
            <w:vAlign w:val="center"/>
          </w:tcPr>
          <w:p>
            <w:pPr>
              <w:pStyle w:val="55"/>
              <w:rPr>
                <w:bCs/>
                <w:color w:val="000000" w:themeColor="text1"/>
              </w:rPr>
            </w:pPr>
            <w:r>
              <w:rPr>
                <w:rFonts w:hint="eastAsia"/>
                <w:bCs/>
                <w:color w:val="000000" w:themeColor="text1"/>
              </w:rPr>
              <w:t>二</w:t>
            </w:r>
          </w:p>
        </w:tc>
        <w:tc>
          <w:tcPr>
            <w:tcW w:w="1276" w:type="dxa"/>
            <w:vAlign w:val="center"/>
          </w:tcPr>
          <w:p>
            <w:pPr>
              <w:pStyle w:val="55"/>
              <w:rPr>
                <w:bCs/>
                <w:color w:val="000000" w:themeColor="text1"/>
              </w:rPr>
            </w:pPr>
            <w:r>
              <w:rPr>
                <w:rFonts w:hint="eastAsia"/>
                <w:bCs/>
                <w:color w:val="000000" w:themeColor="text1"/>
              </w:rPr>
              <w:t>三</w:t>
            </w:r>
          </w:p>
        </w:tc>
        <w:tc>
          <w:tcPr>
            <w:tcW w:w="1984" w:type="dxa"/>
            <w:shd w:val="clear" w:color="auto" w:fill="D9E2F3"/>
            <w:vAlign w:val="center"/>
          </w:tcPr>
          <w:p>
            <w:pPr>
              <w:pStyle w:val="55"/>
              <w:rPr>
                <w:bCs/>
                <w:color w:val="000000" w:themeColor="text1"/>
              </w:rPr>
            </w:pPr>
            <w:r>
              <w:rPr>
                <w:rFonts w:hint="eastAsia"/>
                <w:bCs/>
                <w:color w:val="000000" w:themeColor="text1"/>
              </w:rPr>
              <w:t>简单分析</w:t>
            </w:r>
            <w:r>
              <w:rPr>
                <w:bCs/>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7308" w:type="dxa"/>
            <w:gridSpan w:val="5"/>
            <w:tcMar>
              <w:top w:w="0" w:type="dxa"/>
              <w:left w:w="113" w:type="dxa"/>
              <w:bottom w:w="0" w:type="dxa"/>
              <w:right w:w="113" w:type="dxa"/>
            </w:tcMar>
            <w:vAlign w:val="center"/>
          </w:tcPr>
          <w:p>
            <w:pPr>
              <w:pStyle w:val="55"/>
              <w:rPr>
                <w:bCs/>
                <w:color w:val="000000" w:themeColor="text1"/>
              </w:rPr>
            </w:pPr>
            <w:r>
              <w:rPr>
                <w:bCs/>
                <w:color w:val="000000" w:themeColor="text1"/>
              </w:rPr>
              <w:t>*</w:t>
            </w:r>
            <w:r>
              <w:rPr>
                <w:rFonts w:hint="eastAsia"/>
                <w:bCs/>
                <w:color w:val="000000" w:themeColor="text1"/>
              </w:rPr>
              <w:t>是相对于详细评价工作内容而言，在描述危险物质、环境影响途径、环境危害后果、风险防范措施等方面给出定性的说明。</w:t>
            </w:r>
          </w:p>
        </w:tc>
      </w:tr>
    </w:tbl>
    <w:p>
      <w:pPr>
        <w:ind w:firstLine="480"/>
        <w:rPr>
          <w:rFonts w:cs="Times New Roman"/>
          <w:color w:val="000000" w:themeColor="text1"/>
        </w:rPr>
      </w:pPr>
      <w:r>
        <w:rPr>
          <w:rFonts w:hint="eastAsia"/>
          <w:color w:val="000000" w:themeColor="text1"/>
        </w:rPr>
        <w:t>由于本项目的风险潜势值为</w:t>
      </w:r>
      <w:r>
        <w:rPr>
          <w:color w:val="000000" w:themeColor="text1"/>
        </w:rPr>
        <w:fldChar w:fldCharType="begin"/>
      </w:r>
      <w:r>
        <w:rPr>
          <w:color w:val="000000" w:themeColor="text1"/>
        </w:rPr>
        <w:instrText xml:space="preserve"> = 1 \* ROMAN </w:instrText>
      </w:r>
      <w:r>
        <w:rPr>
          <w:color w:val="000000" w:themeColor="text1"/>
        </w:rPr>
        <w:fldChar w:fldCharType="separate"/>
      </w:r>
      <w:r>
        <w:rPr>
          <w:color w:val="000000" w:themeColor="text1"/>
        </w:rPr>
        <w:t>I</w:t>
      </w:r>
      <w:r>
        <w:rPr>
          <w:color w:val="000000" w:themeColor="text1"/>
        </w:rPr>
        <w:fldChar w:fldCharType="end"/>
      </w:r>
      <w:r>
        <w:rPr>
          <w:rFonts w:hint="eastAsia"/>
          <w:color w:val="000000" w:themeColor="text1"/>
        </w:rPr>
        <w:t>，根据上表可知，本项目风险只需要进行简单风险分析，给出定性的说明。</w:t>
      </w:r>
    </w:p>
    <w:p>
      <w:pPr>
        <w:ind w:firstLine="480"/>
        <w:rPr>
          <w:color w:val="000000" w:themeColor="text1"/>
        </w:rPr>
      </w:pPr>
      <w:r>
        <w:rPr>
          <w:rFonts w:hint="eastAsia"/>
          <w:color w:val="000000" w:themeColor="text1"/>
        </w:rPr>
        <w:t>根据《建设项目环境风险评价技术导则》（</w:t>
      </w:r>
      <w:r>
        <w:rPr>
          <w:color w:val="000000" w:themeColor="text1"/>
        </w:rPr>
        <w:t>HJ169-2018</w:t>
      </w:r>
      <w:r>
        <w:rPr>
          <w:rFonts w:hint="eastAsia"/>
          <w:color w:val="000000" w:themeColor="text1"/>
        </w:rPr>
        <w:t>），中关于大气环境风险评价范围的确定，简单分析的项目未做评价范围的要求，本次风险评价范围参考大气评价范围，详见下表。</w:t>
      </w:r>
    </w:p>
    <w:p>
      <w:pPr>
        <w:pStyle w:val="54"/>
        <w:rPr>
          <w:color w:val="000000" w:themeColor="text1"/>
        </w:rPr>
      </w:pPr>
      <w:r>
        <w:rPr>
          <w:rFonts w:hint="eastAsia"/>
          <w:color w:val="000000" w:themeColor="text1"/>
        </w:rPr>
        <w:t>表6.5.1-4</w:t>
      </w:r>
      <w:r>
        <w:rPr>
          <w:color w:val="000000" w:themeColor="text1"/>
        </w:rPr>
        <w:t xml:space="preserve">  </w:t>
      </w:r>
      <w:r>
        <w:rPr>
          <w:rFonts w:hint="eastAsia"/>
          <w:color w:val="000000" w:themeColor="text1"/>
        </w:rPr>
        <w:t>环境敏感目标调查</w:t>
      </w:r>
    </w:p>
    <w:tbl>
      <w:tblPr>
        <w:tblStyle w:val="42"/>
        <w:tblW w:w="83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47"/>
        <w:gridCol w:w="1755"/>
        <w:gridCol w:w="1128"/>
        <w:gridCol w:w="1838"/>
        <w:gridCol w:w="1137"/>
        <w:gridCol w:w="14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2" w:hRule="atLeast"/>
          <w:tblHeader/>
          <w:jc w:val="center"/>
        </w:trPr>
        <w:tc>
          <w:tcPr>
            <w:tcW w:w="1047" w:type="dxa"/>
            <w:vMerge w:val="restart"/>
            <w:vAlign w:val="center"/>
          </w:tcPr>
          <w:p>
            <w:pPr>
              <w:pStyle w:val="55"/>
              <w:rPr>
                <w:color w:val="000000" w:themeColor="text1"/>
              </w:rPr>
            </w:pPr>
            <w:r>
              <w:rPr>
                <w:rFonts w:hint="eastAsia"/>
                <w:color w:val="000000" w:themeColor="text1"/>
              </w:rPr>
              <w:t>名称</w:t>
            </w:r>
          </w:p>
        </w:tc>
        <w:tc>
          <w:tcPr>
            <w:tcW w:w="1755" w:type="dxa"/>
            <w:vMerge w:val="restart"/>
            <w:vAlign w:val="center"/>
          </w:tcPr>
          <w:p>
            <w:pPr>
              <w:pStyle w:val="55"/>
              <w:rPr>
                <w:color w:val="000000" w:themeColor="text1"/>
              </w:rPr>
            </w:pPr>
            <w:r>
              <w:rPr>
                <w:rFonts w:hint="eastAsia"/>
                <w:color w:val="000000" w:themeColor="text1"/>
              </w:rPr>
              <w:t>保护对象</w:t>
            </w:r>
          </w:p>
        </w:tc>
        <w:tc>
          <w:tcPr>
            <w:tcW w:w="1128" w:type="dxa"/>
            <w:vMerge w:val="restart"/>
            <w:vAlign w:val="center"/>
          </w:tcPr>
          <w:p>
            <w:pPr>
              <w:pStyle w:val="55"/>
              <w:rPr>
                <w:color w:val="000000" w:themeColor="text1"/>
              </w:rPr>
            </w:pPr>
            <w:r>
              <w:rPr>
                <w:rFonts w:hint="eastAsia"/>
                <w:color w:val="000000" w:themeColor="text1"/>
              </w:rPr>
              <w:t>保护内容</w:t>
            </w:r>
          </w:p>
        </w:tc>
        <w:tc>
          <w:tcPr>
            <w:tcW w:w="1838" w:type="dxa"/>
            <w:vMerge w:val="restart"/>
            <w:vAlign w:val="center"/>
          </w:tcPr>
          <w:p>
            <w:pPr>
              <w:pStyle w:val="55"/>
              <w:rPr>
                <w:color w:val="000000" w:themeColor="text1"/>
              </w:rPr>
            </w:pPr>
            <w:r>
              <w:rPr>
                <w:rFonts w:hint="eastAsia"/>
                <w:color w:val="000000" w:themeColor="text1"/>
              </w:rPr>
              <w:t>环境功能区</w:t>
            </w:r>
          </w:p>
        </w:tc>
        <w:tc>
          <w:tcPr>
            <w:tcW w:w="1137" w:type="dxa"/>
            <w:vMerge w:val="restart"/>
            <w:vAlign w:val="center"/>
          </w:tcPr>
          <w:p>
            <w:pPr>
              <w:pStyle w:val="55"/>
              <w:rPr>
                <w:color w:val="000000" w:themeColor="text1"/>
              </w:rPr>
            </w:pPr>
            <w:r>
              <w:rPr>
                <w:rFonts w:hint="eastAsia"/>
                <w:color w:val="000000" w:themeColor="text1"/>
              </w:rPr>
              <w:t>相对厂址方位</w:t>
            </w:r>
          </w:p>
        </w:tc>
        <w:tc>
          <w:tcPr>
            <w:tcW w:w="1451" w:type="dxa"/>
            <w:vMerge w:val="restart"/>
            <w:vAlign w:val="center"/>
          </w:tcPr>
          <w:p>
            <w:pPr>
              <w:pStyle w:val="55"/>
              <w:rPr>
                <w:color w:val="000000" w:themeColor="text1"/>
              </w:rPr>
            </w:pPr>
            <w:r>
              <w:rPr>
                <w:rFonts w:hint="eastAsia"/>
                <w:color w:val="000000" w:themeColor="text1"/>
              </w:rPr>
              <w:t>相对厂界距离</w:t>
            </w:r>
            <w:r>
              <w:rPr>
                <w:color w:val="000000" w:themeColor="text1"/>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jc w:val="center"/>
        </w:trPr>
        <w:tc>
          <w:tcPr>
            <w:tcW w:w="1047" w:type="dxa"/>
            <w:vMerge w:val="continue"/>
            <w:vAlign w:val="center"/>
          </w:tcPr>
          <w:p>
            <w:pPr>
              <w:pStyle w:val="55"/>
              <w:rPr>
                <w:color w:val="000000" w:themeColor="text1"/>
              </w:rPr>
            </w:pPr>
          </w:p>
        </w:tc>
        <w:tc>
          <w:tcPr>
            <w:tcW w:w="1755" w:type="dxa"/>
            <w:vMerge w:val="continue"/>
            <w:vAlign w:val="center"/>
          </w:tcPr>
          <w:p>
            <w:pPr>
              <w:pStyle w:val="55"/>
              <w:rPr>
                <w:color w:val="000000" w:themeColor="text1"/>
              </w:rPr>
            </w:pPr>
          </w:p>
        </w:tc>
        <w:tc>
          <w:tcPr>
            <w:tcW w:w="1128" w:type="dxa"/>
            <w:vMerge w:val="continue"/>
            <w:vAlign w:val="center"/>
          </w:tcPr>
          <w:p>
            <w:pPr>
              <w:pStyle w:val="55"/>
              <w:rPr>
                <w:color w:val="000000" w:themeColor="text1"/>
              </w:rPr>
            </w:pPr>
          </w:p>
        </w:tc>
        <w:tc>
          <w:tcPr>
            <w:tcW w:w="1838" w:type="dxa"/>
            <w:vMerge w:val="continue"/>
            <w:vAlign w:val="center"/>
          </w:tcPr>
          <w:p>
            <w:pPr>
              <w:pStyle w:val="55"/>
              <w:rPr>
                <w:color w:val="000000" w:themeColor="text1"/>
              </w:rPr>
            </w:pPr>
          </w:p>
        </w:tc>
        <w:tc>
          <w:tcPr>
            <w:tcW w:w="1137" w:type="dxa"/>
            <w:vMerge w:val="continue"/>
            <w:vAlign w:val="center"/>
          </w:tcPr>
          <w:p>
            <w:pPr>
              <w:pStyle w:val="55"/>
              <w:rPr>
                <w:color w:val="000000" w:themeColor="text1"/>
              </w:rPr>
            </w:pPr>
          </w:p>
        </w:tc>
        <w:tc>
          <w:tcPr>
            <w:tcW w:w="1451" w:type="dxa"/>
            <w:vMerge w:val="continue"/>
            <w:vAlign w:val="center"/>
          </w:tcPr>
          <w:p>
            <w:pPr>
              <w:pStyle w:val="55"/>
              <w:rPr>
                <w:color w:val="000000" w:themeColor="text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1047" w:type="dxa"/>
            <w:vAlign w:val="center"/>
          </w:tcPr>
          <w:p>
            <w:pPr>
              <w:pStyle w:val="55"/>
              <w:rPr>
                <w:color w:val="000000" w:themeColor="text1"/>
              </w:rPr>
            </w:pPr>
            <w:r>
              <w:rPr>
                <w:color w:val="000000" w:themeColor="text1"/>
              </w:rPr>
              <w:t>小龙白</w:t>
            </w:r>
          </w:p>
        </w:tc>
        <w:tc>
          <w:tcPr>
            <w:tcW w:w="1755" w:type="dxa"/>
            <w:vAlign w:val="center"/>
          </w:tcPr>
          <w:p>
            <w:pPr>
              <w:pStyle w:val="55"/>
              <w:rPr>
                <w:color w:val="000000" w:themeColor="text1"/>
              </w:rPr>
            </w:pPr>
            <w:r>
              <w:rPr>
                <w:rFonts w:hint="eastAsia"/>
                <w:color w:val="000000" w:themeColor="text1"/>
              </w:rPr>
              <w:t>62户，</w:t>
            </w:r>
            <w:r>
              <w:rPr>
                <w:color w:val="000000" w:themeColor="text1"/>
              </w:rPr>
              <w:t>2</w:t>
            </w:r>
            <w:r>
              <w:rPr>
                <w:rFonts w:hint="eastAsia"/>
                <w:color w:val="000000" w:themeColor="text1"/>
              </w:rPr>
              <w:t>42人</w:t>
            </w:r>
          </w:p>
        </w:tc>
        <w:tc>
          <w:tcPr>
            <w:tcW w:w="1128" w:type="dxa"/>
            <w:vAlign w:val="center"/>
          </w:tcPr>
          <w:p>
            <w:pPr>
              <w:pStyle w:val="55"/>
              <w:rPr>
                <w:color w:val="000000" w:themeColor="text1"/>
              </w:rPr>
            </w:pPr>
            <w:r>
              <w:rPr>
                <w:rFonts w:hint="eastAsia"/>
                <w:color w:val="000000" w:themeColor="text1"/>
              </w:rPr>
              <w:t>人群</w:t>
            </w:r>
          </w:p>
        </w:tc>
        <w:tc>
          <w:tcPr>
            <w:tcW w:w="1838" w:type="dxa"/>
            <w:vMerge w:val="restart"/>
            <w:vAlign w:val="center"/>
          </w:tcPr>
          <w:p>
            <w:pPr>
              <w:pStyle w:val="55"/>
              <w:rPr>
                <w:rFonts w:cs="Calibri"/>
                <w:color w:val="000000" w:themeColor="text1"/>
              </w:rPr>
            </w:pPr>
            <w:r>
              <w:rPr>
                <w:rFonts w:hint="eastAsia" w:cs="Calibri"/>
                <w:color w:val="000000" w:themeColor="text1"/>
              </w:rPr>
              <w:t>《环境空气质量标准》（</w:t>
            </w:r>
            <w:r>
              <w:rPr>
                <w:rFonts w:cs="Calibri"/>
                <w:color w:val="000000" w:themeColor="text1"/>
              </w:rPr>
              <w:t>GB3095-2012</w:t>
            </w:r>
            <w:r>
              <w:rPr>
                <w:rFonts w:hint="eastAsia" w:cs="Calibri"/>
                <w:color w:val="000000" w:themeColor="text1"/>
              </w:rPr>
              <w:t>）二级</w:t>
            </w:r>
          </w:p>
        </w:tc>
        <w:tc>
          <w:tcPr>
            <w:tcW w:w="1137" w:type="dxa"/>
            <w:vAlign w:val="center"/>
          </w:tcPr>
          <w:p>
            <w:pPr>
              <w:pStyle w:val="55"/>
              <w:rPr>
                <w:color w:val="000000" w:themeColor="text1"/>
              </w:rPr>
            </w:pPr>
            <w:r>
              <w:rPr>
                <w:rFonts w:hint="eastAsia"/>
                <w:color w:val="000000" w:themeColor="text1"/>
              </w:rPr>
              <w:t>东南侧</w:t>
            </w:r>
          </w:p>
        </w:tc>
        <w:tc>
          <w:tcPr>
            <w:tcW w:w="1451" w:type="dxa"/>
            <w:vAlign w:val="center"/>
          </w:tcPr>
          <w:p>
            <w:pPr>
              <w:pStyle w:val="55"/>
              <w:rPr>
                <w:color w:val="000000" w:themeColor="text1"/>
              </w:rPr>
            </w:pPr>
            <w:r>
              <w:rPr>
                <w:rFonts w:hint="eastAsia"/>
                <w:color w:val="000000" w:themeColor="text1"/>
              </w:rPr>
              <w:t>500</w:t>
            </w:r>
            <w:r>
              <w:rPr>
                <w:color w:val="000000" w:themeColor="text1"/>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1047" w:type="dxa"/>
            <w:vAlign w:val="center"/>
          </w:tcPr>
          <w:p>
            <w:pPr>
              <w:pStyle w:val="55"/>
              <w:rPr>
                <w:color w:val="000000" w:themeColor="text1"/>
              </w:rPr>
            </w:pPr>
            <w:r>
              <w:rPr>
                <w:color w:val="000000" w:themeColor="text1"/>
              </w:rPr>
              <w:t>上舍克</w:t>
            </w:r>
          </w:p>
        </w:tc>
        <w:tc>
          <w:tcPr>
            <w:tcW w:w="1755" w:type="dxa"/>
            <w:vAlign w:val="center"/>
          </w:tcPr>
          <w:p>
            <w:pPr>
              <w:pStyle w:val="55"/>
              <w:rPr>
                <w:color w:val="000000" w:themeColor="text1"/>
              </w:rPr>
            </w:pPr>
            <w:r>
              <w:rPr>
                <w:rFonts w:hint="eastAsia"/>
                <w:color w:val="000000" w:themeColor="text1"/>
              </w:rPr>
              <w:t>88户，353人</w:t>
            </w:r>
          </w:p>
        </w:tc>
        <w:tc>
          <w:tcPr>
            <w:tcW w:w="1128" w:type="dxa"/>
            <w:vAlign w:val="center"/>
          </w:tcPr>
          <w:p>
            <w:pPr>
              <w:pStyle w:val="55"/>
              <w:rPr>
                <w:color w:val="000000" w:themeColor="text1"/>
              </w:rPr>
            </w:pPr>
            <w:r>
              <w:rPr>
                <w:rFonts w:hint="eastAsia"/>
                <w:color w:val="000000" w:themeColor="text1"/>
              </w:rPr>
              <w:t>人群</w:t>
            </w:r>
          </w:p>
        </w:tc>
        <w:tc>
          <w:tcPr>
            <w:tcW w:w="1838" w:type="dxa"/>
            <w:vMerge w:val="continue"/>
            <w:vAlign w:val="center"/>
          </w:tcPr>
          <w:p>
            <w:pPr>
              <w:pStyle w:val="55"/>
              <w:rPr>
                <w:color w:val="000000" w:themeColor="text1"/>
              </w:rPr>
            </w:pPr>
          </w:p>
        </w:tc>
        <w:tc>
          <w:tcPr>
            <w:tcW w:w="1137" w:type="dxa"/>
            <w:vAlign w:val="center"/>
          </w:tcPr>
          <w:p>
            <w:pPr>
              <w:pStyle w:val="55"/>
              <w:rPr>
                <w:color w:val="000000" w:themeColor="text1"/>
              </w:rPr>
            </w:pPr>
            <w:r>
              <w:rPr>
                <w:rFonts w:hint="eastAsia"/>
                <w:color w:val="000000" w:themeColor="text1"/>
              </w:rPr>
              <w:t>西南侧</w:t>
            </w:r>
          </w:p>
        </w:tc>
        <w:tc>
          <w:tcPr>
            <w:tcW w:w="1451" w:type="dxa"/>
            <w:vAlign w:val="center"/>
          </w:tcPr>
          <w:p>
            <w:pPr>
              <w:pStyle w:val="55"/>
              <w:rPr>
                <w:color w:val="000000" w:themeColor="text1"/>
              </w:rPr>
            </w:pPr>
            <w:r>
              <w:rPr>
                <w:rFonts w:hint="eastAsia"/>
                <w:color w:val="000000" w:themeColor="text1"/>
              </w:rPr>
              <w:t>1337</w:t>
            </w:r>
            <w:r>
              <w:rPr>
                <w:color w:val="000000" w:themeColor="text1"/>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1047" w:type="dxa"/>
            <w:vAlign w:val="center"/>
          </w:tcPr>
          <w:p>
            <w:pPr>
              <w:pStyle w:val="55"/>
              <w:rPr>
                <w:color w:val="000000" w:themeColor="text1"/>
              </w:rPr>
            </w:pPr>
            <w:r>
              <w:rPr>
                <w:color w:val="000000" w:themeColor="text1"/>
              </w:rPr>
              <w:t>白龙山</w:t>
            </w:r>
          </w:p>
        </w:tc>
        <w:tc>
          <w:tcPr>
            <w:tcW w:w="1755" w:type="dxa"/>
            <w:vAlign w:val="center"/>
          </w:tcPr>
          <w:p>
            <w:pPr>
              <w:pStyle w:val="55"/>
              <w:rPr>
                <w:color w:val="000000" w:themeColor="text1"/>
              </w:rPr>
            </w:pPr>
            <w:r>
              <w:rPr>
                <w:rFonts w:hint="eastAsia"/>
                <w:color w:val="000000" w:themeColor="text1"/>
              </w:rPr>
              <w:t>265户，1225人</w:t>
            </w:r>
          </w:p>
        </w:tc>
        <w:tc>
          <w:tcPr>
            <w:tcW w:w="1128" w:type="dxa"/>
            <w:vAlign w:val="center"/>
          </w:tcPr>
          <w:p>
            <w:pPr>
              <w:pStyle w:val="55"/>
              <w:rPr>
                <w:color w:val="000000" w:themeColor="text1"/>
              </w:rPr>
            </w:pPr>
            <w:r>
              <w:rPr>
                <w:rFonts w:hint="eastAsia"/>
                <w:color w:val="000000" w:themeColor="text1"/>
              </w:rPr>
              <w:t>人群</w:t>
            </w:r>
          </w:p>
        </w:tc>
        <w:tc>
          <w:tcPr>
            <w:tcW w:w="1838" w:type="dxa"/>
            <w:vMerge w:val="continue"/>
            <w:vAlign w:val="center"/>
          </w:tcPr>
          <w:p>
            <w:pPr>
              <w:pStyle w:val="55"/>
              <w:rPr>
                <w:color w:val="000000" w:themeColor="text1"/>
              </w:rPr>
            </w:pPr>
          </w:p>
        </w:tc>
        <w:tc>
          <w:tcPr>
            <w:tcW w:w="1137" w:type="dxa"/>
            <w:vAlign w:val="center"/>
          </w:tcPr>
          <w:p>
            <w:pPr>
              <w:pStyle w:val="55"/>
              <w:rPr>
                <w:color w:val="000000" w:themeColor="text1"/>
              </w:rPr>
            </w:pPr>
            <w:r>
              <w:rPr>
                <w:rFonts w:hint="eastAsia"/>
                <w:color w:val="000000" w:themeColor="text1"/>
              </w:rPr>
              <w:t>南侧</w:t>
            </w:r>
          </w:p>
        </w:tc>
        <w:tc>
          <w:tcPr>
            <w:tcW w:w="1451" w:type="dxa"/>
            <w:vAlign w:val="center"/>
          </w:tcPr>
          <w:p>
            <w:pPr>
              <w:pStyle w:val="55"/>
              <w:rPr>
                <w:color w:val="000000" w:themeColor="text1"/>
              </w:rPr>
            </w:pPr>
            <w:r>
              <w:rPr>
                <w:rFonts w:hint="eastAsia"/>
                <w:color w:val="000000" w:themeColor="text1"/>
              </w:rPr>
              <w:t>2132</w:t>
            </w:r>
            <w:r>
              <w:rPr>
                <w:color w:val="000000" w:themeColor="text1"/>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1047" w:type="dxa"/>
            <w:vAlign w:val="center"/>
          </w:tcPr>
          <w:p>
            <w:pPr>
              <w:pStyle w:val="55"/>
              <w:rPr>
                <w:color w:val="000000" w:themeColor="text1"/>
              </w:rPr>
            </w:pPr>
            <w:r>
              <w:rPr>
                <w:color w:val="000000" w:themeColor="text1"/>
              </w:rPr>
              <w:t>永忠</w:t>
            </w:r>
          </w:p>
        </w:tc>
        <w:tc>
          <w:tcPr>
            <w:tcW w:w="1755" w:type="dxa"/>
            <w:vAlign w:val="center"/>
          </w:tcPr>
          <w:p>
            <w:pPr>
              <w:pStyle w:val="55"/>
              <w:rPr>
                <w:color w:val="000000" w:themeColor="text1"/>
              </w:rPr>
            </w:pPr>
            <w:r>
              <w:rPr>
                <w:rFonts w:hint="eastAsia"/>
                <w:color w:val="000000" w:themeColor="text1"/>
              </w:rPr>
              <w:t>14户，78人</w:t>
            </w:r>
          </w:p>
        </w:tc>
        <w:tc>
          <w:tcPr>
            <w:tcW w:w="1128" w:type="dxa"/>
            <w:vAlign w:val="center"/>
          </w:tcPr>
          <w:p>
            <w:pPr>
              <w:pStyle w:val="55"/>
              <w:rPr>
                <w:color w:val="000000" w:themeColor="text1"/>
              </w:rPr>
            </w:pPr>
            <w:r>
              <w:rPr>
                <w:rFonts w:hint="eastAsia"/>
                <w:color w:val="000000" w:themeColor="text1"/>
              </w:rPr>
              <w:t>人群</w:t>
            </w:r>
          </w:p>
        </w:tc>
        <w:tc>
          <w:tcPr>
            <w:tcW w:w="1838" w:type="dxa"/>
            <w:vMerge w:val="continue"/>
            <w:vAlign w:val="center"/>
          </w:tcPr>
          <w:p>
            <w:pPr>
              <w:pStyle w:val="55"/>
              <w:rPr>
                <w:color w:val="000000" w:themeColor="text1"/>
              </w:rPr>
            </w:pPr>
          </w:p>
        </w:tc>
        <w:tc>
          <w:tcPr>
            <w:tcW w:w="1137" w:type="dxa"/>
            <w:vAlign w:val="center"/>
          </w:tcPr>
          <w:p>
            <w:pPr>
              <w:pStyle w:val="55"/>
              <w:rPr>
                <w:color w:val="000000" w:themeColor="text1"/>
              </w:rPr>
            </w:pPr>
            <w:r>
              <w:rPr>
                <w:rFonts w:hint="eastAsia"/>
                <w:color w:val="000000" w:themeColor="text1"/>
              </w:rPr>
              <w:t>东南侧</w:t>
            </w:r>
          </w:p>
        </w:tc>
        <w:tc>
          <w:tcPr>
            <w:tcW w:w="1451" w:type="dxa"/>
            <w:vAlign w:val="center"/>
          </w:tcPr>
          <w:p>
            <w:pPr>
              <w:pStyle w:val="55"/>
              <w:rPr>
                <w:color w:val="000000" w:themeColor="text1"/>
              </w:rPr>
            </w:pPr>
            <w:r>
              <w:rPr>
                <w:rFonts w:hint="eastAsia"/>
                <w:color w:val="000000" w:themeColor="text1"/>
              </w:rPr>
              <w:t>2055</w:t>
            </w:r>
            <w:r>
              <w:rPr>
                <w:color w:val="000000" w:themeColor="text1"/>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1047" w:type="dxa"/>
            <w:vAlign w:val="center"/>
          </w:tcPr>
          <w:p>
            <w:pPr>
              <w:pStyle w:val="55"/>
              <w:rPr>
                <w:color w:val="000000" w:themeColor="text1"/>
              </w:rPr>
            </w:pPr>
            <w:r>
              <w:rPr>
                <w:color w:val="000000" w:themeColor="text1"/>
              </w:rPr>
              <w:t>布标</w:t>
            </w:r>
          </w:p>
        </w:tc>
        <w:tc>
          <w:tcPr>
            <w:tcW w:w="1755" w:type="dxa"/>
            <w:vAlign w:val="center"/>
          </w:tcPr>
          <w:p>
            <w:pPr>
              <w:pStyle w:val="55"/>
              <w:rPr>
                <w:color w:val="000000" w:themeColor="text1"/>
              </w:rPr>
            </w:pPr>
            <w:r>
              <w:rPr>
                <w:rFonts w:hint="eastAsia"/>
                <w:color w:val="000000" w:themeColor="text1"/>
              </w:rPr>
              <w:t>353户，1801人</w:t>
            </w:r>
          </w:p>
        </w:tc>
        <w:tc>
          <w:tcPr>
            <w:tcW w:w="1128" w:type="dxa"/>
            <w:vAlign w:val="center"/>
          </w:tcPr>
          <w:p>
            <w:pPr>
              <w:pStyle w:val="55"/>
              <w:rPr>
                <w:color w:val="000000" w:themeColor="text1"/>
              </w:rPr>
            </w:pPr>
            <w:r>
              <w:rPr>
                <w:rFonts w:hint="eastAsia"/>
                <w:color w:val="000000" w:themeColor="text1"/>
              </w:rPr>
              <w:t>人群</w:t>
            </w:r>
          </w:p>
        </w:tc>
        <w:tc>
          <w:tcPr>
            <w:tcW w:w="1838" w:type="dxa"/>
            <w:vMerge w:val="continue"/>
            <w:vAlign w:val="center"/>
          </w:tcPr>
          <w:p>
            <w:pPr>
              <w:pStyle w:val="55"/>
              <w:rPr>
                <w:color w:val="000000" w:themeColor="text1"/>
              </w:rPr>
            </w:pPr>
          </w:p>
        </w:tc>
        <w:tc>
          <w:tcPr>
            <w:tcW w:w="1137" w:type="dxa"/>
            <w:vAlign w:val="center"/>
          </w:tcPr>
          <w:p>
            <w:pPr>
              <w:pStyle w:val="55"/>
              <w:rPr>
                <w:color w:val="000000" w:themeColor="text1"/>
              </w:rPr>
            </w:pPr>
            <w:r>
              <w:rPr>
                <w:rFonts w:hint="eastAsia"/>
                <w:color w:val="000000" w:themeColor="text1"/>
              </w:rPr>
              <w:t>东南侧</w:t>
            </w:r>
          </w:p>
        </w:tc>
        <w:tc>
          <w:tcPr>
            <w:tcW w:w="1451" w:type="dxa"/>
            <w:vAlign w:val="center"/>
          </w:tcPr>
          <w:p>
            <w:pPr>
              <w:pStyle w:val="55"/>
              <w:rPr>
                <w:color w:val="000000" w:themeColor="text1"/>
              </w:rPr>
            </w:pPr>
            <w:r>
              <w:rPr>
                <w:rFonts w:hint="eastAsia"/>
                <w:color w:val="000000" w:themeColor="text1"/>
              </w:rPr>
              <w:t>1653</w:t>
            </w:r>
            <w:r>
              <w:rPr>
                <w:color w:val="000000" w:themeColor="text1"/>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1047" w:type="dxa"/>
            <w:vAlign w:val="center"/>
          </w:tcPr>
          <w:p>
            <w:pPr>
              <w:pStyle w:val="55"/>
              <w:rPr>
                <w:color w:val="000000" w:themeColor="text1"/>
              </w:rPr>
            </w:pPr>
            <w:r>
              <w:rPr>
                <w:color w:val="000000" w:themeColor="text1"/>
              </w:rPr>
              <w:t>小舍克</w:t>
            </w:r>
          </w:p>
        </w:tc>
        <w:tc>
          <w:tcPr>
            <w:tcW w:w="1755" w:type="dxa"/>
            <w:vAlign w:val="center"/>
          </w:tcPr>
          <w:p>
            <w:pPr>
              <w:pStyle w:val="55"/>
              <w:rPr>
                <w:color w:val="000000" w:themeColor="text1"/>
              </w:rPr>
            </w:pPr>
            <w:r>
              <w:rPr>
                <w:rFonts w:hint="eastAsia"/>
                <w:color w:val="000000" w:themeColor="text1"/>
              </w:rPr>
              <w:t>202户，895人</w:t>
            </w:r>
          </w:p>
        </w:tc>
        <w:tc>
          <w:tcPr>
            <w:tcW w:w="1128" w:type="dxa"/>
            <w:vAlign w:val="center"/>
          </w:tcPr>
          <w:p>
            <w:pPr>
              <w:pStyle w:val="55"/>
              <w:rPr>
                <w:color w:val="000000" w:themeColor="text1"/>
              </w:rPr>
            </w:pPr>
            <w:r>
              <w:rPr>
                <w:rFonts w:hint="eastAsia"/>
                <w:color w:val="000000" w:themeColor="text1"/>
              </w:rPr>
              <w:t>人群</w:t>
            </w:r>
          </w:p>
        </w:tc>
        <w:tc>
          <w:tcPr>
            <w:tcW w:w="1838" w:type="dxa"/>
            <w:vMerge w:val="continue"/>
            <w:vAlign w:val="center"/>
          </w:tcPr>
          <w:p>
            <w:pPr>
              <w:pStyle w:val="55"/>
              <w:rPr>
                <w:color w:val="000000" w:themeColor="text1"/>
              </w:rPr>
            </w:pPr>
          </w:p>
        </w:tc>
        <w:tc>
          <w:tcPr>
            <w:tcW w:w="1137" w:type="dxa"/>
            <w:vAlign w:val="center"/>
          </w:tcPr>
          <w:p>
            <w:pPr>
              <w:pStyle w:val="55"/>
              <w:rPr>
                <w:color w:val="000000" w:themeColor="text1"/>
              </w:rPr>
            </w:pPr>
            <w:r>
              <w:rPr>
                <w:rFonts w:hint="eastAsia"/>
                <w:color w:val="000000" w:themeColor="text1"/>
              </w:rPr>
              <w:t>西北侧</w:t>
            </w:r>
          </w:p>
        </w:tc>
        <w:tc>
          <w:tcPr>
            <w:tcW w:w="1451" w:type="dxa"/>
            <w:vAlign w:val="center"/>
          </w:tcPr>
          <w:p>
            <w:pPr>
              <w:pStyle w:val="55"/>
              <w:rPr>
                <w:color w:val="000000" w:themeColor="text1"/>
              </w:rPr>
            </w:pPr>
            <w:r>
              <w:rPr>
                <w:rFonts w:hint="eastAsia"/>
                <w:color w:val="000000" w:themeColor="text1"/>
              </w:rPr>
              <w:t>1644</w:t>
            </w:r>
            <w:r>
              <w:rPr>
                <w:color w:val="000000" w:themeColor="text1"/>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1047" w:type="dxa"/>
            <w:vAlign w:val="center"/>
          </w:tcPr>
          <w:p>
            <w:pPr>
              <w:pStyle w:val="55"/>
              <w:rPr>
                <w:color w:val="000000" w:themeColor="text1"/>
              </w:rPr>
            </w:pPr>
            <w:r>
              <w:rPr>
                <w:color w:val="000000" w:themeColor="text1"/>
              </w:rPr>
              <w:t>碧云村</w:t>
            </w:r>
          </w:p>
        </w:tc>
        <w:tc>
          <w:tcPr>
            <w:tcW w:w="1755" w:type="dxa"/>
            <w:vAlign w:val="center"/>
          </w:tcPr>
          <w:p>
            <w:pPr>
              <w:pStyle w:val="55"/>
              <w:rPr>
                <w:color w:val="000000" w:themeColor="text1"/>
              </w:rPr>
            </w:pPr>
            <w:r>
              <w:rPr>
                <w:rFonts w:hint="eastAsia"/>
                <w:color w:val="000000" w:themeColor="text1"/>
              </w:rPr>
              <w:t>400户，1895人</w:t>
            </w:r>
          </w:p>
        </w:tc>
        <w:tc>
          <w:tcPr>
            <w:tcW w:w="1128" w:type="dxa"/>
            <w:vAlign w:val="center"/>
          </w:tcPr>
          <w:p>
            <w:pPr>
              <w:pStyle w:val="55"/>
              <w:rPr>
                <w:color w:val="000000" w:themeColor="text1"/>
              </w:rPr>
            </w:pPr>
            <w:r>
              <w:rPr>
                <w:rFonts w:hint="eastAsia"/>
                <w:color w:val="000000" w:themeColor="text1"/>
              </w:rPr>
              <w:t>人群</w:t>
            </w:r>
          </w:p>
        </w:tc>
        <w:tc>
          <w:tcPr>
            <w:tcW w:w="1838" w:type="dxa"/>
            <w:vMerge w:val="continue"/>
            <w:vAlign w:val="center"/>
          </w:tcPr>
          <w:p>
            <w:pPr>
              <w:pStyle w:val="55"/>
              <w:rPr>
                <w:color w:val="000000" w:themeColor="text1"/>
              </w:rPr>
            </w:pPr>
          </w:p>
        </w:tc>
        <w:tc>
          <w:tcPr>
            <w:tcW w:w="1137" w:type="dxa"/>
            <w:vAlign w:val="center"/>
          </w:tcPr>
          <w:p>
            <w:pPr>
              <w:pStyle w:val="55"/>
              <w:rPr>
                <w:color w:val="000000" w:themeColor="text1"/>
              </w:rPr>
            </w:pPr>
            <w:r>
              <w:rPr>
                <w:rFonts w:hint="eastAsia"/>
                <w:color w:val="000000" w:themeColor="text1"/>
              </w:rPr>
              <w:t>东北侧</w:t>
            </w:r>
          </w:p>
        </w:tc>
        <w:tc>
          <w:tcPr>
            <w:tcW w:w="1451" w:type="dxa"/>
            <w:vAlign w:val="center"/>
          </w:tcPr>
          <w:p>
            <w:pPr>
              <w:pStyle w:val="55"/>
              <w:rPr>
                <w:color w:val="000000" w:themeColor="text1"/>
              </w:rPr>
            </w:pPr>
            <w:r>
              <w:rPr>
                <w:rFonts w:hint="eastAsia"/>
                <w:color w:val="000000" w:themeColor="text1"/>
              </w:rPr>
              <w:t>2600</w:t>
            </w:r>
            <w:r>
              <w:rPr>
                <w:color w:val="000000" w:themeColor="text1"/>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1047" w:type="dxa"/>
            <w:vAlign w:val="center"/>
          </w:tcPr>
          <w:p>
            <w:pPr>
              <w:pStyle w:val="55"/>
              <w:rPr>
                <w:color w:val="000000" w:themeColor="text1"/>
              </w:rPr>
            </w:pPr>
            <w:r>
              <w:rPr>
                <w:rFonts w:hint="eastAsia"/>
                <w:color w:val="000000" w:themeColor="text1"/>
              </w:rPr>
              <w:t>听湖水库</w:t>
            </w:r>
          </w:p>
        </w:tc>
        <w:tc>
          <w:tcPr>
            <w:tcW w:w="1755" w:type="dxa"/>
            <w:vAlign w:val="center"/>
          </w:tcPr>
          <w:p>
            <w:pPr>
              <w:pStyle w:val="55"/>
              <w:rPr>
                <w:color w:val="000000" w:themeColor="text1"/>
              </w:rPr>
            </w:pPr>
            <w:r>
              <w:rPr>
                <w:color w:val="000000" w:themeColor="text1"/>
              </w:rPr>
              <w:t>/</w:t>
            </w:r>
          </w:p>
        </w:tc>
        <w:tc>
          <w:tcPr>
            <w:tcW w:w="1128" w:type="dxa"/>
            <w:vAlign w:val="center"/>
          </w:tcPr>
          <w:p>
            <w:pPr>
              <w:pStyle w:val="55"/>
              <w:rPr>
                <w:color w:val="000000" w:themeColor="text1"/>
              </w:rPr>
            </w:pPr>
            <w:r>
              <w:rPr>
                <w:rFonts w:hint="eastAsia"/>
                <w:color w:val="000000" w:themeColor="text1"/>
              </w:rPr>
              <w:t>地表水</w:t>
            </w:r>
          </w:p>
        </w:tc>
        <w:tc>
          <w:tcPr>
            <w:tcW w:w="1838" w:type="dxa"/>
            <w:vAlign w:val="center"/>
          </w:tcPr>
          <w:p>
            <w:pPr>
              <w:pStyle w:val="55"/>
              <w:rPr>
                <w:rFonts w:cs="Calibri"/>
                <w:color w:val="000000" w:themeColor="text1"/>
              </w:rPr>
            </w:pPr>
            <w:r>
              <w:rPr>
                <w:rFonts w:hint="eastAsia" w:cs="Calibri"/>
                <w:color w:val="000000" w:themeColor="text1"/>
              </w:rPr>
              <w:t>《地表水环境质量标准》（</w:t>
            </w:r>
            <w:r>
              <w:rPr>
                <w:rFonts w:cs="Calibri"/>
                <w:color w:val="000000" w:themeColor="text1"/>
              </w:rPr>
              <w:t>GB3838-2002</w:t>
            </w:r>
            <w:r>
              <w:rPr>
                <w:rFonts w:hint="eastAsia" w:cs="Calibri"/>
                <w:color w:val="000000" w:themeColor="text1"/>
              </w:rPr>
              <w:t>）</w:t>
            </w:r>
            <w:r>
              <w:rPr>
                <w:rFonts w:cs="Calibri"/>
                <w:color w:val="000000" w:themeColor="text1"/>
              </w:rPr>
              <w:t>III</w:t>
            </w:r>
            <w:r>
              <w:rPr>
                <w:rFonts w:hint="eastAsia" w:cs="Calibri"/>
                <w:color w:val="000000" w:themeColor="text1"/>
              </w:rPr>
              <w:t>类</w:t>
            </w:r>
          </w:p>
        </w:tc>
        <w:tc>
          <w:tcPr>
            <w:tcW w:w="1137" w:type="dxa"/>
            <w:vAlign w:val="center"/>
          </w:tcPr>
          <w:p>
            <w:pPr>
              <w:pStyle w:val="55"/>
              <w:rPr>
                <w:color w:val="000000" w:themeColor="text1"/>
              </w:rPr>
            </w:pPr>
            <w:r>
              <w:rPr>
                <w:rFonts w:hint="eastAsia"/>
                <w:color w:val="000000" w:themeColor="text1"/>
              </w:rPr>
              <w:t>东南侧</w:t>
            </w:r>
          </w:p>
        </w:tc>
        <w:tc>
          <w:tcPr>
            <w:tcW w:w="1451" w:type="dxa"/>
            <w:vAlign w:val="center"/>
          </w:tcPr>
          <w:p>
            <w:pPr>
              <w:pStyle w:val="55"/>
              <w:rPr>
                <w:color w:val="000000" w:themeColor="text1"/>
              </w:rPr>
            </w:pPr>
            <w:r>
              <w:rPr>
                <w:rFonts w:hint="eastAsia"/>
                <w:color w:val="000000" w:themeColor="text1"/>
              </w:rPr>
              <w:t>3715m</w:t>
            </w:r>
          </w:p>
        </w:tc>
      </w:tr>
    </w:tbl>
    <w:p>
      <w:pPr>
        <w:pStyle w:val="38"/>
        <w:ind w:firstLine="281"/>
        <w:rPr>
          <w:color w:val="000000" w:themeColor="text1"/>
        </w:rPr>
      </w:pPr>
      <w:bookmarkStart w:id="235" w:name="_Toc47375878"/>
      <w:r>
        <w:rPr>
          <w:rFonts w:hint="eastAsia"/>
          <w:color w:val="000000" w:themeColor="text1"/>
        </w:rPr>
        <w:t>6.5.2环境风险识别</w:t>
      </w:r>
      <w:bookmarkEnd w:id="235"/>
    </w:p>
    <w:p>
      <w:pPr>
        <w:spacing w:line="520" w:lineRule="exact"/>
        <w:ind w:firstLine="480"/>
        <w:rPr>
          <w:rFonts w:ascii="Calibri" w:hAnsi="Calibri" w:cs="Calibri"/>
          <w:color w:val="000000" w:themeColor="text1"/>
        </w:rPr>
      </w:pPr>
      <w:r>
        <w:rPr>
          <w:rFonts w:hint="eastAsia" w:ascii="Calibri" w:hAnsi="Calibri" w:cs="Calibri"/>
          <w:color w:val="000000" w:themeColor="text1"/>
        </w:rPr>
        <w:t>（</w:t>
      </w:r>
      <w:r>
        <w:rPr>
          <w:rFonts w:ascii="Calibri" w:hAnsi="Calibri" w:cs="Calibri"/>
          <w:color w:val="000000" w:themeColor="text1"/>
        </w:rPr>
        <w:t>1</w:t>
      </w:r>
      <w:r>
        <w:rPr>
          <w:rFonts w:hint="eastAsia" w:ascii="Calibri" w:hAnsi="Calibri" w:cs="Calibri"/>
          <w:color w:val="000000" w:themeColor="text1"/>
        </w:rPr>
        <w:t>）风险物质识别</w:t>
      </w:r>
    </w:p>
    <w:p>
      <w:pPr>
        <w:ind w:firstLine="480"/>
        <w:rPr>
          <w:color w:val="000000" w:themeColor="text1"/>
        </w:rPr>
      </w:pPr>
      <w:r>
        <w:rPr>
          <w:rFonts w:hint="eastAsia"/>
          <w:color w:val="000000" w:themeColor="text1"/>
        </w:rPr>
        <w:t>项目涉及的风险物质主要为次氯酸钠，其理化性质及毒性小详见表6.5.1-5。</w:t>
      </w:r>
    </w:p>
    <w:p>
      <w:pPr>
        <w:pStyle w:val="54"/>
        <w:rPr>
          <w:color w:val="000000" w:themeColor="text1"/>
        </w:rPr>
      </w:pPr>
      <w:r>
        <w:rPr>
          <w:rFonts w:hint="eastAsia"/>
          <w:color w:val="000000" w:themeColor="text1"/>
        </w:rPr>
        <w:t>表6.5.1-5  次氯酸钠的危险特性及理化性质</w:t>
      </w:r>
    </w:p>
    <w:tbl>
      <w:tblPr>
        <w:tblStyle w:val="42"/>
        <w:tblW w:w="8292" w:type="dxa"/>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8" w:type="dxa"/>
          <w:bottom w:w="0" w:type="dxa"/>
          <w:right w:w="108" w:type="dxa"/>
        </w:tblCellMar>
      </w:tblPr>
      <w:tblGrid>
        <w:gridCol w:w="476"/>
        <w:gridCol w:w="1448"/>
        <w:gridCol w:w="709"/>
        <w:gridCol w:w="461"/>
        <w:gridCol w:w="184"/>
        <w:gridCol w:w="1056"/>
        <w:gridCol w:w="220"/>
        <w:gridCol w:w="772"/>
        <w:gridCol w:w="503"/>
        <w:gridCol w:w="1276"/>
        <w:gridCol w:w="64"/>
        <w:gridCol w:w="1123"/>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99" w:hRule="atLeast"/>
          <w:jc w:val="center"/>
        </w:trPr>
        <w:tc>
          <w:tcPr>
            <w:tcW w:w="476" w:type="dxa"/>
            <w:vMerge w:val="restart"/>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rFonts w:hint="eastAsia"/>
                <w:color w:val="000000" w:themeColor="text1"/>
              </w:rPr>
              <w:t>标识</w:t>
            </w:r>
          </w:p>
        </w:tc>
        <w:tc>
          <w:tcPr>
            <w:tcW w:w="5353" w:type="dxa"/>
            <w:gridSpan w:val="8"/>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rFonts w:hint="eastAsia"/>
                <w:color w:val="000000" w:themeColor="text1"/>
              </w:rPr>
              <w:t>中文名：次氯酸钠溶液</w:t>
            </w:r>
            <w:r>
              <w:rPr>
                <w:color w:val="000000" w:themeColor="text1"/>
              </w:rPr>
              <w:t>[</w:t>
            </w:r>
            <w:r>
              <w:rPr>
                <w:rFonts w:hint="eastAsia"/>
                <w:color w:val="000000" w:themeColor="text1"/>
              </w:rPr>
              <w:t>含有效氯＞</w:t>
            </w:r>
            <w:r>
              <w:rPr>
                <w:color w:val="000000" w:themeColor="text1"/>
              </w:rPr>
              <w:t>5%]</w:t>
            </w:r>
            <w:r>
              <w:rPr>
                <w:rFonts w:hint="eastAsia"/>
                <w:color w:val="000000" w:themeColor="text1"/>
              </w:rPr>
              <w:t>；漂白水</w:t>
            </w:r>
          </w:p>
        </w:tc>
        <w:tc>
          <w:tcPr>
            <w:tcW w:w="2463" w:type="dxa"/>
            <w:gridSpan w:val="3"/>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rFonts w:hint="eastAsia"/>
                <w:color w:val="000000" w:themeColor="text1"/>
              </w:rPr>
              <w:t>危险货物编号：</w:t>
            </w:r>
            <w:r>
              <w:rPr>
                <w:color w:val="000000" w:themeColor="text1"/>
              </w:rPr>
              <w:t>83501</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75" w:hRule="atLeast"/>
          <w:jc w:val="center"/>
        </w:trPr>
        <w:tc>
          <w:tcPr>
            <w:tcW w:w="476" w:type="dxa"/>
            <w:vMerge w:val="continue"/>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p>
        </w:tc>
        <w:tc>
          <w:tcPr>
            <w:tcW w:w="5353" w:type="dxa"/>
            <w:gridSpan w:val="8"/>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szCs w:val="21"/>
              </w:rPr>
            </w:pPr>
            <w:r>
              <w:rPr>
                <w:rFonts w:hint="eastAsia"/>
                <w:color w:val="000000" w:themeColor="text1"/>
                <w:szCs w:val="21"/>
              </w:rPr>
              <w:t>英文名：</w:t>
            </w:r>
            <w:r>
              <w:rPr>
                <w:rFonts w:hint="eastAsia" w:ascii="宋体" w:hAnsi="宋体"/>
                <w:color w:val="000000" w:themeColor="text1"/>
                <w:szCs w:val="21"/>
              </w:rPr>
              <w:t>Sodium hypochlorite solution containing more than 5% available chlorine；Javele</w:t>
            </w:r>
          </w:p>
        </w:tc>
        <w:tc>
          <w:tcPr>
            <w:tcW w:w="2463" w:type="dxa"/>
            <w:gridSpan w:val="3"/>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color w:val="000000" w:themeColor="text1"/>
              </w:rPr>
              <w:t>UN</w:t>
            </w:r>
            <w:r>
              <w:rPr>
                <w:rFonts w:hint="eastAsia"/>
                <w:color w:val="000000" w:themeColor="text1"/>
              </w:rPr>
              <w:t>编号：</w:t>
            </w:r>
            <w:r>
              <w:rPr>
                <w:color w:val="000000" w:themeColor="text1"/>
              </w:rPr>
              <w:t>1791</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51" w:hRule="atLeast"/>
          <w:jc w:val="center"/>
        </w:trPr>
        <w:tc>
          <w:tcPr>
            <w:tcW w:w="476" w:type="dxa"/>
            <w:vMerge w:val="continue"/>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p>
        </w:tc>
        <w:tc>
          <w:tcPr>
            <w:tcW w:w="2802" w:type="dxa"/>
            <w:gridSpan w:val="4"/>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rFonts w:hint="eastAsia"/>
                <w:color w:val="000000" w:themeColor="text1"/>
              </w:rPr>
              <w:t>分子式：</w:t>
            </w:r>
            <w:r>
              <w:rPr>
                <w:color w:val="000000" w:themeColor="text1"/>
              </w:rPr>
              <w:t>NaClO</w:t>
            </w:r>
          </w:p>
        </w:tc>
        <w:tc>
          <w:tcPr>
            <w:tcW w:w="2551" w:type="dxa"/>
            <w:gridSpan w:val="4"/>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rFonts w:hint="eastAsia"/>
                <w:color w:val="000000" w:themeColor="text1"/>
              </w:rPr>
              <w:t>分子量：</w:t>
            </w:r>
            <w:r>
              <w:rPr>
                <w:color w:val="000000" w:themeColor="text1"/>
              </w:rPr>
              <w:t>74.44</w:t>
            </w:r>
          </w:p>
        </w:tc>
        <w:tc>
          <w:tcPr>
            <w:tcW w:w="2463" w:type="dxa"/>
            <w:gridSpan w:val="3"/>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color w:val="000000" w:themeColor="text1"/>
              </w:rPr>
              <w:t>CAS</w:t>
            </w:r>
            <w:r>
              <w:rPr>
                <w:rFonts w:hint="eastAsia"/>
                <w:color w:val="000000" w:themeColor="text1"/>
              </w:rPr>
              <w:t>号：</w:t>
            </w:r>
            <w:r>
              <w:rPr>
                <w:color w:val="000000" w:themeColor="text1"/>
              </w:rPr>
              <w:t>7681-52-9</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26" w:hRule="atLeast"/>
          <w:jc w:val="center"/>
        </w:trPr>
        <w:tc>
          <w:tcPr>
            <w:tcW w:w="476" w:type="dxa"/>
            <w:vMerge w:val="restart"/>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rFonts w:hint="eastAsia"/>
                <w:color w:val="000000" w:themeColor="text1"/>
              </w:rPr>
              <w:t>理化性质</w:t>
            </w:r>
          </w:p>
        </w:tc>
        <w:tc>
          <w:tcPr>
            <w:tcW w:w="1448" w:type="dxa"/>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rFonts w:hint="eastAsia"/>
                <w:color w:val="000000" w:themeColor="text1"/>
              </w:rPr>
              <w:t>外观与性状</w:t>
            </w:r>
          </w:p>
        </w:tc>
        <w:tc>
          <w:tcPr>
            <w:tcW w:w="6368" w:type="dxa"/>
            <w:gridSpan w:val="10"/>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rFonts w:hint="eastAsia"/>
                <w:color w:val="000000" w:themeColor="text1"/>
              </w:rPr>
              <w:t>微黄色溶液，有似氯气的气味。</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357" w:hRule="atLeast"/>
          <w:jc w:val="center"/>
        </w:trPr>
        <w:tc>
          <w:tcPr>
            <w:tcW w:w="476" w:type="dxa"/>
            <w:vMerge w:val="continue"/>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p>
        </w:tc>
        <w:tc>
          <w:tcPr>
            <w:tcW w:w="1448" w:type="dxa"/>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rFonts w:hint="eastAsia"/>
                <w:color w:val="000000" w:themeColor="text1"/>
              </w:rPr>
              <w:t>熔点（</w:t>
            </w:r>
            <w:r>
              <w:rPr>
                <w:rFonts w:hint="eastAsia" w:ascii="宋体" w:hAnsi="宋体" w:cs="宋体"/>
                <w:color w:val="000000" w:themeColor="text1"/>
              </w:rPr>
              <w:t>℃</w:t>
            </w:r>
            <w:r>
              <w:rPr>
                <w:rFonts w:hint="eastAsia"/>
                <w:color w:val="000000" w:themeColor="text1"/>
              </w:rPr>
              <w:t>）</w:t>
            </w:r>
          </w:p>
        </w:tc>
        <w:tc>
          <w:tcPr>
            <w:tcW w:w="709" w:type="dxa"/>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color w:val="000000" w:themeColor="text1"/>
              </w:rPr>
              <w:t>-6</w:t>
            </w:r>
          </w:p>
        </w:tc>
        <w:tc>
          <w:tcPr>
            <w:tcW w:w="1701" w:type="dxa"/>
            <w:gridSpan w:val="3"/>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rFonts w:hint="eastAsia"/>
                <w:color w:val="000000" w:themeColor="text1"/>
              </w:rPr>
              <w:t>相对密度</w:t>
            </w:r>
            <w:r>
              <w:rPr>
                <w:color w:val="000000" w:themeColor="text1"/>
              </w:rPr>
              <w:t>(</w:t>
            </w:r>
            <w:r>
              <w:rPr>
                <w:rFonts w:hint="eastAsia"/>
                <w:color w:val="000000" w:themeColor="text1"/>
              </w:rPr>
              <w:t>水</w:t>
            </w:r>
            <w:r>
              <w:rPr>
                <w:color w:val="000000" w:themeColor="text1"/>
              </w:rPr>
              <w:t>=1)</w:t>
            </w:r>
          </w:p>
        </w:tc>
        <w:tc>
          <w:tcPr>
            <w:tcW w:w="992" w:type="dxa"/>
            <w:gridSpan w:val="2"/>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color w:val="000000" w:themeColor="text1"/>
              </w:rPr>
              <w:t>1.10</w:t>
            </w:r>
          </w:p>
        </w:tc>
        <w:tc>
          <w:tcPr>
            <w:tcW w:w="1843" w:type="dxa"/>
            <w:gridSpan w:val="3"/>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rFonts w:hint="eastAsia"/>
                <w:color w:val="000000" w:themeColor="text1"/>
              </w:rPr>
              <w:t>相对密度</w:t>
            </w:r>
            <w:r>
              <w:rPr>
                <w:color w:val="000000" w:themeColor="text1"/>
              </w:rPr>
              <w:t>(</w:t>
            </w:r>
            <w:r>
              <w:rPr>
                <w:rFonts w:hint="eastAsia"/>
                <w:color w:val="000000" w:themeColor="text1"/>
              </w:rPr>
              <w:t>空气</w:t>
            </w:r>
            <w:r>
              <w:rPr>
                <w:color w:val="000000" w:themeColor="text1"/>
              </w:rPr>
              <w:t>=1)</w:t>
            </w:r>
          </w:p>
        </w:tc>
        <w:tc>
          <w:tcPr>
            <w:tcW w:w="1123" w:type="dxa"/>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color w:val="000000" w:themeColor="text1"/>
              </w:rPr>
              <w:t>/</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306" w:hRule="atLeast"/>
          <w:jc w:val="center"/>
        </w:trPr>
        <w:tc>
          <w:tcPr>
            <w:tcW w:w="476" w:type="dxa"/>
            <w:vMerge w:val="continue"/>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p>
        </w:tc>
        <w:tc>
          <w:tcPr>
            <w:tcW w:w="1448" w:type="dxa"/>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rFonts w:hint="eastAsia"/>
                <w:color w:val="000000" w:themeColor="text1"/>
              </w:rPr>
              <w:t>沸点（</w:t>
            </w:r>
            <w:r>
              <w:rPr>
                <w:rFonts w:hint="eastAsia" w:ascii="宋体" w:hAnsi="宋体" w:cs="宋体"/>
                <w:color w:val="000000" w:themeColor="text1"/>
              </w:rPr>
              <w:t>℃</w:t>
            </w:r>
            <w:r>
              <w:rPr>
                <w:rFonts w:hint="eastAsia"/>
                <w:color w:val="000000" w:themeColor="text1"/>
              </w:rPr>
              <w:t>）</w:t>
            </w:r>
          </w:p>
        </w:tc>
        <w:tc>
          <w:tcPr>
            <w:tcW w:w="1170" w:type="dxa"/>
            <w:gridSpan w:val="2"/>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color w:val="000000" w:themeColor="text1"/>
              </w:rPr>
              <w:t>102.2</w:t>
            </w:r>
          </w:p>
        </w:tc>
        <w:tc>
          <w:tcPr>
            <w:tcW w:w="2735" w:type="dxa"/>
            <w:gridSpan w:val="5"/>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rFonts w:hint="eastAsia"/>
                <w:color w:val="000000" w:themeColor="text1"/>
              </w:rPr>
              <w:t>饱和蒸气压（</w:t>
            </w:r>
            <w:r>
              <w:rPr>
                <w:color w:val="000000" w:themeColor="text1"/>
              </w:rPr>
              <w:t>kPa</w:t>
            </w:r>
            <w:r>
              <w:rPr>
                <w:rFonts w:hint="eastAsia"/>
                <w:color w:val="000000" w:themeColor="text1"/>
              </w:rPr>
              <w:t>）</w:t>
            </w:r>
          </w:p>
        </w:tc>
        <w:tc>
          <w:tcPr>
            <w:tcW w:w="2463" w:type="dxa"/>
            <w:gridSpan w:val="3"/>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color w:val="000000" w:themeColor="text1"/>
              </w:rPr>
              <w:t>/</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68" w:hRule="atLeast"/>
          <w:jc w:val="center"/>
        </w:trPr>
        <w:tc>
          <w:tcPr>
            <w:tcW w:w="476" w:type="dxa"/>
            <w:vMerge w:val="continue"/>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p>
        </w:tc>
        <w:tc>
          <w:tcPr>
            <w:tcW w:w="1448" w:type="dxa"/>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rFonts w:hint="eastAsia"/>
                <w:color w:val="000000" w:themeColor="text1"/>
              </w:rPr>
              <w:t>溶解性</w:t>
            </w:r>
          </w:p>
        </w:tc>
        <w:tc>
          <w:tcPr>
            <w:tcW w:w="6368" w:type="dxa"/>
            <w:gridSpan w:val="10"/>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rFonts w:hint="eastAsia"/>
                <w:color w:val="000000" w:themeColor="text1"/>
              </w:rPr>
              <w:t>溶于水。</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70" w:hRule="atLeast"/>
          <w:jc w:val="center"/>
        </w:trPr>
        <w:tc>
          <w:tcPr>
            <w:tcW w:w="476" w:type="dxa"/>
            <w:vMerge w:val="restart"/>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rFonts w:hint="eastAsia"/>
                <w:color w:val="000000" w:themeColor="text1"/>
              </w:rPr>
              <w:t>毒性及健康危害</w:t>
            </w:r>
          </w:p>
        </w:tc>
        <w:tc>
          <w:tcPr>
            <w:tcW w:w="1448" w:type="dxa"/>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rFonts w:hint="eastAsia"/>
                <w:color w:val="000000" w:themeColor="text1"/>
              </w:rPr>
              <w:t>侵入途径</w:t>
            </w:r>
          </w:p>
        </w:tc>
        <w:tc>
          <w:tcPr>
            <w:tcW w:w="6368" w:type="dxa"/>
            <w:gridSpan w:val="10"/>
            <w:tcBorders>
              <w:top w:val="single" w:color="auto" w:sz="6" w:space="0"/>
              <w:left w:val="single" w:color="auto" w:sz="6" w:space="0"/>
              <w:bottom w:val="single" w:color="auto" w:sz="6" w:space="0"/>
              <w:right w:val="single" w:color="auto" w:sz="4" w:space="0"/>
            </w:tcBorders>
            <w:vAlign w:val="center"/>
          </w:tcPr>
          <w:p>
            <w:pPr>
              <w:pStyle w:val="55"/>
              <w:rPr>
                <w:rFonts w:asciiTheme="minorHAnsi" w:hAnsiTheme="minorHAnsi" w:eastAsiaTheme="minorEastAsia"/>
                <w:color w:val="000000" w:themeColor="text1"/>
              </w:rPr>
            </w:pPr>
            <w:r>
              <w:rPr>
                <w:rFonts w:hint="eastAsia"/>
                <w:color w:val="000000" w:themeColor="text1"/>
              </w:rPr>
              <w:t>吸入、食入、经皮吸收。</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15" w:hRule="atLeast"/>
          <w:jc w:val="center"/>
        </w:trPr>
        <w:tc>
          <w:tcPr>
            <w:tcW w:w="476" w:type="dxa"/>
            <w:vMerge w:val="continue"/>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p>
        </w:tc>
        <w:tc>
          <w:tcPr>
            <w:tcW w:w="1448" w:type="dxa"/>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rFonts w:hint="eastAsia"/>
                <w:color w:val="000000" w:themeColor="text1"/>
              </w:rPr>
              <w:t>毒性</w:t>
            </w:r>
          </w:p>
        </w:tc>
        <w:tc>
          <w:tcPr>
            <w:tcW w:w="6368" w:type="dxa"/>
            <w:gridSpan w:val="10"/>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color w:val="000000" w:themeColor="text1"/>
              </w:rPr>
              <w:t xml:space="preserve"> LD</w:t>
            </w:r>
            <w:r>
              <w:rPr>
                <w:color w:val="000000" w:themeColor="text1"/>
                <w:vertAlign w:val="subscript"/>
              </w:rPr>
              <w:t>50</w:t>
            </w:r>
            <w:r>
              <w:rPr>
                <w:rFonts w:hint="eastAsia"/>
                <w:color w:val="000000" w:themeColor="text1"/>
              </w:rPr>
              <w:t>：</w:t>
            </w:r>
            <w:r>
              <w:rPr>
                <w:color w:val="000000" w:themeColor="text1"/>
              </w:rPr>
              <w:t>5800mg/kg(</w:t>
            </w:r>
            <w:r>
              <w:rPr>
                <w:rFonts w:hint="eastAsia"/>
                <w:color w:val="000000" w:themeColor="text1"/>
              </w:rPr>
              <w:t>小鼠经口</w:t>
            </w:r>
            <w:r>
              <w:rPr>
                <w:color w:val="000000" w:themeColor="text1"/>
              </w:rPr>
              <w:t>)</w:t>
            </w:r>
            <w:r>
              <w:rPr>
                <w:rFonts w:hint="eastAsia"/>
                <w:color w:val="000000" w:themeColor="text1"/>
              </w:rPr>
              <w:t>；</w:t>
            </w:r>
            <w:r>
              <w:rPr>
                <w:color w:val="000000" w:themeColor="text1"/>
              </w:rPr>
              <w:t xml:space="preserve"> LC</w:t>
            </w:r>
            <w:r>
              <w:rPr>
                <w:color w:val="000000" w:themeColor="text1"/>
                <w:vertAlign w:val="subscript"/>
              </w:rPr>
              <w:t>50</w:t>
            </w:r>
            <w:r>
              <w:rPr>
                <w:rFonts w:hint="eastAsia"/>
                <w:color w:val="000000" w:themeColor="text1"/>
              </w:rPr>
              <w:t>：</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603" w:hRule="atLeast"/>
          <w:jc w:val="center"/>
        </w:trPr>
        <w:tc>
          <w:tcPr>
            <w:tcW w:w="476" w:type="dxa"/>
            <w:vMerge w:val="continue"/>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p>
        </w:tc>
        <w:tc>
          <w:tcPr>
            <w:tcW w:w="1448" w:type="dxa"/>
            <w:tcBorders>
              <w:top w:val="single" w:color="auto" w:sz="6" w:space="0"/>
              <w:left w:val="single" w:color="auto" w:sz="6" w:space="0"/>
              <w:bottom w:val="single" w:color="auto" w:sz="4" w:space="0"/>
              <w:right w:val="single" w:color="auto" w:sz="6" w:space="0"/>
            </w:tcBorders>
            <w:vAlign w:val="center"/>
          </w:tcPr>
          <w:p>
            <w:pPr>
              <w:pStyle w:val="55"/>
              <w:rPr>
                <w:rFonts w:asciiTheme="minorHAnsi" w:hAnsiTheme="minorHAnsi" w:eastAsiaTheme="minorEastAsia"/>
                <w:color w:val="000000" w:themeColor="text1"/>
              </w:rPr>
            </w:pPr>
            <w:r>
              <w:rPr>
                <w:rFonts w:hint="eastAsia"/>
                <w:color w:val="000000" w:themeColor="text1"/>
              </w:rPr>
              <w:t>健康危害</w:t>
            </w:r>
          </w:p>
        </w:tc>
        <w:tc>
          <w:tcPr>
            <w:tcW w:w="6368" w:type="dxa"/>
            <w:gridSpan w:val="10"/>
            <w:tcBorders>
              <w:top w:val="single" w:color="auto" w:sz="6" w:space="0"/>
              <w:left w:val="single" w:color="auto" w:sz="6" w:space="0"/>
              <w:bottom w:val="single" w:color="auto" w:sz="4" w:space="0"/>
              <w:right w:val="single" w:color="auto" w:sz="6" w:space="0"/>
            </w:tcBorders>
            <w:vAlign w:val="center"/>
          </w:tcPr>
          <w:p>
            <w:pPr>
              <w:pStyle w:val="55"/>
              <w:rPr>
                <w:rFonts w:asciiTheme="minorHAnsi" w:hAnsiTheme="minorHAnsi" w:eastAsiaTheme="minorEastAsia"/>
                <w:color w:val="000000" w:themeColor="text1"/>
              </w:rPr>
            </w:pPr>
            <w:r>
              <w:rPr>
                <w:rFonts w:hint="eastAsia"/>
                <w:color w:val="000000" w:themeColor="text1"/>
              </w:rPr>
              <w:t>次氯酸钠放出的游离氯可引起中毒，亦可引起皮肤病。已知本品有致敏作用。用次氯酸钠漂白液洗手的工人，手掌大量出汗，指甲变薄，毛发脱落。</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1208" w:hRule="atLeast"/>
          <w:jc w:val="center"/>
        </w:trPr>
        <w:tc>
          <w:tcPr>
            <w:tcW w:w="476" w:type="dxa"/>
            <w:vMerge w:val="continue"/>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p>
        </w:tc>
        <w:tc>
          <w:tcPr>
            <w:tcW w:w="1448" w:type="dxa"/>
            <w:tcBorders>
              <w:top w:val="single" w:color="auto" w:sz="4"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rFonts w:hint="eastAsia"/>
                <w:color w:val="000000" w:themeColor="text1"/>
              </w:rPr>
              <w:t>急救方法</w:t>
            </w:r>
          </w:p>
        </w:tc>
        <w:tc>
          <w:tcPr>
            <w:tcW w:w="6368" w:type="dxa"/>
            <w:gridSpan w:val="10"/>
            <w:tcBorders>
              <w:top w:val="single" w:color="auto" w:sz="4"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rFonts w:hint="eastAsia" w:ascii="宋体" w:hAnsi="宋体"/>
                <w:color w:val="000000" w:themeColor="text1"/>
                <w:szCs w:val="21"/>
              </w:rPr>
              <w:t>皮肤接触：脱去被污染的衣着，用大量流动清水冲洗。眼睛接触：提起眼睑，用流动清水或生理盐水冲洗。就医。吸入：迅速脱离现场至空气新鲜处。保持呼吸道通畅。如呼吸困难，给输氧。如呼吸停止，立即进行人工呼吸。就医。食入：饮足量温水，催吐。就医。</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300" w:hRule="atLeast"/>
          <w:jc w:val="center"/>
        </w:trPr>
        <w:tc>
          <w:tcPr>
            <w:tcW w:w="476" w:type="dxa"/>
            <w:vMerge w:val="restart"/>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rFonts w:hint="eastAsia"/>
                <w:color w:val="000000" w:themeColor="text1"/>
              </w:rPr>
              <w:t>燃烧爆炸危险性</w:t>
            </w:r>
          </w:p>
        </w:tc>
        <w:tc>
          <w:tcPr>
            <w:tcW w:w="1448" w:type="dxa"/>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rFonts w:hint="eastAsia"/>
                <w:color w:val="000000" w:themeColor="text1"/>
              </w:rPr>
              <w:t>燃烧性</w:t>
            </w:r>
          </w:p>
        </w:tc>
        <w:tc>
          <w:tcPr>
            <w:tcW w:w="1354" w:type="dxa"/>
            <w:gridSpan w:val="3"/>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rFonts w:hint="eastAsia"/>
                <w:color w:val="000000" w:themeColor="text1"/>
              </w:rPr>
              <w:t>不燃</w:t>
            </w:r>
          </w:p>
        </w:tc>
        <w:tc>
          <w:tcPr>
            <w:tcW w:w="2551" w:type="dxa"/>
            <w:gridSpan w:val="4"/>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rFonts w:hint="eastAsia"/>
                <w:color w:val="000000" w:themeColor="text1"/>
              </w:rPr>
              <w:t>燃烧分解物</w:t>
            </w:r>
          </w:p>
        </w:tc>
        <w:tc>
          <w:tcPr>
            <w:tcW w:w="2463" w:type="dxa"/>
            <w:gridSpan w:val="3"/>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rFonts w:hint="eastAsia"/>
                <w:color w:val="000000" w:themeColor="text1"/>
              </w:rPr>
              <w:t>氯化物。</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89" w:hRule="atLeast"/>
          <w:jc w:val="center"/>
        </w:trPr>
        <w:tc>
          <w:tcPr>
            <w:tcW w:w="476" w:type="dxa"/>
            <w:vMerge w:val="continue"/>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p>
        </w:tc>
        <w:tc>
          <w:tcPr>
            <w:tcW w:w="1448" w:type="dxa"/>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rFonts w:hint="eastAsia"/>
                <w:color w:val="000000" w:themeColor="text1"/>
              </w:rPr>
              <w:t>闪点</w:t>
            </w:r>
            <w:r>
              <w:rPr>
                <w:color w:val="000000" w:themeColor="text1"/>
              </w:rPr>
              <w:t>(</w:t>
            </w:r>
            <w:r>
              <w:rPr>
                <w:rFonts w:hint="eastAsia" w:ascii="宋体" w:hAnsi="宋体" w:cs="宋体"/>
                <w:color w:val="000000" w:themeColor="text1"/>
              </w:rPr>
              <w:t>℃</w:t>
            </w:r>
            <w:r>
              <w:rPr>
                <w:color w:val="000000" w:themeColor="text1"/>
              </w:rPr>
              <w:t>)</w:t>
            </w:r>
          </w:p>
        </w:tc>
        <w:tc>
          <w:tcPr>
            <w:tcW w:w="1354" w:type="dxa"/>
            <w:gridSpan w:val="3"/>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szCs w:val="21"/>
              </w:rPr>
            </w:pPr>
            <w:r>
              <w:rPr>
                <w:color w:val="000000" w:themeColor="text1"/>
                <w:szCs w:val="21"/>
              </w:rPr>
              <w:t>/</w:t>
            </w:r>
          </w:p>
        </w:tc>
        <w:tc>
          <w:tcPr>
            <w:tcW w:w="2551" w:type="dxa"/>
            <w:gridSpan w:val="4"/>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rFonts w:hint="eastAsia"/>
                <w:color w:val="000000" w:themeColor="text1"/>
              </w:rPr>
              <w:t>爆炸上限（</w:t>
            </w:r>
            <w:r>
              <w:rPr>
                <w:color w:val="000000" w:themeColor="text1"/>
              </w:rPr>
              <w:t>v%</w:t>
            </w:r>
            <w:r>
              <w:rPr>
                <w:rFonts w:hint="eastAsia"/>
                <w:color w:val="000000" w:themeColor="text1"/>
              </w:rPr>
              <w:t>）</w:t>
            </w:r>
          </w:p>
        </w:tc>
        <w:tc>
          <w:tcPr>
            <w:tcW w:w="2463" w:type="dxa"/>
            <w:gridSpan w:val="3"/>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color w:val="000000" w:themeColor="text1"/>
              </w:rPr>
              <w:t>/</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66" w:hRule="atLeast"/>
          <w:jc w:val="center"/>
        </w:trPr>
        <w:tc>
          <w:tcPr>
            <w:tcW w:w="476" w:type="dxa"/>
            <w:vMerge w:val="continue"/>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p>
        </w:tc>
        <w:tc>
          <w:tcPr>
            <w:tcW w:w="1448" w:type="dxa"/>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rFonts w:hint="eastAsia"/>
                <w:color w:val="000000" w:themeColor="text1"/>
              </w:rPr>
              <w:t>引燃温度</w:t>
            </w:r>
            <w:r>
              <w:rPr>
                <w:color w:val="000000" w:themeColor="text1"/>
              </w:rPr>
              <w:t>(</w:t>
            </w:r>
            <w:r>
              <w:rPr>
                <w:rFonts w:hint="eastAsia" w:ascii="宋体" w:hAnsi="宋体" w:cs="宋体"/>
                <w:color w:val="000000" w:themeColor="text1"/>
              </w:rPr>
              <w:t>℃</w:t>
            </w:r>
            <w:r>
              <w:rPr>
                <w:color w:val="000000" w:themeColor="text1"/>
              </w:rPr>
              <w:t>)</w:t>
            </w:r>
          </w:p>
        </w:tc>
        <w:tc>
          <w:tcPr>
            <w:tcW w:w="1354" w:type="dxa"/>
            <w:gridSpan w:val="3"/>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color w:val="000000" w:themeColor="text1"/>
              </w:rPr>
              <w:t>/</w:t>
            </w:r>
          </w:p>
        </w:tc>
        <w:tc>
          <w:tcPr>
            <w:tcW w:w="2551" w:type="dxa"/>
            <w:gridSpan w:val="4"/>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rFonts w:hint="eastAsia"/>
                <w:color w:val="000000" w:themeColor="text1"/>
              </w:rPr>
              <w:t>爆炸下限（</w:t>
            </w:r>
            <w:r>
              <w:rPr>
                <w:color w:val="000000" w:themeColor="text1"/>
              </w:rPr>
              <w:t>v%</w:t>
            </w:r>
            <w:r>
              <w:rPr>
                <w:rFonts w:hint="eastAsia"/>
                <w:color w:val="000000" w:themeColor="text1"/>
              </w:rPr>
              <w:t>）</w:t>
            </w:r>
          </w:p>
        </w:tc>
        <w:tc>
          <w:tcPr>
            <w:tcW w:w="2463" w:type="dxa"/>
            <w:gridSpan w:val="3"/>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color w:val="000000" w:themeColor="text1"/>
              </w:rPr>
              <w:t>/</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677" w:hRule="atLeast"/>
          <w:jc w:val="center"/>
        </w:trPr>
        <w:tc>
          <w:tcPr>
            <w:tcW w:w="476" w:type="dxa"/>
            <w:vMerge w:val="continue"/>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p>
        </w:tc>
        <w:tc>
          <w:tcPr>
            <w:tcW w:w="1448" w:type="dxa"/>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rFonts w:hint="eastAsia"/>
                <w:color w:val="000000" w:themeColor="text1"/>
              </w:rPr>
              <w:t>危险特性</w:t>
            </w:r>
          </w:p>
        </w:tc>
        <w:tc>
          <w:tcPr>
            <w:tcW w:w="6368" w:type="dxa"/>
            <w:gridSpan w:val="10"/>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rFonts w:hint="eastAsia" w:ascii="宋体" w:hAnsi="宋体"/>
                <w:color w:val="000000" w:themeColor="text1"/>
                <w:szCs w:val="21"/>
              </w:rPr>
              <w:t>与有机物、日光接触发出有毒的氯气。对大多数金属有轻微的腐蚀。与酸接触时散出具有强刺激性和腐蚀性气体。</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360" w:hRule="atLeast"/>
          <w:jc w:val="center"/>
        </w:trPr>
        <w:tc>
          <w:tcPr>
            <w:tcW w:w="476" w:type="dxa"/>
            <w:vMerge w:val="continue"/>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p>
        </w:tc>
        <w:tc>
          <w:tcPr>
            <w:tcW w:w="1448" w:type="dxa"/>
            <w:tcBorders>
              <w:top w:val="single" w:color="auto" w:sz="6" w:space="0"/>
              <w:left w:val="single" w:color="auto" w:sz="6" w:space="0"/>
              <w:bottom w:val="single" w:color="auto" w:sz="6" w:space="0"/>
              <w:right w:val="single" w:color="auto" w:sz="6" w:space="0"/>
            </w:tcBorders>
            <w:vAlign w:val="center"/>
          </w:tcPr>
          <w:p>
            <w:pPr>
              <w:pStyle w:val="55"/>
              <w:rPr>
                <w:rFonts w:ascii="宋体" w:hAnsi="宋体" w:eastAsiaTheme="minorEastAsia"/>
                <w:color w:val="000000" w:themeColor="text1"/>
                <w:szCs w:val="21"/>
              </w:rPr>
            </w:pPr>
            <w:r>
              <w:rPr>
                <w:rFonts w:hint="eastAsia" w:ascii="宋体" w:hAnsi="宋体"/>
                <w:color w:val="000000" w:themeColor="text1"/>
                <w:szCs w:val="21"/>
              </w:rPr>
              <w:t>建规火险分级</w:t>
            </w:r>
          </w:p>
        </w:tc>
        <w:tc>
          <w:tcPr>
            <w:tcW w:w="1354" w:type="dxa"/>
            <w:gridSpan w:val="3"/>
            <w:tcBorders>
              <w:top w:val="single" w:color="auto" w:sz="6" w:space="0"/>
              <w:left w:val="single" w:color="auto" w:sz="6" w:space="0"/>
              <w:bottom w:val="single" w:color="auto" w:sz="6" w:space="0"/>
              <w:right w:val="single" w:color="auto" w:sz="6" w:space="0"/>
            </w:tcBorders>
            <w:vAlign w:val="center"/>
          </w:tcPr>
          <w:p>
            <w:pPr>
              <w:pStyle w:val="55"/>
              <w:rPr>
                <w:rFonts w:ascii="宋体" w:hAnsi="宋体" w:eastAsiaTheme="minorEastAsia"/>
                <w:color w:val="000000" w:themeColor="text1"/>
                <w:szCs w:val="21"/>
              </w:rPr>
            </w:pPr>
            <w:r>
              <w:rPr>
                <w:rFonts w:hint="eastAsia" w:ascii="宋体" w:hAnsi="宋体"/>
                <w:color w:val="000000" w:themeColor="text1"/>
                <w:szCs w:val="21"/>
              </w:rPr>
              <w:t>戊</w:t>
            </w:r>
          </w:p>
        </w:tc>
        <w:tc>
          <w:tcPr>
            <w:tcW w:w="1276" w:type="dxa"/>
            <w:gridSpan w:val="2"/>
            <w:tcBorders>
              <w:top w:val="single" w:color="auto" w:sz="6" w:space="0"/>
              <w:left w:val="single" w:color="auto" w:sz="6" w:space="0"/>
              <w:bottom w:val="single" w:color="auto" w:sz="6" w:space="0"/>
              <w:right w:val="single" w:color="auto" w:sz="6" w:space="0"/>
            </w:tcBorders>
            <w:vAlign w:val="center"/>
          </w:tcPr>
          <w:p>
            <w:pPr>
              <w:pStyle w:val="55"/>
              <w:rPr>
                <w:rFonts w:ascii="宋体" w:hAnsi="宋体" w:eastAsiaTheme="minorEastAsia"/>
                <w:color w:val="000000" w:themeColor="text1"/>
                <w:szCs w:val="21"/>
              </w:rPr>
            </w:pPr>
            <w:r>
              <w:rPr>
                <w:rFonts w:hint="eastAsia" w:ascii="宋体" w:hAnsi="宋体"/>
                <w:color w:val="000000" w:themeColor="text1"/>
                <w:szCs w:val="21"/>
              </w:rPr>
              <w:t>稳定性</w:t>
            </w:r>
          </w:p>
        </w:tc>
        <w:tc>
          <w:tcPr>
            <w:tcW w:w="1275" w:type="dxa"/>
            <w:gridSpan w:val="2"/>
            <w:tcBorders>
              <w:top w:val="single" w:color="auto" w:sz="6" w:space="0"/>
              <w:left w:val="single" w:color="auto" w:sz="6" w:space="0"/>
              <w:bottom w:val="single" w:color="auto" w:sz="6" w:space="0"/>
              <w:right w:val="single" w:color="auto" w:sz="6" w:space="0"/>
            </w:tcBorders>
            <w:vAlign w:val="center"/>
          </w:tcPr>
          <w:p>
            <w:pPr>
              <w:pStyle w:val="55"/>
              <w:rPr>
                <w:rFonts w:ascii="宋体" w:hAnsi="宋体" w:eastAsiaTheme="minorEastAsia"/>
                <w:color w:val="000000" w:themeColor="text1"/>
                <w:szCs w:val="21"/>
              </w:rPr>
            </w:pPr>
            <w:r>
              <w:rPr>
                <w:rFonts w:hint="eastAsia" w:ascii="宋体" w:hAnsi="宋体"/>
                <w:color w:val="000000" w:themeColor="text1"/>
                <w:szCs w:val="21"/>
              </w:rPr>
              <w:t>不稳定</w:t>
            </w:r>
          </w:p>
        </w:tc>
        <w:tc>
          <w:tcPr>
            <w:tcW w:w="1276" w:type="dxa"/>
            <w:tcBorders>
              <w:top w:val="single" w:color="auto" w:sz="6" w:space="0"/>
              <w:left w:val="single" w:color="auto" w:sz="6" w:space="0"/>
              <w:bottom w:val="single" w:color="auto" w:sz="6" w:space="0"/>
              <w:right w:val="single" w:color="auto" w:sz="6" w:space="0"/>
            </w:tcBorders>
            <w:vAlign w:val="center"/>
          </w:tcPr>
          <w:p>
            <w:pPr>
              <w:pStyle w:val="55"/>
              <w:rPr>
                <w:rFonts w:ascii="宋体" w:hAnsi="宋体" w:eastAsiaTheme="minorEastAsia"/>
                <w:color w:val="000000" w:themeColor="text1"/>
                <w:szCs w:val="21"/>
              </w:rPr>
            </w:pPr>
            <w:r>
              <w:rPr>
                <w:rFonts w:hint="eastAsia" w:ascii="宋体" w:hAnsi="宋体"/>
                <w:color w:val="000000" w:themeColor="text1"/>
                <w:szCs w:val="21"/>
              </w:rPr>
              <w:t>聚合危害</w:t>
            </w:r>
          </w:p>
        </w:tc>
        <w:tc>
          <w:tcPr>
            <w:tcW w:w="1187" w:type="dxa"/>
            <w:gridSpan w:val="2"/>
            <w:tcBorders>
              <w:top w:val="single" w:color="auto" w:sz="6" w:space="0"/>
              <w:left w:val="single" w:color="auto" w:sz="6" w:space="0"/>
              <w:bottom w:val="single" w:color="auto" w:sz="6" w:space="0"/>
              <w:right w:val="single" w:color="auto" w:sz="6" w:space="0"/>
            </w:tcBorders>
            <w:vAlign w:val="center"/>
          </w:tcPr>
          <w:p>
            <w:pPr>
              <w:pStyle w:val="55"/>
              <w:rPr>
                <w:rFonts w:ascii="宋体" w:hAnsi="宋体" w:eastAsiaTheme="minorEastAsia"/>
                <w:color w:val="000000" w:themeColor="text1"/>
                <w:szCs w:val="21"/>
              </w:rPr>
            </w:pPr>
            <w:r>
              <w:rPr>
                <w:rFonts w:hint="eastAsia" w:ascii="宋体" w:hAnsi="宋体"/>
                <w:color w:val="000000" w:themeColor="text1"/>
                <w:szCs w:val="21"/>
              </w:rPr>
              <w:t>不聚合</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94" w:hRule="atLeast"/>
          <w:jc w:val="center"/>
        </w:trPr>
        <w:tc>
          <w:tcPr>
            <w:tcW w:w="476" w:type="dxa"/>
            <w:vMerge w:val="continue"/>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p>
        </w:tc>
        <w:tc>
          <w:tcPr>
            <w:tcW w:w="1448" w:type="dxa"/>
            <w:tcBorders>
              <w:top w:val="single" w:color="auto" w:sz="6" w:space="0"/>
              <w:left w:val="single" w:color="auto" w:sz="6" w:space="0"/>
              <w:bottom w:val="single" w:color="auto" w:sz="6" w:space="0"/>
              <w:right w:val="single" w:color="auto" w:sz="6" w:space="0"/>
            </w:tcBorders>
            <w:vAlign w:val="center"/>
          </w:tcPr>
          <w:p>
            <w:pPr>
              <w:pStyle w:val="55"/>
              <w:rPr>
                <w:rFonts w:ascii="宋体" w:hAnsi="宋体" w:eastAsiaTheme="minorEastAsia"/>
                <w:color w:val="000000" w:themeColor="text1"/>
                <w:szCs w:val="21"/>
              </w:rPr>
            </w:pPr>
            <w:r>
              <w:rPr>
                <w:rFonts w:hint="eastAsia" w:ascii="宋体" w:hAnsi="宋体"/>
                <w:color w:val="000000" w:themeColor="text1"/>
                <w:szCs w:val="21"/>
              </w:rPr>
              <w:t>禁忌物</w:t>
            </w:r>
          </w:p>
        </w:tc>
        <w:tc>
          <w:tcPr>
            <w:tcW w:w="6368" w:type="dxa"/>
            <w:gridSpan w:val="10"/>
            <w:tcBorders>
              <w:top w:val="single" w:color="auto" w:sz="6" w:space="0"/>
              <w:left w:val="single" w:color="auto" w:sz="6" w:space="0"/>
              <w:bottom w:val="single" w:color="auto" w:sz="6" w:space="0"/>
              <w:right w:val="single" w:color="auto" w:sz="6" w:space="0"/>
            </w:tcBorders>
            <w:vAlign w:val="center"/>
          </w:tcPr>
          <w:p>
            <w:pPr>
              <w:pStyle w:val="55"/>
              <w:rPr>
                <w:rFonts w:ascii="宋体" w:hAnsi="宋体" w:eastAsiaTheme="minorEastAsia"/>
                <w:color w:val="000000" w:themeColor="text1"/>
                <w:szCs w:val="21"/>
              </w:rPr>
            </w:pPr>
            <w:r>
              <w:rPr>
                <w:rFonts w:hint="eastAsia" w:ascii="宋体" w:hAnsi="宋体"/>
                <w:color w:val="000000" w:themeColor="text1"/>
                <w:szCs w:val="21"/>
              </w:rPr>
              <w:t>还原剂、易燃或可燃物、自燃物、酸类、碱类。</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22" w:hRule="atLeast"/>
          <w:jc w:val="center"/>
        </w:trPr>
        <w:tc>
          <w:tcPr>
            <w:tcW w:w="476" w:type="dxa"/>
            <w:vMerge w:val="continue"/>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p>
        </w:tc>
        <w:tc>
          <w:tcPr>
            <w:tcW w:w="1448" w:type="dxa"/>
            <w:tcBorders>
              <w:top w:val="single" w:color="auto" w:sz="6" w:space="0"/>
              <w:left w:val="single" w:color="auto" w:sz="6" w:space="0"/>
              <w:bottom w:val="single" w:color="auto" w:sz="6" w:space="0"/>
              <w:right w:val="single" w:color="auto" w:sz="6" w:space="0"/>
            </w:tcBorders>
            <w:vAlign w:val="center"/>
          </w:tcPr>
          <w:p>
            <w:pPr>
              <w:pStyle w:val="55"/>
              <w:rPr>
                <w:rFonts w:eastAsiaTheme="minorEastAsia"/>
                <w:color w:val="000000" w:themeColor="text1"/>
              </w:rPr>
            </w:pPr>
            <w:r>
              <w:rPr>
                <w:rFonts w:hint="eastAsia"/>
                <w:color w:val="000000" w:themeColor="text1"/>
              </w:rPr>
              <w:t>储运条件</w:t>
            </w:r>
          </w:p>
          <w:p>
            <w:pPr>
              <w:pStyle w:val="55"/>
              <w:rPr>
                <w:rFonts w:asciiTheme="minorHAnsi" w:hAnsiTheme="minorHAnsi" w:eastAsiaTheme="minorEastAsia"/>
                <w:color w:val="000000" w:themeColor="text1"/>
              </w:rPr>
            </w:pPr>
            <w:r>
              <w:rPr>
                <w:rFonts w:hint="eastAsia"/>
                <w:color w:val="000000" w:themeColor="text1"/>
              </w:rPr>
              <w:t>与泄漏处理</w:t>
            </w:r>
          </w:p>
        </w:tc>
        <w:tc>
          <w:tcPr>
            <w:tcW w:w="6368" w:type="dxa"/>
            <w:gridSpan w:val="10"/>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rFonts w:hint="eastAsia"/>
                <w:b/>
                <w:color w:val="000000" w:themeColor="text1"/>
              </w:rPr>
              <w:t>储运条件</w:t>
            </w:r>
            <w:r>
              <w:rPr>
                <w:rFonts w:hint="eastAsia"/>
                <w:color w:val="000000" w:themeColor="text1"/>
              </w:rPr>
              <w:t>：储存于阴凉、干燥、通风的仓间内。远离火种、热源，防止阳光直射。应与还原剂、易燃或可燃物、酸类、碱类分开存放。分装和搬运作业应注意个人防护。搬运时应轻装轻卸，防止包装和容器损坏。</w:t>
            </w:r>
            <w:r>
              <w:rPr>
                <w:rFonts w:hint="eastAsia"/>
                <w:b/>
                <w:color w:val="000000" w:themeColor="text1"/>
              </w:rPr>
              <w:t>泄漏处理</w:t>
            </w:r>
            <w:r>
              <w:rPr>
                <w:rFonts w:hint="eastAsia"/>
                <w:color w:val="000000" w:themeColor="text1"/>
              </w:rPr>
              <w:t>：</w:t>
            </w:r>
            <w:r>
              <w:rPr>
                <w:rFonts w:hint="eastAsia" w:ascii="宋体" w:hAnsi="宋体"/>
                <w:color w:val="000000" w:themeColor="text1"/>
                <w:szCs w:val="21"/>
              </w:rPr>
              <w:t>迅速撤离泄漏污染区人员至安全区，并进行隔离，严格限制出入。建议应急处理人员戴自给正压式呼吸器，穿一般作业工作服。不要直接接触泄漏物。尽可能切断泄漏源。防止进入下水道、排洪沟等限制性空间。小量泄漏：用砂土、蛭石或其它惰性材料吸收。大量泄漏：构筑围堤或挖坑收容。用泡沫覆盖，降低蒸气灾害。用泵转移至槽车或专用收集器内，回收或运至废物处理场所处置。</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391" w:hRule="atLeast"/>
          <w:jc w:val="center"/>
        </w:trPr>
        <w:tc>
          <w:tcPr>
            <w:tcW w:w="476" w:type="dxa"/>
            <w:vMerge w:val="continue"/>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p>
        </w:tc>
        <w:tc>
          <w:tcPr>
            <w:tcW w:w="1448" w:type="dxa"/>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rFonts w:hint="eastAsia"/>
                <w:color w:val="000000" w:themeColor="text1"/>
              </w:rPr>
              <w:t>灭火方法</w:t>
            </w:r>
          </w:p>
        </w:tc>
        <w:tc>
          <w:tcPr>
            <w:tcW w:w="6368" w:type="dxa"/>
            <w:gridSpan w:val="10"/>
            <w:tcBorders>
              <w:top w:val="single" w:color="auto" w:sz="6" w:space="0"/>
              <w:left w:val="single" w:color="auto" w:sz="6" w:space="0"/>
              <w:bottom w:val="single" w:color="auto" w:sz="6" w:space="0"/>
              <w:right w:val="single" w:color="auto" w:sz="6" w:space="0"/>
            </w:tcBorders>
            <w:vAlign w:val="center"/>
          </w:tcPr>
          <w:p>
            <w:pPr>
              <w:pStyle w:val="55"/>
              <w:rPr>
                <w:rFonts w:asciiTheme="minorHAnsi" w:hAnsiTheme="minorHAnsi" w:eastAsiaTheme="minorEastAsia"/>
                <w:color w:val="000000" w:themeColor="text1"/>
              </w:rPr>
            </w:pPr>
            <w:r>
              <w:rPr>
                <w:rFonts w:hint="eastAsia"/>
                <w:color w:val="000000" w:themeColor="text1"/>
              </w:rPr>
              <w:t>用雾状水、泡沫、二氧化碳、砂土灭火。</w:t>
            </w:r>
          </w:p>
        </w:tc>
      </w:tr>
    </w:tbl>
    <w:p>
      <w:pPr>
        <w:spacing w:line="520" w:lineRule="exact"/>
        <w:ind w:firstLine="480"/>
        <w:rPr>
          <w:rFonts w:ascii="Calibri" w:hAnsi="Calibri" w:cs="宋体"/>
          <w:color w:val="000000" w:themeColor="text1"/>
          <w:kern w:val="0"/>
        </w:rPr>
      </w:pPr>
      <w:r>
        <w:rPr>
          <w:rFonts w:hint="eastAsia" w:ascii="Calibri" w:hAnsi="Calibri" w:cs="宋体"/>
          <w:color w:val="000000" w:themeColor="text1"/>
          <w:kern w:val="0"/>
        </w:rPr>
        <w:t>（</w:t>
      </w:r>
      <w:r>
        <w:rPr>
          <w:rFonts w:ascii="Calibri" w:hAnsi="Calibri" w:cs="宋体"/>
          <w:color w:val="000000" w:themeColor="text1"/>
          <w:kern w:val="0"/>
        </w:rPr>
        <w:t>2</w:t>
      </w:r>
      <w:r>
        <w:rPr>
          <w:rFonts w:hint="eastAsia" w:ascii="Calibri" w:hAnsi="Calibri" w:cs="宋体"/>
          <w:color w:val="000000" w:themeColor="text1"/>
          <w:kern w:val="0"/>
        </w:rPr>
        <w:t>）生产系统风险识别</w:t>
      </w:r>
    </w:p>
    <w:p>
      <w:pPr>
        <w:spacing w:line="520" w:lineRule="exact"/>
        <w:ind w:firstLine="480"/>
        <w:rPr>
          <w:rFonts w:ascii="Calibri" w:hAnsi="Calibri" w:cs="宋体"/>
          <w:color w:val="000000" w:themeColor="text1"/>
          <w:kern w:val="0"/>
        </w:rPr>
      </w:pPr>
      <w:r>
        <w:rPr>
          <w:rFonts w:hint="eastAsia" w:ascii="Calibri" w:hAnsi="Calibri" w:cs="宋体"/>
          <w:color w:val="000000" w:themeColor="text1"/>
          <w:kern w:val="0"/>
        </w:rPr>
        <w:t>项目主要生产工艺为活猪、活鸡的接收、检疫、待宰、屠宰工作。对应的生产装置较简单，发生危险的可能性较小。</w:t>
      </w:r>
    </w:p>
    <w:p>
      <w:pPr>
        <w:spacing w:line="520" w:lineRule="exact"/>
        <w:ind w:firstLine="480"/>
        <w:rPr>
          <w:rFonts w:ascii="Calibri" w:hAnsi="Calibri" w:cs="宋体"/>
          <w:color w:val="000000" w:themeColor="text1"/>
          <w:kern w:val="0"/>
        </w:rPr>
      </w:pPr>
      <w:r>
        <w:rPr>
          <w:rFonts w:hint="eastAsia" w:ascii="Calibri" w:hAnsi="Calibri" w:cs="宋体"/>
          <w:color w:val="000000" w:themeColor="text1"/>
          <w:kern w:val="0"/>
        </w:rPr>
        <w:t>储运设施包括原料库和产品库，储运设施储存的次氯酸钠原料，受高热分解产生有毒的腐蚀性烟气，释放出的游离氯可能引起中毒。</w:t>
      </w:r>
    </w:p>
    <w:p>
      <w:pPr>
        <w:spacing w:line="520" w:lineRule="exact"/>
        <w:ind w:firstLine="480"/>
        <w:rPr>
          <w:rFonts w:ascii="Calibri" w:hAnsi="Calibri" w:cs="宋体"/>
          <w:color w:val="000000" w:themeColor="text1"/>
          <w:kern w:val="0"/>
        </w:rPr>
      </w:pPr>
      <w:r>
        <w:rPr>
          <w:rFonts w:hint="eastAsia" w:ascii="Calibri" w:hAnsi="Calibri" w:cs="宋体"/>
          <w:color w:val="000000" w:themeColor="text1"/>
          <w:kern w:val="0"/>
        </w:rPr>
        <w:t>公用工程包括：供配电系统、供水系统和排水系统。辅助设施包括办公生活区、化粪池等。供排水系统及化粪池在落实防渗措施后，基本不会对地表水、地下水产生污染。</w:t>
      </w:r>
    </w:p>
    <w:p>
      <w:pPr>
        <w:spacing w:line="520" w:lineRule="exact"/>
        <w:ind w:firstLine="480"/>
        <w:rPr>
          <w:rFonts w:ascii="Calibri" w:hAnsi="Calibri" w:cs="宋体"/>
          <w:color w:val="000000" w:themeColor="text1"/>
          <w:kern w:val="0"/>
        </w:rPr>
      </w:pPr>
      <w:r>
        <w:rPr>
          <w:rFonts w:hint="eastAsia" w:ascii="Calibri" w:hAnsi="Calibri" w:cs="宋体"/>
          <w:color w:val="000000" w:themeColor="text1"/>
          <w:kern w:val="0"/>
        </w:rPr>
        <w:t>环境保护设施主要为水膜除尘系统、布袋除尘器及污水处理站。水膜除尘系统、布袋除尘器不会产生危险物质，污水处理站涉及到高浓度有机废水，但不属于危险化学品，危险性较低。</w:t>
      </w:r>
    </w:p>
    <w:p>
      <w:pPr>
        <w:ind w:firstLine="480"/>
        <w:rPr>
          <w:color w:val="000000" w:themeColor="text1"/>
          <w:kern w:val="0"/>
        </w:rPr>
      </w:pPr>
      <w:r>
        <w:rPr>
          <w:rFonts w:hint="eastAsia"/>
          <w:color w:val="000000" w:themeColor="text1"/>
          <w:kern w:val="0"/>
        </w:rPr>
        <w:t>（3）风险类型</w:t>
      </w:r>
    </w:p>
    <w:p>
      <w:pPr>
        <w:spacing w:line="520" w:lineRule="exact"/>
        <w:ind w:firstLine="480"/>
        <w:rPr>
          <w:rFonts w:ascii="Calibri" w:hAnsi="Calibri" w:cs="宋体"/>
          <w:color w:val="000000" w:themeColor="text1"/>
          <w:kern w:val="0"/>
        </w:rPr>
      </w:pPr>
      <w:r>
        <w:rPr>
          <w:rFonts w:hint="eastAsia" w:ascii="Calibri" w:hAnsi="Calibri" w:cs="宋体"/>
          <w:color w:val="000000" w:themeColor="text1"/>
          <w:kern w:val="0"/>
        </w:rPr>
        <w:t>经过以上分析可知，拟建项目生产装置虽较多，但经过分析后各装置存在的危险、有害因素，次氯酸钠运输储存期间的泄漏事故，次氯酸钠泄露后遇到高热环境有可能导致中毒事故。</w:t>
      </w:r>
    </w:p>
    <w:p>
      <w:pPr>
        <w:spacing w:line="520" w:lineRule="exact"/>
        <w:ind w:firstLine="480"/>
        <w:rPr>
          <w:rFonts w:ascii="Calibri" w:hAnsi="Calibri" w:cs="宋体"/>
          <w:color w:val="000000" w:themeColor="text1"/>
          <w:kern w:val="0"/>
        </w:rPr>
      </w:pPr>
      <w:r>
        <w:rPr>
          <w:rFonts w:hint="eastAsia" w:ascii="Calibri" w:hAnsi="Calibri" w:cs="宋体"/>
          <w:color w:val="000000" w:themeColor="text1"/>
          <w:kern w:val="0"/>
        </w:rPr>
        <w:t>项目危险识别的结果详见表6.5.1-6。</w:t>
      </w:r>
    </w:p>
    <w:p>
      <w:pPr>
        <w:pStyle w:val="54"/>
        <w:rPr>
          <w:color w:val="000000" w:themeColor="text1"/>
        </w:rPr>
      </w:pPr>
      <w:r>
        <w:rPr>
          <w:rFonts w:hint="eastAsia"/>
          <w:color w:val="000000" w:themeColor="text1"/>
        </w:rPr>
        <w:t>6.5.1-6</w:t>
      </w:r>
      <w:r>
        <w:rPr>
          <w:color w:val="000000" w:themeColor="text1"/>
        </w:rPr>
        <w:t xml:space="preserve">  </w:t>
      </w:r>
      <w:r>
        <w:rPr>
          <w:rFonts w:hint="eastAsia"/>
          <w:color w:val="000000" w:themeColor="text1"/>
        </w:rPr>
        <w:t>项目危险识别结果</w:t>
      </w:r>
    </w:p>
    <w:tbl>
      <w:tblPr>
        <w:tblStyle w:val="42"/>
        <w:tblW w:w="8505"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57" w:type="dxa"/>
          <w:bottom w:w="0" w:type="dxa"/>
          <w:right w:w="57" w:type="dxa"/>
        </w:tblCellMar>
      </w:tblPr>
      <w:tblGrid>
        <w:gridCol w:w="667"/>
        <w:gridCol w:w="1134"/>
        <w:gridCol w:w="2552"/>
        <w:gridCol w:w="415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69" w:hRule="atLeast"/>
          <w:jc w:val="center"/>
        </w:trPr>
        <w:tc>
          <w:tcPr>
            <w:tcW w:w="667" w:type="dxa"/>
            <w:tcMar>
              <w:top w:w="0" w:type="dxa"/>
              <w:left w:w="113" w:type="dxa"/>
              <w:bottom w:w="0" w:type="dxa"/>
              <w:right w:w="113" w:type="dxa"/>
            </w:tcMar>
            <w:vAlign w:val="center"/>
          </w:tcPr>
          <w:p>
            <w:pPr>
              <w:pStyle w:val="55"/>
              <w:rPr>
                <w:color w:val="000000" w:themeColor="text1"/>
              </w:rPr>
            </w:pPr>
            <w:r>
              <w:rPr>
                <w:rFonts w:hint="eastAsia"/>
                <w:color w:val="000000" w:themeColor="text1"/>
              </w:rPr>
              <w:t>序号</w:t>
            </w:r>
          </w:p>
        </w:tc>
        <w:tc>
          <w:tcPr>
            <w:tcW w:w="1134" w:type="dxa"/>
            <w:tcMar>
              <w:top w:w="0" w:type="dxa"/>
              <w:left w:w="113" w:type="dxa"/>
              <w:bottom w:w="0" w:type="dxa"/>
              <w:right w:w="113" w:type="dxa"/>
            </w:tcMar>
            <w:vAlign w:val="center"/>
          </w:tcPr>
          <w:p>
            <w:pPr>
              <w:pStyle w:val="55"/>
              <w:rPr>
                <w:color w:val="000000" w:themeColor="text1"/>
              </w:rPr>
            </w:pPr>
            <w:r>
              <w:rPr>
                <w:rFonts w:hint="eastAsia"/>
                <w:color w:val="000000" w:themeColor="text1"/>
              </w:rPr>
              <w:t>风险类型</w:t>
            </w:r>
          </w:p>
        </w:tc>
        <w:tc>
          <w:tcPr>
            <w:tcW w:w="2552" w:type="dxa"/>
            <w:vAlign w:val="center"/>
          </w:tcPr>
          <w:p>
            <w:pPr>
              <w:pStyle w:val="55"/>
              <w:rPr>
                <w:color w:val="000000" w:themeColor="text1"/>
              </w:rPr>
            </w:pPr>
            <w:r>
              <w:rPr>
                <w:rFonts w:hint="eastAsia"/>
                <w:color w:val="000000" w:themeColor="text1"/>
              </w:rPr>
              <w:t>风险物质</w:t>
            </w:r>
          </w:p>
        </w:tc>
        <w:tc>
          <w:tcPr>
            <w:tcW w:w="4152" w:type="dxa"/>
            <w:vAlign w:val="center"/>
          </w:tcPr>
          <w:p>
            <w:pPr>
              <w:pStyle w:val="55"/>
              <w:rPr>
                <w:color w:val="000000" w:themeColor="text1"/>
              </w:rPr>
            </w:pPr>
            <w:r>
              <w:rPr>
                <w:rFonts w:hint="eastAsia" w:cs="宋体"/>
                <w:color w:val="000000" w:themeColor="text1"/>
                <w:kern w:val="0"/>
              </w:rPr>
              <w:t>主要风险类型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69" w:hRule="atLeast"/>
          <w:jc w:val="center"/>
        </w:trPr>
        <w:tc>
          <w:tcPr>
            <w:tcW w:w="667" w:type="dxa"/>
            <w:tcMar>
              <w:top w:w="0" w:type="dxa"/>
              <w:left w:w="113" w:type="dxa"/>
              <w:bottom w:w="0" w:type="dxa"/>
              <w:right w:w="113" w:type="dxa"/>
            </w:tcMar>
            <w:vAlign w:val="center"/>
          </w:tcPr>
          <w:p>
            <w:pPr>
              <w:pStyle w:val="55"/>
              <w:rPr>
                <w:color w:val="000000" w:themeColor="text1"/>
              </w:rPr>
            </w:pPr>
            <w:r>
              <w:rPr>
                <w:color w:val="000000" w:themeColor="text1"/>
              </w:rPr>
              <w:t>1</w:t>
            </w:r>
          </w:p>
        </w:tc>
        <w:tc>
          <w:tcPr>
            <w:tcW w:w="1134" w:type="dxa"/>
            <w:tcMar>
              <w:top w:w="0" w:type="dxa"/>
              <w:left w:w="113" w:type="dxa"/>
              <w:bottom w:w="0" w:type="dxa"/>
              <w:right w:w="113" w:type="dxa"/>
            </w:tcMar>
            <w:vAlign w:val="center"/>
          </w:tcPr>
          <w:p>
            <w:pPr>
              <w:pStyle w:val="55"/>
              <w:rPr>
                <w:color w:val="000000" w:themeColor="text1"/>
              </w:rPr>
            </w:pPr>
            <w:r>
              <w:rPr>
                <w:rFonts w:hint="eastAsia"/>
                <w:color w:val="000000" w:themeColor="text1"/>
              </w:rPr>
              <w:t>泄漏</w:t>
            </w:r>
          </w:p>
        </w:tc>
        <w:tc>
          <w:tcPr>
            <w:tcW w:w="2552" w:type="dxa"/>
            <w:vAlign w:val="center"/>
          </w:tcPr>
          <w:p>
            <w:pPr>
              <w:pStyle w:val="55"/>
              <w:rPr>
                <w:color w:val="000000" w:themeColor="text1"/>
              </w:rPr>
            </w:pPr>
            <w:r>
              <w:rPr>
                <w:rFonts w:hint="eastAsia"/>
                <w:color w:val="000000" w:themeColor="text1"/>
              </w:rPr>
              <w:t>次氯酸钠</w:t>
            </w:r>
          </w:p>
        </w:tc>
        <w:tc>
          <w:tcPr>
            <w:tcW w:w="4152" w:type="dxa"/>
            <w:vAlign w:val="center"/>
          </w:tcPr>
          <w:p>
            <w:pPr>
              <w:pStyle w:val="55"/>
              <w:rPr>
                <w:color w:val="000000" w:themeColor="text1"/>
              </w:rPr>
            </w:pPr>
            <w:r>
              <w:rPr>
                <w:rFonts w:hint="eastAsia" w:ascii="Calibri" w:hAnsi="Calibri" w:cs="宋体"/>
                <w:color w:val="000000" w:themeColor="text1"/>
                <w:kern w:val="0"/>
              </w:rPr>
              <w:t>遇到高热环境有可能导致中毒事故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69" w:hRule="atLeast"/>
          <w:jc w:val="center"/>
        </w:trPr>
        <w:tc>
          <w:tcPr>
            <w:tcW w:w="667" w:type="dxa"/>
            <w:tcMar>
              <w:top w:w="0" w:type="dxa"/>
              <w:left w:w="113" w:type="dxa"/>
              <w:bottom w:w="0" w:type="dxa"/>
              <w:right w:w="113" w:type="dxa"/>
            </w:tcMar>
            <w:vAlign w:val="center"/>
          </w:tcPr>
          <w:p>
            <w:pPr>
              <w:pStyle w:val="55"/>
              <w:rPr>
                <w:color w:val="000000" w:themeColor="text1"/>
              </w:rPr>
            </w:pPr>
            <w:r>
              <w:rPr>
                <w:rFonts w:hint="eastAsia"/>
                <w:color w:val="000000" w:themeColor="text1"/>
              </w:rPr>
              <w:t>2</w:t>
            </w:r>
          </w:p>
        </w:tc>
        <w:tc>
          <w:tcPr>
            <w:tcW w:w="1134" w:type="dxa"/>
            <w:tcMar>
              <w:top w:w="0" w:type="dxa"/>
              <w:left w:w="113" w:type="dxa"/>
              <w:bottom w:w="0" w:type="dxa"/>
              <w:right w:w="113" w:type="dxa"/>
            </w:tcMar>
            <w:vAlign w:val="center"/>
          </w:tcPr>
          <w:p>
            <w:pPr>
              <w:pStyle w:val="55"/>
              <w:rPr>
                <w:color w:val="000000" w:themeColor="text1"/>
              </w:rPr>
            </w:pPr>
            <w:r>
              <w:rPr>
                <w:rFonts w:hint="eastAsia"/>
                <w:color w:val="000000" w:themeColor="text1"/>
              </w:rPr>
              <w:t>泄露</w:t>
            </w:r>
          </w:p>
        </w:tc>
        <w:tc>
          <w:tcPr>
            <w:tcW w:w="2552" w:type="dxa"/>
            <w:vAlign w:val="center"/>
          </w:tcPr>
          <w:p>
            <w:pPr>
              <w:pStyle w:val="55"/>
              <w:rPr>
                <w:color w:val="000000" w:themeColor="text1"/>
              </w:rPr>
            </w:pPr>
            <w:r>
              <w:rPr>
                <w:rFonts w:hint="eastAsia"/>
                <w:color w:val="000000" w:themeColor="text1"/>
              </w:rPr>
              <w:t>高浓度有机废水</w:t>
            </w:r>
          </w:p>
        </w:tc>
        <w:tc>
          <w:tcPr>
            <w:tcW w:w="4152" w:type="dxa"/>
            <w:vAlign w:val="center"/>
          </w:tcPr>
          <w:p>
            <w:pPr>
              <w:pStyle w:val="55"/>
              <w:rPr>
                <w:rFonts w:ascii="Calibri" w:hAnsi="Calibri" w:cs="宋体"/>
                <w:color w:val="000000" w:themeColor="text1"/>
                <w:kern w:val="0"/>
              </w:rPr>
            </w:pPr>
            <w:r>
              <w:rPr>
                <w:rFonts w:hint="eastAsia" w:ascii="Calibri" w:hAnsi="Calibri" w:cs="宋体"/>
                <w:color w:val="000000" w:themeColor="text1"/>
                <w:kern w:val="0"/>
              </w:rPr>
              <w:t>污水处理站故障、污水管道破损导致污水未经处理直接排放，影响周边环境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69" w:hRule="atLeast"/>
          <w:jc w:val="center"/>
        </w:trPr>
        <w:tc>
          <w:tcPr>
            <w:tcW w:w="667" w:type="dxa"/>
            <w:tcMar>
              <w:top w:w="0" w:type="dxa"/>
              <w:left w:w="113" w:type="dxa"/>
              <w:bottom w:w="0" w:type="dxa"/>
              <w:right w:w="113" w:type="dxa"/>
            </w:tcMar>
            <w:vAlign w:val="center"/>
          </w:tcPr>
          <w:p>
            <w:pPr>
              <w:pStyle w:val="55"/>
              <w:rPr>
                <w:color w:val="000000" w:themeColor="text1"/>
              </w:rPr>
            </w:pPr>
            <w:r>
              <w:rPr>
                <w:rFonts w:hint="eastAsia"/>
                <w:color w:val="000000" w:themeColor="text1"/>
              </w:rPr>
              <w:t>3</w:t>
            </w:r>
          </w:p>
        </w:tc>
        <w:tc>
          <w:tcPr>
            <w:tcW w:w="1134" w:type="dxa"/>
            <w:tcMar>
              <w:top w:w="0" w:type="dxa"/>
              <w:left w:w="113" w:type="dxa"/>
              <w:bottom w:w="0" w:type="dxa"/>
              <w:right w:w="113" w:type="dxa"/>
            </w:tcMar>
            <w:vAlign w:val="center"/>
          </w:tcPr>
          <w:p>
            <w:pPr>
              <w:pStyle w:val="55"/>
              <w:rPr>
                <w:color w:val="000000" w:themeColor="text1"/>
              </w:rPr>
            </w:pPr>
            <w:r>
              <w:rPr>
                <w:rFonts w:hint="eastAsia"/>
                <w:color w:val="000000" w:themeColor="text1"/>
              </w:rPr>
              <w:t>泄露</w:t>
            </w:r>
          </w:p>
        </w:tc>
        <w:tc>
          <w:tcPr>
            <w:tcW w:w="2552" w:type="dxa"/>
            <w:vAlign w:val="center"/>
          </w:tcPr>
          <w:p>
            <w:pPr>
              <w:pStyle w:val="55"/>
              <w:rPr>
                <w:color w:val="000000" w:themeColor="text1"/>
              </w:rPr>
            </w:pPr>
            <w:r>
              <w:rPr>
                <w:rFonts w:hint="eastAsia"/>
                <w:color w:val="000000" w:themeColor="text1"/>
              </w:rPr>
              <w:t>病死猪（鸡）、不合格产品</w:t>
            </w:r>
          </w:p>
        </w:tc>
        <w:tc>
          <w:tcPr>
            <w:tcW w:w="4152" w:type="dxa"/>
            <w:vAlign w:val="center"/>
          </w:tcPr>
          <w:p>
            <w:pPr>
              <w:pStyle w:val="55"/>
              <w:rPr>
                <w:rFonts w:ascii="Calibri" w:hAnsi="Calibri" w:cs="宋体"/>
                <w:color w:val="000000" w:themeColor="text1"/>
                <w:kern w:val="0"/>
              </w:rPr>
            </w:pPr>
            <w:r>
              <w:rPr>
                <w:rFonts w:hint="eastAsia" w:ascii="Calibri" w:hAnsi="Calibri" w:cs="宋体"/>
                <w:color w:val="000000" w:themeColor="text1"/>
                <w:kern w:val="0"/>
              </w:rPr>
              <w:t>动物尸体、检疫不合格产品等流出引起动物疫情或危害人群健康</w:t>
            </w:r>
          </w:p>
        </w:tc>
      </w:tr>
    </w:tbl>
    <w:p>
      <w:pPr>
        <w:ind w:firstLine="480"/>
        <w:rPr>
          <w:color w:val="000000" w:themeColor="text1"/>
        </w:rPr>
      </w:pPr>
      <w:r>
        <w:rPr>
          <w:rFonts w:hint="eastAsia"/>
          <w:color w:val="000000" w:themeColor="text1"/>
        </w:rPr>
        <w:t>（4）风险事故的危害及影响分析</w:t>
      </w:r>
    </w:p>
    <w:p>
      <w:pPr>
        <w:ind w:firstLine="480"/>
        <w:rPr>
          <w:color w:val="000000" w:themeColor="text1"/>
        </w:rPr>
      </w:pPr>
      <w:r>
        <w:rPr>
          <w:rFonts w:hint="eastAsia"/>
          <w:color w:val="000000" w:themeColor="text1"/>
        </w:rPr>
        <w:t>①次氯酸钠泄露危害及影响分析</w:t>
      </w:r>
    </w:p>
    <w:p>
      <w:pPr>
        <w:ind w:firstLine="480"/>
        <w:rPr>
          <w:color w:val="000000" w:themeColor="text1"/>
        </w:rPr>
      </w:pPr>
      <w:r>
        <w:rPr>
          <w:rFonts w:hint="eastAsia"/>
          <w:color w:val="000000" w:themeColor="text1"/>
        </w:rPr>
        <w:t>a.案例分析</w:t>
      </w:r>
    </w:p>
    <w:p>
      <w:pPr>
        <w:ind w:firstLine="480"/>
        <w:rPr>
          <w:rFonts w:ascii="Calibri" w:hAnsi="Calibri"/>
          <w:color w:val="000000" w:themeColor="text1"/>
        </w:rPr>
      </w:pPr>
      <w:r>
        <w:rPr>
          <w:rFonts w:hint="eastAsia" w:ascii="Calibri" w:hAnsi="Calibri"/>
          <w:color w:val="000000" w:themeColor="text1"/>
        </w:rPr>
        <w:t>2014年6月18日零时左右，位于宁波石化区内的镇洋化工一台60立方的次氯酸钠贮槽人孔开裂，槽内部分次氯酸钠泄漏，引起周边部分企业在岗职工发生不适。2018年6月21日凌晨1时30分，位于辽宁省大连市的一家化工企业发生次氯酸钠溶液泄漏事故，造成20余人送医。</w:t>
      </w:r>
    </w:p>
    <w:p>
      <w:pPr>
        <w:ind w:firstLine="480"/>
        <w:rPr>
          <w:color w:val="000000" w:themeColor="text1"/>
        </w:rPr>
      </w:pPr>
      <w:r>
        <w:rPr>
          <w:rFonts w:hint="eastAsia"/>
          <w:color w:val="000000" w:themeColor="text1"/>
        </w:rPr>
        <w:t>b.泄露原因</w:t>
      </w:r>
    </w:p>
    <w:p>
      <w:pPr>
        <w:ind w:firstLine="480"/>
        <w:rPr>
          <w:rFonts w:ascii="Calibri" w:hAnsi="Calibri"/>
          <w:color w:val="000000" w:themeColor="text1"/>
        </w:rPr>
      </w:pPr>
      <w:r>
        <w:rPr>
          <w:rFonts w:hint="eastAsia"/>
          <w:color w:val="000000" w:themeColor="text1"/>
        </w:rPr>
        <w:t>次氯酸钠泄露的</w:t>
      </w:r>
      <w:r>
        <w:rPr>
          <w:rFonts w:hint="eastAsia" w:ascii="Calibri" w:hAnsi="Calibri"/>
          <w:color w:val="000000" w:themeColor="text1"/>
        </w:rPr>
        <w:t>直接原因：容器破裂。</w:t>
      </w:r>
    </w:p>
    <w:p>
      <w:pPr>
        <w:ind w:firstLine="480"/>
        <w:rPr>
          <w:rFonts w:ascii="Calibri" w:hAnsi="Calibri"/>
          <w:color w:val="000000" w:themeColor="text1"/>
        </w:rPr>
      </w:pPr>
      <w:r>
        <w:rPr>
          <w:rFonts w:hint="eastAsia"/>
          <w:color w:val="000000" w:themeColor="text1"/>
        </w:rPr>
        <w:t>次氯酸钠泄露的</w:t>
      </w:r>
      <w:r>
        <w:rPr>
          <w:rFonts w:hint="eastAsia" w:ascii="Calibri" w:hAnsi="Calibri"/>
          <w:color w:val="000000" w:themeColor="text1"/>
        </w:rPr>
        <w:t>间接原因：原料仓储区未做好防护措施；工人误操作；发现不及时，延误了泄漏事故的处理时机。</w:t>
      </w:r>
    </w:p>
    <w:p>
      <w:pPr>
        <w:ind w:firstLine="480"/>
        <w:rPr>
          <w:color w:val="000000" w:themeColor="text1"/>
        </w:rPr>
      </w:pPr>
      <w:r>
        <w:rPr>
          <w:rFonts w:hint="eastAsia"/>
          <w:color w:val="000000" w:themeColor="text1"/>
        </w:rPr>
        <w:t>c.危害后果</w:t>
      </w:r>
    </w:p>
    <w:p>
      <w:pPr>
        <w:ind w:firstLine="480"/>
        <w:rPr>
          <w:color w:val="000000" w:themeColor="text1"/>
        </w:rPr>
      </w:pPr>
      <w:r>
        <w:rPr>
          <w:rFonts w:hint="eastAsia"/>
          <w:color w:val="000000" w:themeColor="text1"/>
        </w:rPr>
        <w:t>次氯酸钠为微黄色溶液，有似氯气的气味，受高热分解产生有毒的腐蚀性烟气。具有腐蚀性、强</w:t>
      </w:r>
      <w:r>
        <w:fldChar w:fldCharType="begin"/>
      </w:r>
      <w:r>
        <w:instrText xml:space="preserve"> HYPERLINK "https://baike.so.com/doc/2573201-2717347.html" \t "_blank" </w:instrText>
      </w:r>
      <w:r>
        <w:fldChar w:fldCharType="separate"/>
      </w:r>
      <w:r>
        <w:rPr>
          <w:rStyle w:val="46"/>
          <w:rFonts w:hint="eastAsia"/>
          <w:color w:val="000000" w:themeColor="text1"/>
          <w:u w:val="none"/>
        </w:rPr>
        <w:t>氧化性</w:t>
      </w:r>
      <w:r>
        <w:rPr>
          <w:rStyle w:val="46"/>
          <w:rFonts w:hint="eastAsia"/>
          <w:color w:val="000000" w:themeColor="text1"/>
          <w:u w:val="none"/>
        </w:rPr>
        <w:fldChar w:fldCharType="end"/>
      </w:r>
      <w:r>
        <w:rPr>
          <w:rFonts w:hint="eastAsia"/>
          <w:color w:val="000000" w:themeColor="text1"/>
        </w:rPr>
        <w:t>，可氧化</w:t>
      </w:r>
      <w:r>
        <w:rPr>
          <w:color w:val="000000" w:themeColor="text1"/>
        </w:rPr>
        <w:t>Fe</w:t>
      </w:r>
      <w:r>
        <w:rPr>
          <w:color w:val="000000" w:themeColor="text1"/>
          <w:vertAlign w:val="superscript"/>
        </w:rPr>
        <w:t>2+</w:t>
      </w:r>
      <w:r>
        <w:rPr>
          <w:rFonts w:hint="eastAsia"/>
          <w:color w:val="000000" w:themeColor="text1"/>
        </w:rPr>
        <w:t>、</w:t>
      </w:r>
      <w:r>
        <w:rPr>
          <w:color w:val="000000" w:themeColor="text1"/>
        </w:rPr>
        <w:t>CN</w:t>
      </w:r>
      <w:r>
        <w:rPr>
          <w:color w:val="000000" w:themeColor="text1"/>
          <w:vertAlign w:val="superscript"/>
        </w:rPr>
        <w:t>-</w:t>
      </w:r>
      <w:r>
        <w:rPr>
          <w:rFonts w:hint="eastAsia"/>
          <w:color w:val="000000" w:themeColor="text1"/>
        </w:rPr>
        <w:t>等离子，次氯酸钠泄露会对人员健康造成影响，同时会引发大气、水体、土壤环境污染。</w:t>
      </w:r>
    </w:p>
    <w:p>
      <w:pPr>
        <w:ind w:firstLine="480"/>
        <w:rPr>
          <w:rFonts w:cs="Times New Roman"/>
          <w:color w:val="000000" w:themeColor="text1"/>
        </w:rPr>
      </w:pPr>
      <w:r>
        <w:rPr>
          <w:rFonts w:hint="eastAsia" w:ascii="Calibri" w:hAnsi="Calibri"/>
          <w:color w:val="000000" w:themeColor="text1"/>
        </w:rPr>
        <w:t>②</w:t>
      </w:r>
      <w:r>
        <w:rPr>
          <w:rFonts w:hint="eastAsia"/>
          <w:color w:val="000000" w:themeColor="text1"/>
        </w:rPr>
        <w:t>高浓度有机废水事故排放危害及影响分析</w:t>
      </w:r>
    </w:p>
    <w:p>
      <w:pPr>
        <w:ind w:firstLine="480"/>
        <w:rPr>
          <w:color w:val="000000" w:themeColor="text1"/>
        </w:rPr>
      </w:pPr>
      <w:r>
        <w:rPr>
          <w:rFonts w:hint="eastAsia"/>
          <w:color w:val="000000" w:themeColor="text1"/>
        </w:rPr>
        <w:t>a.泄露原因</w:t>
      </w:r>
    </w:p>
    <w:p>
      <w:pPr>
        <w:ind w:firstLine="480"/>
        <w:rPr>
          <w:rFonts w:ascii="Calibri" w:hAnsi="Calibri"/>
          <w:color w:val="000000" w:themeColor="text1"/>
        </w:rPr>
      </w:pPr>
      <w:r>
        <w:rPr>
          <w:rFonts w:hint="eastAsia"/>
          <w:color w:val="000000" w:themeColor="text1"/>
        </w:rPr>
        <w:t>高浓度有机废水泄露的</w:t>
      </w:r>
      <w:r>
        <w:rPr>
          <w:rFonts w:hint="eastAsia" w:ascii="Calibri" w:hAnsi="Calibri"/>
          <w:color w:val="000000" w:themeColor="text1"/>
        </w:rPr>
        <w:t>主要原因有：污水处理站出现故障停止运行，污水未经处理直接排放；污水管道破损，污水出现跑、冒、滴、漏现象；发现不及时，延误了事故排放的处理时机。</w:t>
      </w:r>
    </w:p>
    <w:p>
      <w:pPr>
        <w:ind w:firstLine="480"/>
        <w:rPr>
          <w:color w:val="000000" w:themeColor="text1"/>
        </w:rPr>
      </w:pPr>
      <w:r>
        <w:rPr>
          <w:rFonts w:hint="eastAsia"/>
          <w:color w:val="000000" w:themeColor="text1"/>
        </w:rPr>
        <w:t>c.危害后果</w:t>
      </w:r>
    </w:p>
    <w:p>
      <w:pPr>
        <w:ind w:firstLine="480"/>
        <w:rPr>
          <w:rFonts w:ascii="Calibri" w:hAnsi="Calibri"/>
          <w:color w:val="000000" w:themeColor="text1"/>
        </w:rPr>
      </w:pPr>
      <w:r>
        <w:rPr>
          <w:rFonts w:hint="eastAsia"/>
          <w:color w:val="000000" w:themeColor="text1"/>
        </w:rPr>
        <w:t>本项目屠宰废水为高浓度有机废水，若污水处理站故障，污水未经处理直接排放，将会造成高浓度废水直接进入城镇污水管道，将会加重砚山县污水处理厂的运行负担；若污水管道破损，废水将有可能下渗，从而污染土壤、地表水、地下水环境等；高浓度废水中还可能含有细菌、虫卵等致病原体，可能会对人员健康造成影响</w:t>
      </w:r>
      <w:r>
        <w:rPr>
          <w:rFonts w:hint="eastAsia" w:ascii="Calibri" w:hAnsi="Calibri"/>
          <w:color w:val="000000" w:themeColor="text1"/>
        </w:rPr>
        <w:t>。</w:t>
      </w:r>
    </w:p>
    <w:p>
      <w:pPr>
        <w:ind w:firstLine="480"/>
        <w:rPr>
          <w:color w:val="000000" w:themeColor="text1"/>
        </w:rPr>
      </w:pPr>
      <w:r>
        <w:rPr>
          <w:rFonts w:hint="eastAsia" w:ascii="Calibri" w:hAnsi="Calibri"/>
          <w:color w:val="000000" w:themeColor="text1"/>
        </w:rPr>
        <w:t>③</w:t>
      </w:r>
      <w:r>
        <w:rPr>
          <w:rFonts w:hint="eastAsia" w:ascii="Calibri" w:hAnsi="Calibri" w:cs="宋体"/>
          <w:color w:val="000000" w:themeColor="text1"/>
          <w:kern w:val="0"/>
        </w:rPr>
        <w:t>动物尸体、检疫不合格产品泄露</w:t>
      </w:r>
      <w:r>
        <w:rPr>
          <w:rFonts w:hint="eastAsia"/>
          <w:color w:val="000000" w:themeColor="text1"/>
        </w:rPr>
        <w:t>危害及影响分析</w:t>
      </w:r>
    </w:p>
    <w:p>
      <w:pPr>
        <w:ind w:firstLine="480"/>
        <w:rPr>
          <w:color w:val="000000" w:themeColor="text1"/>
        </w:rPr>
      </w:pPr>
      <w:r>
        <w:rPr>
          <w:rFonts w:hint="eastAsia"/>
          <w:color w:val="000000" w:themeColor="text1"/>
        </w:rPr>
        <w:t>a.泄露原因</w:t>
      </w:r>
    </w:p>
    <w:p>
      <w:pPr>
        <w:ind w:firstLine="480"/>
        <w:rPr>
          <w:rFonts w:ascii="Calibri" w:hAnsi="Calibri"/>
          <w:color w:val="000000" w:themeColor="text1"/>
        </w:rPr>
      </w:pPr>
      <w:r>
        <w:rPr>
          <w:rFonts w:hint="eastAsia"/>
          <w:color w:val="000000" w:themeColor="text1"/>
        </w:rPr>
        <w:t>本项目病死猪（鸡）、不合格产品属于危险废物，工作人员意识较差，随意将危险废物直接排入外环境，或在厂区内转运时操作不当导致泄露</w:t>
      </w:r>
      <w:r>
        <w:rPr>
          <w:rFonts w:hint="eastAsia" w:ascii="Calibri" w:hAnsi="Calibri"/>
          <w:color w:val="000000" w:themeColor="text1"/>
        </w:rPr>
        <w:t>。</w:t>
      </w:r>
    </w:p>
    <w:p>
      <w:pPr>
        <w:ind w:firstLine="480"/>
        <w:rPr>
          <w:color w:val="000000" w:themeColor="text1"/>
        </w:rPr>
      </w:pPr>
      <w:r>
        <w:rPr>
          <w:rFonts w:hint="eastAsia"/>
          <w:color w:val="000000" w:themeColor="text1"/>
        </w:rPr>
        <w:t>c.危害后果</w:t>
      </w:r>
    </w:p>
    <w:p>
      <w:pPr>
        <w:ind w:firstLine="480"/>
        <w:rPr>
          <w:rFonts w:ascii="Calibri" w:hAnsi="Calibri"/>
          <w:color w:val="000000" w:themeColor="text1"/>
        </w:rPr>
      </w:pPr>
      <w:r>
        <w:rPr>
          <w:rFonts w:hint="eastAsia"/>
          <w:color w:val="000000" w:themeColor="text1"/>
        </w:rPr>
        <w:t>本项目病死猪（鸡）、不合格产品中可能含有细菌、病毒、致病原体等，流入外环境有可能引起</w:t>
      </w:r>
      <w:r>
        <w:rPr>
          <w:rFonts w:hint="eastAsia" w:ascii="Calibri" w:hAnsi="Calibri" w:cs="宋体"/>
          <w:color w:val="000000" w:themeColor="text1"/>
          <w:kern w:val="0"/>
        </w:rPr>
        <w:t>动物疫情，甚至会危害人群健康</w:t>
      </w:r>
      <w:r>
        <w:rPr>
          <w:rFonts w:hint="eastAsia"/>
          <w:color w:val="000000" w:themeColor="text1"/>
        </w:rPr>
        <w:t>，还会对周边大气、土壤、水环境造成影响</w:t>
      </w:r>
      <w:r>
        <w:rPr>
          <w:rFonts w:hint="eastAsia" w:ascii="Calibri" w:hAnsi="Calibri"/>
          <w:color w:val="000000" w:themeColor="text1"/>
        </w:rPr>
        <w:t>。</w:t>
      </w:r>
    </w:p>
    <w:p>
      <w:pPr>
        <w:pStyle w:val="38"/>
        <w:ind w:firstLine="281"/>
        <w:rPr>
          <w:color w:val="000000" w:themeColor="text1"/>
        </w:rPr>
      </w:pPr>
      <w:bookmarkStart w:id="236" w:name="_Toc47375879"/>
      <w:r>
        <w:rPr>
          <w:rFonts w:hint="eastAsia"/>
          <w:color w:val="000000" w:themeColor="text1"/>
        </w:rPr>
        <w:t>6.5.3环境风险防范措施</w:t>
      </w:r>
      <w:bookmarkEnd w:id="236"/>
    </w:p>
    <w:p>
      <w:pPr>
        <w:ind w:firstLine="482"/>
        <w:rPr>
          <w:b/>
          <w:color w:val="000000" w:themeColor="text1"/>
        </w:rPr>
      </w:pPr>
      <w:r>
        <w:rPr>
          <w:rFonts w:hint="eastAsia"/>
          <w:b/>
          <w:color w:val="000000" w:themeColor="text1"/>
        </w:rPr>
        <w:t>1、安全组织措施</w:t>
      </w:r>
    </w:p>
    <w:p>
      <w:pPr>
        <w:ind w:firstLine="480"/>
        <w:rPr>
          <w:color w:val="000000" w:themeColor="text1"/>
        </w:rPr>
      </w:pPr>
      <w:r>
        <w:rPr>
          <w:rFonts w:hint="eastAsia"/>
          <w:color w:val="000000" w:themeColor="text1"/>
        </w:rPr>
        <w:t>公司安全工作实行各级负责制，贯彻“纵向到底，责任到人，横向到边，职责到位”的原则，各级行政负责人和各职能部门在各自工作范围和安全管理责任区域内，按照“谁主管，谁负责”的原则，对安全生产负责，并向各自上级负责。</w:t>
      </w:r>
    </w:p>
    <w:p>
      <w:pPr>
        <w:ind w:firstLine="482"/>
        <w:rPr>
          <w:b/>
          <w:color w:val="000000" w:themeColor="text1"/>
        </w:rPr>
      </w:pPr>
      <w:r>
        <w:rPr>
          <w:rFonts w:hint="eastAsia"/>
          <w:b/>
          <w:color w:val="000000" w:themeColor="text1"/>
        </w:rPr>
        <w:t>2、建立健全的安全环境管理制度</w:t>
      </w:r>
    </w:p>
    <w:p>
      <w:pPr>
        <w:ind w:firstLine="480"/>
        <w:rPr>
          <w:color w:val="000000" w:themeColor="text1"/>
        </w:rPr>
      </w:pPr>
      <w:r>
        <w:rPr>
          <w:rFonts w:hint="eastAsia"/>
          <w:color w:val="000000" w:themeColor="text1"/>
        </w:rPr>
        <w:t>（1）在设计、施工、生产经营等各方面必须严格执行有关的法律、法规。具体如《中华人民共和国消防法》、《建设设计防火规范》、《仓库防火安全管理规则》等。</w:t>
      </w:r>
    </w:p>
    <w:p>
      <w:pPr>
        <w:ind w:firstLine="480"/>
        <w:rPr>
          <w:color w:val="000000" w:themeColor="text1"/>
        </w:rPr>
      </w:pPr>
      <w:r>
        <w:rPr>
          <w:rFonts w:hint="eastAsia"/>
          <w:color w:val="000000" w:themeColor="text1"/>
        </w:rPr>
        <w:t>（2）设计安全环保科，负责全厂的安全运营，负责人应聘请具有多年实际经验的人才担当，并设置专职安全员；操作工厂必须经岗位考核合格，取得安全作业证；建立完善的安全生产管理制度，加强安全生产的宣传和教育，确保安全生产落实到生产的每一个环节中。</w:t>
      </w:r>
    </w:p>
    <w:p>
      <w:pPr>
        <w:ind w:firstLine="480"/>
        <w:rPr>
          <w:color w:val="000000" w:themeColor="text1"/>
        </w:rPr>
      </w:pPr>
      <w:r>
        <w:rPr>
          <w:rFonts w:hint="eastAsia"/>
          <w:color w:val="000000" w:themeColor="text1"/>
        </w:rPr>
        <w:t>（3）加强车间和成品仓库等的防火、防泄露环保管理，对公司职工进行安全环保的教育和培训，做到持证上岗，减少人为风险事故的发生。</w:t>
      </w:r>
    </w:p>
    <w:p>
      <w:pPr>
        <w:ind w:firstLine="480"/>
        <w:rPr>
          <w:color w:val="000000" w:themeColor="text1"/>
        </w:rPr>
      </w:pPr>
      <w:r>
        <w:rPr>
          <w:rFonts w:hint="eastAsia"/>
          <w:color w:val="000000" w:themeColor="text1"/>
        </w:rPr>
        <w:t>（4）设置专业的污水处理站管理人员，并设置污水处理站管理制度，要求管理人员随时监督污水处理站运行情况，定期检查污水管道是否破损，减少废水事故排放的情况。</w:t>
      </w:r>
    </w:p>
    <w:p>
      <w:pPr>
        <w:ind w:firstLine="480"/>
        <w:rPr>
          <w:color w:val="000000" w:themeColor="text1"/>
        </w:rPr>
      </w:pPr>
      <w:r>
        <w:rPr>
          <w:rFonts w:hint="eastAsia"/>
          <w:color w:val="000000" w:themeColor="text1"/>
        </w:rPr>
        <w:t>（5）设置专门的危险废物管理制度，要求所有工作人员按照规范处理危险固废，禁止随意丢弃危险废物。</w:t>
      </w:r>
    </w:p>
    <w:p>
      <w:pPr>
        <w:ind w:firstLine="480"/>
        <w:rPr>
          <w:color w:val="000000" w:themeColor="text1"/>
        </w:rPr>
      </w:pPr>
      <w:r>
        <w:rPr>
          <w:rFonts w:hint="eastAsia"/>
          <w:color w:val="000000" w:themeColor="text1"/>
        </w:rPr>
        <w:t>（6）建立应急预案，并与当地的应急预案衔接，一旦出现事故可借助社会救援，使损失和对环境的污染降到最低。</w:t>
      </w:r>
    </w:p>
    <w:p>
      <w:pPr>
        <w:ind w:firstLine="482"/>
        <w:rPr>
          <w:b/>
          <w:color w:val="000000" w:themeColor="text1"/>
        </w:rPr>
      </w:pPr>
      <w:r>
        <w:rPr>
          <w:rFonts w:hint="eastAsia"/>
          <w:b/>
          <w:color w:val="000000" w:themeColor="text1"/>
        </w:rPr>
        <w:t>3、次氯酸钠泄露事故风险防控及应急处置措施：</w:t>
      </w:r>
    </w:p>
    <w:p>
      <w:pPr>
        <w:ind w:firstLine="480"/>
        <w:rPr>
          <w:color w:val="000000" w:themeColor="text1"/>
        </w:rPr>
      </w:pPr>
      <w:r>
        <w:rPr>
          <w:rFonts w:hint="eastAsia"/>
          <w:color w:val="000000" w:themeColor="text1"/>
        </w:rPr>
        <w:t>（1）次氯酸钠存储过程风险防范</w:t>
      </w:r>
    </w:p>
    <w:p>
      <w:pPr>
        <w:ind w:firstLine="480"/>
        <w:rPr>
          <w:color w:val="000000" w:themeColor="text1"/>
        </w:rPr>
      </w:pPr>
      <w:r>
        <w:rPr>
          <w:rFonts w:hint="eastAsia"/>
          <w:color w:val="000000" w:themeColor="text1"/>
        </w:rPr>
        <w:t>项目对储存过程采取了一系列的风险管理措施，本环评建议次氯酸钠储存注意事项：</w:t>
      </w:r>
    </w:p>
    <w:p>
      <w:pPr>
        <w:ind w:firstLine="480"/>
        <w:rPr>
          <w:color w:val="000000" w:themeColor="text1"/>
        </w:rPr>
      </w:pPr>
      <w:r>
        <w:rPr>
          <w:rFonts w:hint="eastAsia"/>
          <w:color w:val="000000" w:themeColor="text1"/>
        </w:rPr>
        <w:t>储存于阴凉、通风的库房，仓库储存物贮放设置明显的标志。远离火种、热源。库温不宜超过30C。应与氧化剂、酸类、卤素、食用化学品分开存放，切忌混储。采用防爆型照明、通风设施。禁止使用易产生火花的机械设备和工具。次氯酸钠不燃，但为氧化剂可助燃，受高热分解产生有毒的腐蚀性烟气，具有腐蚀性。次氯酸钠所在的仓库或使用车间发生火灾时应疏散火灾现场周围50米的工作人员。工作人员出行灭火时必须佩戴过滤式防毒面具(全面罩)或隔离式呼吸器、穿全身防火防毒服，在上风向灭火。</w:t>
      </w:r>
    </w:p>
    <w:p>
      <w:pPr>
        <w:ind w:firstLine="480"/>
        <w:rPr>
          <w:color w:val="000000" w:themeColor="text1"/>
        </w:rPr>
      </w:pPr>
      <w:r>
        <w:rPr>
          <w:rFonts w:hint="eastAsia"/>
          <w:color w:val="000000" w:themeColor="text1"/>
        </w:rPr>
        <w:t>次氯酸钠应分区存放，按生产计划严格进料，实行安全责任制。储区应备有泄漏应急处理设备。</w:t>
      </w:r>
    </w:p>
    <w:p>
      <w:pPr>
        <w:ind w:firstLine="480"/>
        <w:rPr>
          <w:color w:val="000000" w:themeColor="text1"/>
        </w:rPr>
      </w:pPr>
      <w:r>
        <w:rPr>
          <w:rFonts w:hint="eastAsia"/>
          <w:color w:val="000000" w:themeColor="text1"/>
        </w:rPr>
        <w:t>（2）次氯酸钠操作过程风险防范</w:t>
      </w:r>
    </w:p>
    <w:p>
      <w:pPr>
        <w:ind w:firstLine="480"/>
        <w:rPr>
          <w:color w:val="000000" w:themeColor="text1"/>
        </w:rPr>
      </w:pPr>
      <w:r>
        <w:rPr>
          <w:rFonts w:hint="eastAsia"/>
          <w:color w:val="000000" w:themeColor="text1"/>
        </w:rPr>
        <w:t>本环评建议次氯酸钠操作注意事项：</w:t>
      </w:r>
    </w:p>
    <w:p>
      <w:pPr>
        <w:ind w:firstLine="480"/>
        <w:rPr>
          <w:color w:val="000000" w:themeColor="text1"/>
        </w:rPr>
      </w:pPr>
      <w:r>
        <w:rPr>
          <w:rFonts w:hint="eastAsia"/>
          <w:color w:val="000000" w:themeColor="text1"/>
        </w:rPr>
        <w:t>严加密闭，提供充分的局部排风和全面通风。操作人员必须经过专门培训，严格遵守操作规程。建议操作人员佩戴过滤式防毒面具(半面罩)，戴化学安全防护眼镜，穿防静电工作服，戴橡胶手套。</w:t>
      </w:r>
    </w:p>
    <w:p>
      <w:pPr>
        <w:ind w:firstLine="480"/>
        <w:rPr>
          <w:color w:val="000000" w:themeColor="text1"/>
        </w:rPr>
      </w:pPr>
      <w:r>
        <w:rPr>
          <w:rFonts w:hint="eastAsia"/>
          <w:color w:val="000000" w:themeColor="text1"/>
        </w:rPr>
        <w:t>远离火种、热源，工作场所严禁吸烟。使用防爆型的通风系统和设备。防止气体泄漏到工作场所空气中。避免与氧化剂、酸类、卤素接触。搬运时轻装轻卸，防止钢瓶及附件破损。配备相应品种和数量的消防器材及泄漏应急处理设备。</w:t>
      </w:r>
    </w:p>
    <w:p>
      <w:pPr>
        <w:ind w:firstLine="480"/>
        <w:rPr>
          <w:b/>
          <w:color w:val="000000" w:themeColor="text1"/>
        </w:rPr>
      </w:pPr>
      <w:r>
        <w:rPr>
          <w:rFonts w:hint="eastAsia"/>
          <w:color w:val="000000" w:themeColor="text1"/>
        </w:rPr>
        <w:t>（3）次氯酸钠运输过程事故防范</w:t>
      </w:r>
    </w:p>
    <w:p>
      <w:pPr>
        <w:ind w:firstLine="480"/>
        <w:rPr>
          <w:color w:val="000000" w:themeColor="text1"/>
        </w:rPr>
      </w:pPr>
      <w:r>
        <w:rPr>
          <w:rFonts w:hint="eastAsia"/>
          <w:color w:val="000000" w:themeColor="text1"/>
        </w:rPr>
        <w:t>①合理规划运输路线和运输时间。</w:t>
      </w:r>
    </w:p>
    <w:p>
      <w:pPr>
        <w:ind w:firstLine="480"/>
        <w:rPr>
          <w:color w:val="000000" w:themeColor="text1"/>
        </w:rPr>
      </w:pPr>
      <w:r>
        <w:rPr>
          <w:rFonts w:hint="eastAsia"/>
          <w:color w:val="000000" w:themeColor="text1"/>
        </w:rPr>
        <w:t>②在原料运输过程中，一旦发生意外，在采取应急处理的同时，迅速报告公安机关和环保等有关部门，疏散群众，防止事态进一步扩大，并积极协助前来救助的公安、交通和消防人员抢救伤者和物资，使损失降低到最低。</w:t>
      </w:r>
    </w:p>
    <w:p>
      <w:pPr>
        <w:ind w:firstLine="480"/>
        <w:rPr>
          <w:color w:val="000000" w:themeColor="text1"/>
        </w:rPr>
      </w:pPr>
      <w:r>
        <w:rPr>
          <w:rFonts w:hint="eastAsia"/>
          <w:color w:val="000000" w:themeColor="text1"/>
        </w:rPr>
        <w:t>（4）次氯酸钠泄漏时的应急处理处置方法：</w:t>
      </w:r>
    </w:p>
    <w:p>
      <w:pPr>
        <w:ind w:firstLine="480"/>
        <w:rPr>
          <w:color w:val="000000" w:themeColor="text1"/>
        </w:rPr>
      </w:pPr>
      <w:r>
        <w:rPr>
          <w:rFonts w:hint="eastAsia"/>
          <w:color w:val="000000" w:themeColor="text1"/>
        </w:rPr>
        <w:t>轻微泄漏：</w:t>
      </w:r>
    </w:p>
    <w:p>
      <w:pPr>
        <w:ind w:firstLine="480"/>
        <w:rPr>
          <w:color w:val="000000" w:themeColor="text1"/>
        </w:rPr>
      </w:pPr>
      <w:r>
        <w:rPr>
          <w:rFonts w:hint="eastAsia"/>
          <w:color w:val="000000" w:themeColor="text1"/>
        </w:rPr>
        <w:t>①做好个人防护，立即关闭相关阀门，切断次氯酸钠泄漏源，防止次氯酸钠持续外漏。当次氯酸钠泄漏量达规定值时启动自动消防喷淋装置，进行水稀释，防止可能产生的游离氯扩散；</w:t>
      </w:r>
    </w:p>
    <w:p>
      <w:pPr>
        <w:ind w:firstLine="480"/>
        <w:rPr>
          <w:color w:val="000000" w:themeColor="text1"/>
        </w:rPr>
      </w:pPr>
      <w:r>
        <w:rPr>
          <w:rFonts w:hint="eastAsia"/>
          <w:color w:val="000000" w:themeColor="text1"/>
        </w:rPr>
        <w:t>②迅速抢救被困和受伤人员；</w:t>
      </w:r>
    </w:p>
    <w:p>
      <w:pPr>
        <w:ind w:firstLine="480"/>
        <w:rPr>
          <w:color w:val="000000" w:themeColor="text1"/>
        </w:rPr>
      </w:pPr>
      <w:r>
        <w:rPr>
          <w:rFonts w:hint="eastAsia"/>
          <w:color w:val="000000" w:themeColor="text1"/>
        </w:rPr>
        <w:t>③根据危及范围做好标志，封锁现场，组织检修人员进行抢修，将次氯酸钠泄漏程度减至最低。</w:t>
      </w:r>
    </w:p>
    <w:p>
      <w:pPr>
        <w:ind w:firstLine="480"/>
        <w:rPr>
          <w:color w:val="000000" w:themeColor="text1"/>
        </w:rPr>
      </w:pPr>
      <w:r>
        <w:rPr>
          <w:rFonts w:hint="eastAsia"/>
          <w:color w:val="000000" w:themeColor="text1"/>
        </w:rPr>
        <w:t>大量泄漏：</w:t>
      </w:r>
    </w:p>
    <w:p>
      <w:pPr>
        <w:ind w:firstLine="480"/>
        <w:rPr>
          <w:color w:val="000000" w:themeColor="text1"/>
        </w:rPr>
      </w:pPr>
      <w:r>
        <w:rPr>
          <w:rFonts w:hint="eastAsia"/>
          <w:color w:val="000000" w:themeColor="text1"/>
        </w:rPr>
        <w:t>①立即发出应急警报，通知危害区域（企业员工和周边居民）的人群迅速撤离，启动应急救援预案。在泄漏范围不明的情况下，初始隔离距离至少150m，然后进行气体浓度监测，根据有害气体的实际浓度，调整隔离和疏散距离，严格限制无关人员进入；</w:t>
      </w:r>
    </w:p>
    <w:p>
      <w:pPr>
        <w:ind w:firstLine="480"/>
        <w:rPr>
          <w:color w:val="000000" w:themeColor="text1"/>
        </w:rPr>
      </w:pPr>
      <w:r>
        <w:rPr>
          <w:rFonts w:hint="eastAsia"/>
          <w:color w:val="000000" w:themeColor="text1"/>
        </w:rPr>
        <w:t>②应急救援抢险小组投入抢险救援时，必须穿戴合适的防护用品，佩戴防毒面罩或正压式呼吸器，切断可能的泄漏源，开启消防喷淋；消防人员在上风口负责用喷雾水枪进行掩护、协助操作，以控制危险源，抢救受伤人员；</w:t>
      </w:r>
    </w:p>
    <w:p>
      <w:pPr>
        <w:ind w:firstLine="480"/>
        <w:rPr>
          <w:color w:val="000000" w:themeColor="text1"/>
        </w:rPr>
      </w:pPr>
      <w:r>
        <w:rPr>
          <w:rFonts w:hint="eastAsia"/>
          <w:color w:val="000000" w:themeColor="text1"/>
        </w:rPr>
        <w:t>③一旦发生火灾、爆炸事故，应立即采取局部或全部断电措施，组织人员进行扑救，防止事故进一步扩大。有人员受伤，应立即抢救伤员，同时向医疗部门求救；</w:t>
      </w:r>
    </w:p>
    <w:p>
      <w:pPr>
        <w:ind w:firstLine="480"/>
        <w:rPr>
          <w:color w:val="000000" w:themeColor="text1"/>
        </w:rPr>
      </w:pPr>
      <w:r>
        <w:rPr>
          <w:rFonts w:hint="eastAsia"/>
          <w:color w:val="000000" w:themeColor="text1"/>
        </w:rPr>
        <w:t>④做好事故现场保护、警戒和事故处理工作。</w:t>
      </w:r>
    </w:p>
    <w:p>
      <w:pPr>
        <w:ind w:firstLine="482"/>
        <w:rPr>
          <w:b/>
          <w:color w:val="000000" w:themeColor="text1"/>
        </w:rPr>
      </w:pPr>
      <w:r>
        <w:rPr>
          <w:rFonts w:hint="eastAsia"/>
          <w:b/>
          <w:color w:val="000000" w:themeColor="text1"/>
        </w:rPr>
        <w:t>4、高浓度有机废水事故排放的</w:t>
      </w:r>
      <w:r>
        <w:rPr>
          <w:rFonts w:hint="eastAsia"/>
          <w:b/>
          <w:color w:val="000000" w:themeColor="text1"/>
          <w:kern w:val="24"/>
          <w:szCs w:val="24"/>
        </w:rPr>
        <w:t>风险防控和应急措施</w:t>
      </w:r>
      <w:r>
        <w:rPr>
          <w:rFonts w:hint="eastAsia"/>
          <w:b/>
          <w:color w:val="000000" w:themeColor="text1"/>
        </w:rPr>
        <w:t>：</w:t>
      </w:r>
    </w:p>
    <w:p>
      <w:pPr>
        <w:ind w:firstLine="480"/>
        <w:rPr>
          <w:color w:val="000000" w:themeColor="text1"/>
        </w:rPr>
      </w:pPr>
      <w:r>
        <w:rPr>
          <w:rFonts w:hint="eastAsia"/>
          <w:color w:val="000000" w:themeColor="text1"/>
        </w:rPr>
        <w:t>（1）风险防范措施</w:t>
      </w:r>
    </w:p>
    <w:p>
      <w:pPr>
        <w:ind w:firstLine="480"/>
        <w:rPr>
          <w:color w:val="000000" w:themeColor="text1"/>
          <w:szCs w:val="24"/>
        </w:rPr>
      </w:pPr>
      <w:r>
        <w:rPr>
          <w:rFonts w:hint="eastAsia"/>
          <w:color w:val="000000" w:themeColor="text1"/>
          <w:szCs w:val="24"/>
        </w:rPr>
        <w:t>加强企业内污水处理站的检修、维护，并保持完好；对工作人员进行安全生产教育和岗位培训，并定期进行理论实践考核，保证工作人员具备必要的安全生产能力，并熟悉安全生产规章制度和安全生产规程。</w:t>
      </w:r>
    </w:p>
    <w:p>
      <w:pPr>
        <w:ind w:firstLine="480"/>
        <w:rPr>
          <w:color w:val="000000" w:themeColor="text1"/>
        </w:rPr>
      </w:pPr>
      <w:r>
        <w:rPr>
          <w:rFonts w:hint="eastAsia"/>
          <w:color w:val="000000" w:themeColor="text1"/>
        </w:rPr>
        <w:t>（2）应急处置措施</w:t>
      </w:r>
    </w:p>
    <w:p>
      <w:pPr>
        <w:ind w:firstLine="480"/>
        <w:rPr>
          <w:color w:val="000000" w:themeColor="text1"/>
          <w:kern w:val="24"/>
        </w:rPr>
      </w:pPr>
      <w:r>
        <w:rPr>
          <w:rFonts w:hint="eastAsia"/>
          <w:color w:val="000000" w:themeColor="text1"/>
        </w:rPr>
        <w:t>①</w:t>
      </w:r>
      <w:r>
        <w:rPr>
          <w:rFonts w:hint="eastAsia"/>
          <w:color w:val="000000" w:themeColor="text1"/>
          <w:kern w:val="24"/>
        </w:rPr>
        <w:t>发现污水处理设施故障或者发现设备管道滲漏或破裂应立即停机，同时切断排放口与外部水体之间的联系，防止污染介质外流扩散造成水体、土壤的大面积环境污染。</w:t>
      </w:r>
    </w:p>
    <w:p>
      <w:pPr>
        <w:ind w:firstLine="480"/>
        <w:rPr>
          <w:color w:val="000000" w:themeColor="text1"/>
          <w:kern w:val="24"/>
        </w:rPr>
      </w:pPr>
      <w:r>
        <w:rPr>
          <w:rFonts w:hint="eastAsia"/>
          <w:color w:val="000000" w:themeColor="text1"/>
        </w:rPr>
        <w:t>②</w:t>
      </w:r>
      <w:r>
        <w:rPr>
          <w:rFonts w:hint="eastAsia"/>
          <w:color w:val="000000" w:themeColor="text1"/>
          <w:kern w:val="24"/>
        </w:rPr>
        <w:t>组织有关人员对发生废水泄漏、扩散的现场处理，将漏出废水全部转移至调节池，并用清水沖洗地面。</w:t>
      </w:r>
    </w:p>
    <w:p>
      <w:pPr>
        <w:ind w:firstLine="480"/>
        <w:rPr>
          <w:color w:val="000000" w:themeColor="text1"/>
          <w:kern w:val="24"/>
        </w:rPr>
      </w:pPr>
      <w:r>
        <w:rPr>
          <w:rFonts w:hint="eastAsia"/>
          <w:color w:val="000000" w:themeColor="text1"/>
        </w:rPr>
        <w:t>③</w:t>
      </w:r>
      <w:r>
        <w:rPr>
          <w:rFonts w:hint="eastAsia"/>
          <w:color w:val="000000" w:themeColor="text1"/>
          <w:kern w:val="24"/>
        </w:rPr>
        <w:t>对被废水污染的区域进行处理时，采取适当的安全处置措施，对泄漏及受污染的区域、物品进行消毒或者其他无害化处理，必要时封锁污染区域以防扩大污染，应当尽可能减少对工作人员、其他现场人员及环境的影响。</w:t>
      </w:r>
    </w:p>
    <w:p>
      <w:pPr>
        <w:ind w:firstLine="480"/>
        <w:rPr>
          <w:color w:val="000000" w:themeColor="text1"/>
          <w:kern w:val="0"/>
          <w:szCs w:val="21"/>
        </w:rPr>
      </w:pPr>
      <w:r>
        <w:rPr>
          <w:rFonts w:hint="eastAsia"/>
          <w:color w:val="000000" w:themeColor="text1"/>
        </w:rPr>
        <w:t>④本项目调节池可兼作为</w:t>
      </w:r>
      <w:r>
        <w:rPr>
          <w:rFonts w:hint="eastAsia"/>
          <w:snapToGrid w:val="0"/>
          <w:color w:val="000000" w:themeColor="text1"/>
        </w:rPr>
        <w:t>应急事故池，当污水处理设施出现故障时，调节池可以实现临时存储，</w:t>
      </w:r>
      <w:r>
        <w:rPr>
          <w:rFonts w:hint="eastAsia"/>
          <w:color w:val="000000" w:themeColor="text1"/>
        </w:rPr>
        <w:t>不会排至外环境，待事故结束后，再进入污水处理站处理达标后排入市政污水管网</w:t>
      </w:r>
      <w:r>
        <w:rPr>
          <w:rFonts w:hint="eastAsia"/>
          <w:snapToGrid w:val="0"/>
          <w:color w:val="000000" w:themeColor="text1"/>
        </w:rPr>
        <w:t>。</w:t>
      </w:r>
    </w:p>
    <w:p>
      <w:pPr>
        <w:ind w:firstLine="480"/>
        <w:rPr>
          <w:color w:val="000000" w:themeColor="text1"/>
        </w:rPr>
      </w:pPr>
      <w:r>
        <w:rPr>
          <w:rFonts w:hint="eastAsia"/>
          <w:color w:val="000000" w:themeColor="text1"/>
          <w:kern w:val="24"/>
        </w:rPr>
        <w:t>⑤对可能被污染的所有使用过的工具也应当进行消毒。同时，通知维修工立即组织抢修，恢复后启动设各，以检查是否维修好。工作人员应当做好卫生安全防护后再进行工作，处理工作结束后，应对事件的起因进行调查，并采取有效的防范措施，预防类似事件发生。对引起事件的责任人应追究其责任。</w:t>
      </w:r>
    </w:p>
    <w:p>
      <w:pPr>
        <w:ind w:firstLine="482"/>
        <w:rPr>
          <w:b/>
          <w:color w:val="000000" w:themeColor="text1"/>
        </w:rPr>
      </w:pPr>
      <w:r>
        <w:rPr>
          <w:rFonts w:hint="eastAsia"/>
          <w:b/>
          <w:color w:val="000000" w:themeColor="text1"/>
        </w:rPr>
        <w:t>5、</w:t>
      </w:r>
      <w:r>
        <w:rPr>
          <w:rFonts w:hint="eastAsia" w:ascii="Calibri" w:hAnsi="Calibri" w:cs="宋体"/>
          <w:b/>
          <w:color w:val="000000" w:themeColor="text1"/>
          <w:kern w:val="0"/>
        </w:rPr>
        <w:t>动物尸体、检疫不合格产品泄露</w:t>
      </w:r>
      <w:r>
        <w:rPr>
          <w:rFonts w:hint="eastAsia"/>
          <w:b/>
          <w:color w:val="000000" w:themeColor="text1"/>
        </w:rPr>
        <w:t>的</w:t>
      </w:r>
      <w:r>
        <w:rPr>
          <w:rFonts w:hint="eastAsia"/>
          <w:b/>
          <w:color w:val="000000" w:themeColor="text1"/>
          <w:kern w:val="24"/>
          <w:szCs w:val="24"/>
        </w:rPr>
        <w:t>风险防控和应急措施</w:t>
      </w:r>
      <w:r>
        <w:rPr>
          <w:rFonts w:hint="eastAsia"/>
          <w:b/>
          <w:color w:val="000000" w:themeColor="text1"/>
        </w:rPr>
        <w:t>：</w:t>
      </w:r>
    </w:p>
    <w:p>
      <w:pPr>
        <w:ind w:firstLine="480"/>
        <w:rPr>
          <w:color w:val="000000" w:themeColor="text1"/>
        </w:rPr>
      </w:pPr>
      <w:r>
        <w:rPr>
          <w:rFonts w:hint="eastAsia"/>
          <w:color w:val="000000" w:themeColor="text1"/>
        </w:rPr>
        <w:t>（1）风险防范措施</w:t>
      </w:r>
    </w:p>
    <w:p>
      <w:pPr>
        <w:ind w:firstLine="480"/>
        <w:rPr>
          <w:color w:val="000000" w:themeColor="text1"/>
          <w:szCs w:val="24"/>
        </w:rPr>
      </w:pPr>
      <w:r>
        <w:rPr>
          <w:rFonts w:hint="eastAsia"/>
          <w:color w:val="000000" w:themeColor="text1"/>
        </w:rPr>
        <w:t>应设置专门的危险废物管理制度，定期对工作人员进行培训，加强工作人员环保安全意识，要求所有工作人员按照规范处理危险固废，禁止随意丢弃危险废物。危险废物需及时在厂区内使用环保焚烧炉进行无害化处置</w:t>
      </w:r>
      <w:r>
        <w:rPr>
          <w:rFonts w:hint="eastAsia"/>
          <w:color w:val="000000" w:themeColor="text1"/>
          <w:szCs w:val="24"/>
        </w:rPr>
        <w:t>。</w:t>
      </w:r>
    </w:p>
    <w:p>
      <w:pPr>
        <w:ind w:firstLine="480"/>
        <w:rPr>
          <w:color w:val="000000" w:themeColor="text1"/>
        </w:rPr>
      </w:pPr>
      <w:r>
        <w:rPr>
          <w:rFonts w:hint="eastAsia"/>
          <w:color w:val="000000" w:themeColor="text1"/>
        </w:rPr>
        <w:t>（2）应急处置措施</w:t>
      </w:r>
    </w:p>
    <w:p>
      <w:pPr>
        <w:ind w:firstLine="480"/>
        <w:rPr>
          <w:color w:val="000000" w:themeColor="text1"/>
          <w:kern w:val="24"/>
          <w:szCs w:val="24"/>
        </w:rPr>
      </w:pPr>
      <w:r>
        <w:rPr>
          <w:rFonts w:hint="eastAsia"/>
          <w:color w:val="000000" w:themeColor="text1"/>
          <w:kern w:val="24"/>
          <w:szCs w:val="24"/>
        </w:rPr>
        <w:t>①当危险废物发生泄露和扬散时，立即组织人员尽快对现场进行封锁，以防止扩大污染。</w:t>
      </w:r>
    </w:p>
    <w:p>
      <w:pPr>
        <w:ind w:firstLine="480"/>
        <w:rPr>
          <w:color w:val="000000" w:themeColor="text1"/>
          <w:kern w:val="24"/>
          <w:szCs w:val="24"/>
        </w:rPr>
      </w:pPr>
      <w:r>
        <w:rPr>
          <w:rFonts w:hint="eastAsia"/>
          <w:color w:val="000000" w:themeColor="text1"/>
          <w:kern w:val="24"/>
          <w:szCs w:val="24"/>
        </w:rPr>
        <w:t>②立即组织人力对污染现场进行消毒、处理，尽可能减少污染对工人、现场人员及周围环境的影响。</w:t>
      </w:r>
    </w:p>
    <w:p>
      <w:pPr>
        <w:ind w:firstLine="480"/>
        <w:rPr>
          <w:color w:val="000000" w:themeColor="text1"/>
          <w:kern w:val="24"/>
          <w:szCs w:val="24"/>
        </w:rPr>
      </w:pPr>
      <w:r>
        <w:rPr>
          <w:rFonts w:hint="eastAsia"/>
          <w:color w:val="000000" w:themeColor="text1"/>
          <w:kern w:val="24"/>
          <w:szCs w:val="24"/>
        </w:rPr>
        <w:t>③处理工作结束后，领导小组对事件的起因进行调查，汇总资料，并完善防范措施，预防类似事件发生。</w:t>
      </w:r>
      <w:r>
        <w:rPr>
          <w:rFonts w:hint="eastAsia"/>
          <w:color w:val="000000" w:themeColor="text1"/>
          <w:kern w:val="24"/>
        </w:rPr>
        <w:t>对引起事件的责任人应追究其责任。</w:t>
      </w:r>
    </w:p>
    <w:p>
      <w:pPr>
        <w:ind w:firstLine="482"/>
        <w:rPr>
          <w:b/>
          <w:color w:val="000000" w:themeColor="text1"/>
        </w:rPr>
      </w:pPr>
      <w:r>
        <w:rPr>
          <w:rFonts w:hint="eastAsia"/>
          <w:b/>
          <w:color w:val="000000" w:themeColor="text1"/>
        </w:rPr>
        <w:t>6、其他风险事故防范</w:t>
      </w:r>
    </w:p>
    <w:p>
      <w:pPr>
        <w:ind w:firstLine="480"/>
        <w:rPr>
          <w:color w:val="000000" w:themeColor="text1"/>
        </w:rPr>
      </w:pPr>
      <w:r>
        <w:rPr>
          <w:rFonts w:hint="eastAsia"/>
          <w:color w:val="000000" w:themeColor="text1"/>
        </w:rPr>
        <w:t>（1）安全教育要纳入企业经营管理范畴，完善安全组织结构。成立事故应急救援指挥领导小组，组织专业救援队伍，明确各自职责，并配备相应的应急设施、设备和材料。</w:t>
      </w:r>
    </w:p>
    <w:p>
      <w:pPr>
        <w:ind w:firstLine="480"/>
        <w:rPr>
          <w:color w:val="000000" w:themeColor="text1"/>
        </w:rPr>
      </w:pPr>
      <w:r>
        <w:rPr>
          <w:rFonts w:hint="eastAsia"/>
          <w:color w:val="000000" w:themeColor="text1"/>
        </w:rPr>
        <w:t>（2）加强安全卫生培训，掌握处理事故的技能，加强技术防范，杜绝危害职工健康的事故发生。</w:t>
      </w:r>
    </w:p>
    <w:p>
      <w:pPr>
        <w:ind w:firstLine="480"/>
        <w:rPr>
          <w:color w:val="000000" w:themeColor="text1"/>
        </w:rPr>
      </w:pPr>
      <w:r>
        <w:rPr>
          <w:rFonts w:hint="eastAsia"/>
          <w:color w:val="000000" w:themeColor="text1"/>
        </w:rPr>
        <w:t>（3）建筑物的防雷等级应符合《建筑物防雷设计规范》的“第二类”设计规定，防雷接地装置的冲击接地电阻应小于10Ω。</w:t>
      </w:r>
    </w:p>
    <w:p>
      <w:pPr>
        <w:ind w:firstLine="480"/>
        <w:rPr>
          <w:color w:val="000000" w:themeColor="text1"/>
        </w:rPr>
      </w:pPr>
      <w:r>
        <w:rPr>
          <w:rFonts w:hint="eastAsia"/>
          <w:color w:val="000000" w:themeColor="text1"/>
        </w:rPr>
        <w:t>（4）加强污水处理设施的运行维护，制定操作规程，确保废水稳定达标回用；完善事故应急措施和相关应急物资，指定突发环境事件应急预案并加强演练，杜绝废水事故性排放。</w:t>
      </w:r>
    </w:p>
    <w:p>
      <w:pPr>
        <w:ind w:firstLine="482"/>
        <w:rPr>
          <w:b/>
          <w:color w:val="000000" w:themeColor="text1"/>
        </w:rPr>
      </w:pPr>
      <w:r>
        <w:rPr>
          <w:rFonts w:hint="eastAsia"/>
          <w:b/>
          <w:color w:val="000000" w:themeColor="text1"/>
        </w:rPr>
        <w:t>7、事故水池设置</w:t>
      </w:r>
    </w:p>
    <w:p>
      <w:pPr>
        <w:ind w:firstLine="480"/>
        <w:rPr>
          <w:color w:val="000000" w:themeColor="text1"/>
        </w:rPr>
      </w:pPr>
      <w:r>
        <w:rPr>
          <w:rFonts w:hint="eastAsia"/>
          <w:color w:val="000000" w:themeColor="text1"/>
        </w:rPr>
        <w:t>本项目不单独设置事故水池，依托污水处理站的调节池作为事故水池兼用，主要是应对生产过程中污水处理站发生故障时，接纳生产生活废水，然后通过污水处理站处理后回用。事故水池的容积按照10h生产生活废水总量计算，计算如下：</w:t>
      </w:r>
    </w:p>
    <w:p>
      <w:pPr>
        <w:ind w:firstLine="480"/>
        <w:rPr>
          <w:color w:val="000000" w:themeColor="text1"/>
        </w:rPr>
      </w:pPr>
      <w:r>
        <w:rPr>
          <w:color w:val="000000" w:themeColor="text1"/>
        </w:rPr>
        <w:t>V=V</w:t>
      </w:r>
      <w:r>
        <w:rPr>
          <w:color w:val="000000" w:themeColor="text1"/>
          <w:vertAlign w:val="subscript"/>
        </w:rPr>
        <w:t>1</w:t>
      </w:r>
      <w:r>
        <w:rPr>
          <w:color w:val="000000" w:themeColor="text1"/>
        </w:rPr>
        <w:t>+V</w:t>
      </w:r>
      <w:r>
        <w:rPr>
          <w:color w:val="000000" w:themeColor="text1"/>
          <w:vertAlign w:val="subscript"/>
        </w:rPr>
        <w:t>2</w:t>
      </w:r>
    </w:p>
    <w:p>
      <w:pPr>
        <w:ind w:firstLine="480"/>
        <w:rPr>
          <w:color w:val="000000" w:themeColor="text1"/>
        </w:rPr>
      </w:pPr>
      <w:r>
        <w:rPr>
          <w:rFonts w:hint="eastAsia"/>
          <w:color w:val="000000" w:themeColor="text1"/>
        </w:rPr>
        <w:t>V：事故水池容积，m</w:t>
      </w:r>
      <w:r>
        <w:rPr>
          <w:rFonts w:hint="eastAsia"/>
          <w:color w:val="000000" w:themeColor="text1"/>
          <w:vertAlign w:val="superscript"/>
        </w:rPr>
        <w:t>3</w:t>
      </w:r>
      <w:r>
        <w:rPr>
          <w:rFonts w:hint="eastAsia"/>
          <w:color w:val="000000" w:themeColor="text1"/>
        </w:rPr>
        <w:t>；</w:t>
      </w:r>
    </w:p>
    <w:p>
      <w:pPr>
        <w:ind w:firstLine="480"/>
        <w:rPr>
          <w:color w:val="000000" w:themeColor="text1"/>
        </w:rPr>
      </w:pPr>
      <w:r>
        <w:rPr>
          <w:rFonts w:hint="eastAsia"/>
          <w:color w:val="000000" w:themeColor="text1"/>
        </w:rPr>
        <w:t>V</w:t>
      </w:r>
      <w:r>
        <w:rPr>
          <w:rFonts w:hint="eastAsia"/>
          <w:color w:val="000000" w:themeColor="text1"/>
          <w:vertAlign w:val="subscript"/>
        </w:rPr>
        <w:t>1</w:t>
      </w:r>
      <w:r>
        <w:rPr>
          <w:rFonts w:hint="eastAsia"/>
          <w:color w:val="000000" w:themeColor="text1"/>
        </w:rPr>
        <w:t>：生产废水日产生量；</w:t>
      </w:r>
    </w:p>
    <w:p>
      <w:pPr>
        <w:ind w:firstLine="480"/>
        <w:rPr>
          <w:color w:val="000000" w:themeColor="text1"/>
        </w:rPr>
      </w:pPr>
      <w:r>
        <w:rPr>
          <w:rFonts w:hint="eastAsia"/>
          <w:color w:val="000000" w:themeColor="text1"/>
        </w:rPr>
        <w:t>V</w:t>
      </w:r>
      <w:r>
        <w:rPr>
          <w:rFonts w:hint="eastAsia"/>
          <w:color w:val="000000" w:themeColor="text1"/>
          <w:vertAlign w:val="subscript"/>
        </w:rPr>
        <w:t>2</w:t>
      </w:r>
      <w:r>
        <w:rPr>
          <w:rFonts w:hint="eastAsia"/>
          <w:color w:val="000000" w:themeColor="text1"/>
        </w:rPr>
        <w:t>：生活废水日产生量。</w:t>
      </w:r>
    </w:p>
    <w:p>
      <w:pPr>
        <w:ind w:firstLine="480"/>
        <w:rPr>
          <w:color w:val="000000" w:themeColor="text1"/>
        </w:rPr>
      </w:pPr>
      <w:r>
        <w:rPr>
          <w:rFonts w:hint="eastAsia"/>
          <w:color w:val="000000" w:themeColor="text1"/>
        </w:rPr>
        <w:t>计算得V=234m</w:t>
      </w:r>
      <w:r>
        <w:rPr>
          <w:rFonts w:hint="eastAsia"/>
          <w:color w:val="000000" w:themeColor="text1"/>
          <w:vertAlign w:val="superscript"/>
        </w:rPr>
        <w:t>3</w:t>
      </w:r>
      <w:r>
        <w:rPr>
          <w:rFonts w:hint="eastAsia"/>
          <w:color w:val="000000" w:themeColor="text1"/>
        </w:rPr>
        <w:t>。</w:t>
      </w:r>
    </w:p>
    <w:p>
      <w:pPr>
        <w:ind w:firstLine="480"/>
        <w:rPr>
          <w:color w:val="000000" w:themeColor="text1"/>
        </w:rPr>
      </w:pPr>
      <w:r>
        <w:rPr>
          <w:rFonts w:hint="eastAsia"/>
          <w:color w:val="000000" w:themeColor="text1"/>
        </w:rPr>
        <w:t>本项目污水处理站设置300m</w:t>
      </w:r>
      <w:r>
        <w:rPr>
          <w:rFonts w:hint="eastAsia"/>
          <w:color w:val="000000" w:themeColor="text1"/>
          <w:vertAlign w:val="superscript"/>
        </w:rPr>
        <w:t>3</w:t>
      </w:r>
      <w:r>
        <w:rPr>
          <w:rFonts w:hint="eastAsia"/>
          <w:color w:val="000000" w:themeColor="text1"/>
        </w:rPr>
        <w:t>的调节池，兼做事故水池使用，可满足事故水池容积要求。</w:t>
      </w:r>
    </w:p>
    <w:p>
      <w:pPr>
        <w:pStyle w:val="38"/>
        <w:ind w:firstLine="281"/>
        <w:rPr>
          <w:color w:val="000000" w:themeColor="text1"/>
        </w:rPr>
      </w:pPr>
      <w:bookmarkStart w:id="237" w:name="_Toc47375880"/>
      <w:r>
        <w:rPr>
          <w:rFonts w:hint="eastAsia"/>
          <w:color w:val="000000" w:themeColor="text1"/>
        </w:rPr>
        <w:t>6.5.4应急预案</w:t>
      </w:r>
      <w:bookmarkEnd w:id="237"/>
    </w:p>
    <w:p>
      <w:pPr>
        <w:ind w:firstLine="480"/>
        <w:rPr>
          <w:color w:val="000000" w:themeColor="text1"/>
          <w:kern w:val="0"/>
          <w:szCs w:val="24"/>
        </w:rPr>
      </w:pPr>
      <w:r>
        <w:rPr>
          <w:rFonts w:hint="eastAsia"/>
          <w:color w:val="000000" w:themeColor="text1"/>
          <w:kern w:val="0"/>
          <w:szCs w:val="24"/>
        </w:rPr>
        <w:t>应急预案的设立目的在于一旦发生风险时能及时控制污染源；抢救受害人员，有效降低伤亡率；指导有关群众防护、组织群众撤离疏散；做好现场清消，清除危害后果，防止对人的继续危害和对环境的污染。</w:t>
      </w:r>
    </w:p>
    <w:p>
      <w:pPr>
        <w:ind w:firstLine="480"/>
        <w:rPr>
          <w:color w:val="000000" w:themeColor="text1"/>
        </w:rPr>
      </w:pPr>
      <w:bookmarkStart w:id="238" w:name="_Toc398124276"/>
      <w:bookmarkStart w:id="239" w:name="_Toc232864341"/>
      <w:bookmarkStart w:id="240" w:name="_Toc6428725"/>
      <w:bookmarkStart w:id="241" w:name="_Toc228733643"/>
      <w:bookmarkStart w:id="242" w:name="_Toc211848403"/>
      <w:r>
        <w:rPr>
          <w:rFonts w:hint="eastAsia"/>
          <w:color w:val="000000" w:themeColor="text1"/>
        </w:rPr>
        <w:t>1、应急计划区</w:t>
      </w:r>
      <w:bookmarkEnd w:id="238"/>
      <w:bookmarkEnd w:id="239"/>
      <w:bookmarkEnd w:id="240"/>
      <w:bookmarkEnd w:id="241"/>
      <w:bookmarkEnd w:id="242"/>
    </w:p>
    <w:p>
      <w:pPr>
        <w:ind w:firstLine="480"/>
        <w:rPr>
          <w:color w:val="000000" w:themeColor="text1"/>
          <w:kern w:val="0"/>
          <w:szCs w:val="24"/>
        </w:rPr>
      </w:pPr>
      <w:r>
        <w:rPr>
          <w:rFonts w:hint="eastAsia"/>
          <w:color w:val="000000" w:themeColor="text1"/>
          <w:kern w:val="0"/>
          <w:szCs w:val="24"/>
        </w:rPr>
        <w:t>应急计划区主要针对危险目标。装置区及贮存区在于如何控制不蔓延，让事故尽量局限在场内，短期消除。作好人员的疏散和安置。</w:t>
      </w:r>
    </w:p>
    <w:p>
      <w:pPr>
        <w:ind w:firstLine="480"/>
        <w:rPr>
          <w:color w:val="000000" w:themeColor="text1"/>
          <w:kern w:val="0"/>
          <w:szCs w:val="24"/>
        </w:rPr>
      </w:pPr>
      <w:r>
        <w:rPr>
          <w:rFonts w:hint="eastAsia"/>
          <w:color w:val="000000" w:themeColor="text1"/>
          <w:kern w:val="0"/>
          <w:szCs w:val="24"/>
        </w:rPr>
        <w:t>（</w:t>
      </w:r>
      <w:r>
        <w:rPr>
          <w:color w:val="000000" w:themeColor="text1"/>
          <w:kern w:val="0"/>
          <w:szCs w:val="24"/>
        </w:rPr>
        <w:t>1</w:t>
      </w:r>
      <w:r>
        <w:rPr>
          <w:rFonts w:hint="eastAsia"/>
          <w:color w:val="000000" w:themeColor="text1"/>
          <w:kern w:val="0"/>
          <w:szCs w:val="24"/>
        </w:rPr>
        <w:t>）加工区和贮存区</w:t>
      </w:r>
    </w:p>
    <w:p>
      <w:pPr>
        <w:ind w:firstLine="480"/>
        <w:rPr>
          <w:color w:val="000000" w:themeColor="text1"/>
          <w:kern w:val="0"/>
          <w:szCs w:val="24"/>
        </w:rPr>
      </w:pPr>
      <w:r>
        <w:rPr>
          <w:rFonts w:hint="eastAsia"/>
          <w:color w:val="000000" w:themeColor="text1"/>
          <w:kern w:val="0"/>
          <w:szCs w:val="24"/>
        </w:rPr>
        <w:t>本项目的危险目标主要为次氯酸钠泄露、污水事故排放、动物尸体外流等产生的影响引起伴生次生影响。</w:t>
      </w:r>
    </w:p>
    <w:p>
      <w:pPr>
        <w:ind w:firstLine="480"/>
        <w:rPr>
          <w:color w:val="000000" w:themeColor="text1"/>
          <w:kern w:val="0"/>
          <w:szCs w:val="24"/>
        </w:rPr>
      </w:pPr>
      <w:r>
        <w:rPr>
          <w:rFonts w:hint="eastAsia"/>
          <w:color w:val="000000" w:themeColor="text1"/>
          <w:kern w:val="0"/>
          <w:szCs w:val="24"/>
        </w:rPr>
        <w:t>（</w:t>
      </w:r>
      <w:r>
        <w:rPr>
          <w:color w:val="000000" w:themeColor="text1"/>
          <w:kern w:val="0"/>
          <w:szCs w:val="24"/>
        </w:rPr>
        <w:t>2</w:t>
      </w:r>
      <w:r>
        <w:rPr>
          <w:rFonts w:hint="eastAsia"/>
          <w:color w:val="000000" w:themeColor="text1"/>
          <w:kern w:val="0"/>
          <w:szCs w:val="24"/>
        </w:rPr>
        <w:t>）环境影响区</w:t>
      </w:r>
    </w:p>
    <w:p>
      <w:pPr>
        <w:ind w:firstLine="480"/>
        <w:rPr>
          <w:color w:val="000000" w:themeColor="text1"/>
          <w:kern w:val="0"/>
          <w:szCs w:val="24"/>
        </w:rPr>
      </w:pPr>
      <w:r>
        <w:rPr>
          <w:rFonts w:hint="eastAsia"/>
          <w:color w:val="000000" w:themeColor="text1"/>
          <w:kern w:val="0"/>
          <w:szCs w:val="24"/>
        </w:rPr>
        <w:t>火灾、爆炸造成人员伤亡。</w:t>
      </w:r>
    </w:p>
    <w:p>
      <w:pPr>
        <w:ind w:firstLine="482"/>
        <w:rPr>
          <w:b/>
          <w:color w:val="000000" w:themeColor="text1"/>
        </w:rPr>
      </w:pPr>
      <w:bookmarkStart w:id="243" w:name="_Toc398124277"/>
      <w:bookmarkStart w:id="244" w:name="_Toc232864342"/>
      <w:bookmarkStart w:id="245" w:name="_Toc6428726"/>
      <w:bookmarkStart w:id="246" w:name="_Toc211848404"/>
      <w:bookmarkStart w:id="247" w:name="_Toc228733644"/>
      <w:r>
        <w:rPr>
          <w:rFonts w:hint="eastAsia"/>
          <w:b/>
          <w:color w:val="000000" w:themeColor="text1"/>
        </w:rPr>
        <w:t>2、应急组织机构及分级响应条件</w:t>
      </w:r>
      <w:bookmarkEnd w:id="243"/>
      <w:bookmarkEnd w:id="244"/>
      <w:bookmarkEnd w:id="245"/>
      <w:bookmarkEnd w:id="246"/>
      <w:bookmarkEnd w:id="247"/>
    </w:p>
    <w:p>
      <w:pPr>
        <w:ind w:firstLine="480"/>
        <w:rPr>
          <w:color w:val="000000" w:themeColor="text1"/>
          <w:kern w:val="0"/>
        </w:rPr>
      </w:pPr>
      <w:r>
        <w:rPr>
          <w:rFonts w:hint="eastAsia"/>
          <w:color w:val="000000" w:themeColor="text1"/>
          <w:kern w:val="0"/>
        </w:rPr>
        <w:t>（</w:t>
      </w:r>
      <w:r>
        <w:rPr>
          <w:color w:val="000000" w:themeColor="text1"/>
          <w:kern w:val="0"/>
        </w:rPr>
        <w:t>1</w:t>
      </w:r>
      <w:r>
        <w:rPr>
          <w:rFonts w:hint="eastAsia"/>
          <w:color w:val="000000" w:themeColor="text1"/>
          <w:kern w:val="0"/>
        </w:rPr>
        <w:t>）应急救援组织机构</w:t>
      </w:r>
    </w:p>
    <w:p>
      <w:pPr>
        <w:ind w:firstLine="480"/>
        <w:rPr>
          <w:color w:val="000000" w:themeColor="text1"/>
          <w:kern w:val="0"/>
          <w:szCs w:val="24"/>
        </w:rPr>
      </w:pPr>
      <w:r>
        <w:rPr>
          <w:rFonts w:hint="eastAsia"/>
          <w:color w:val="000000" w:themeColor="text1"/>
          <w:kern w:val="0"/>
          <w:szCs w:val="24"/>
        </w:rPr>
        <w:t>公司应设立以总经理为总指挥、副总经理为副总指挥的应急救援领导小组，各专业组组长由主要负责人组成。当发生重大事故时，应急救援指挥领导小组负责全厂应急救援工作的组织和指挥，指挥部设在生产调度室，全权负责应急救援工作。应急救援组织机构设置见图6.5.4-1：</w:t>
      </w:r>
    </w:p>
    <w:p>
      <w:pPr>
        <w:pStyle w:val="54"/>
        <w:rPr>
          <w:color w:val="000000" w:themeColor="text1"/>
          <w:kern w:val="0"/>
          <w:sz w:val="24"/>
        </w:rPr>
      </w:pPr>
      <w:r>
        <w:rPr>
          <w:color w:val="000000" w:themeColor="text1"/>
          <w:kern w:val="0"/>
        </w:rPr>
        <w:drawing>
          <wp:inline distT="0" distB="0" distL="0" distR="0">
            <wp:extent cx="5274310" cy="3544570"/>
            <wp:effectExtent l="19050" t="0" r="2540" b="0"/>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noChangeArrowheads="1"/>
                    </pic:cNvPicPr>
                  </pic:nvPicPr>
                  <pic:blipFill>
                    <a:blip r:embed="rId40"/>
                    <a:srcRect/>
                    <a:stretch>
                      <a:fillRect/>
                    </a:stretch>
                  </pic:blipFill>
                  <pic:spPr>
                    <a:xfrm>
                      <a:off x="0" y="0"/>
                      <a:ext cx="5274310" cy="3545117"/>
                    </a:xfrm>
                    <a:prstGeom prst="rect">
                      <a:avLst/>
                    </a:prstGeom>
                    <a:noFill/>
                    <a:ln w="9525">
                      <a:noFill/>
                      <a:miter lim="800000"/>
                      <a:headEnd/>
                      <a:tailEnd/>
                    </a:ln>
                  </pic:spPr>
                </pic:pic>
              </a:graphicData>
            </a:graphic>
          </wp:inline>
        </w:drawing>
      </w:r>
    </w:p>
    <w:p>
      <w:pPr>
        <w:pStyle w:val="54"/>
        <w:rPr>
          <w:color w:val="000000" w:themeColor="text1"/>
        </w:rPr>
      </w:pPr>
      <w:r>
        <w:rPr>
          <w:rFonts w:hint="eastAsia"/>
          <w:color w:val="000000" w:themeColor="text1"/>
        </w:rPr>
        <w:t>图</w:t>
      </w:r>
      <w:r>
        <w:rPr>
          <w:color w:val="000000" w:themeColor="text1"/>
        </w:rPr>
        <w:t xml:space="preserve">8-1   </w:t>
      </w:r>
      <w:r>
        <w:rPr>
          <w:rFonts w:hint="eastAsia"/>
          <w:color w:val="000000" w:themeColor="text1"/>
        </w:rPr>
        <w:t>应急救援组织机构图</w:t>
      </w:r>
    </w:p>
    <w:p>
      <w:pPr>
        <w:ind w:firstLine="480"/>
        <w:rPr>
          <w:color w:val="000000" w:themeColor="text1"/>
          <w:kern w:val="0"/>
          <w:szCs w:val="24"/>
        </w:rPr>
      </w:pPr>
      <w:r>
        <w:rPr>
          <w:rFonts w:hint="eastAsia"/>
          <w:color w:val="000000" w:themeColor="text1"/>
          <w:kern w:val="0"/>
          <w:szCs w:val="24"/>
        </w:rPr>
        <w:t>（</w:t>
      </w:r>
      <w:r>
        <w:rPr>
          <w:color w:val="000000" w:themeColor="text1"/>
          <w:kern w:val="0"/>
          <w:szCs w:val="24"/>
        </w:rPr>
        <w:t>2</w:t>
      </w:r>
      <w:r>
        <w:rPr>
          <w:rFonts w:hint="eastAsia"/>
          <w:color w:val="000000" w:themeColor="text1"/>
          <w:kern w:val="0"/>
          <w:szCs w:val="24"/>
        </w:rPr>
        <w:t>）应急救援领导小组职责</w:t>
      </w:r>
    </w:p>
    <w:p>
      <w:pPr>
        <w:ind w:firstLine="480"/>
        <w:rPr>
          <w:color w:val="000000" w:themeColor="text1"/>
          <w:kern w:val="0"/>
          <w:szCs w:val="24"/>
        </w:rPr>
      </w:pPr>
      <w:r>
        <w:rPr>
          <w:color w:val="000000" w:themeColor="text1"/>
          <w:kern w:val="0"/>
          <w:szCs w:val="24"/>
        </w:rPr>
        <w:t>1</w:t>
      </w:r>
      <w:r>
        <w:rPr>
          <w:rFonts w:hint="eastAsia"/>
          <w:color w:val="000000" w:themeColor="text1"/>
          <w:kern w:val="0"/>
          <w:szCs w:val="24"/>
        </w:rPr>
        <w:t>）执行国家有关应急救援工作的法律法规和政策；</w:t>
      </w:r>
    </w:p>
    <w:p>
      <w:pPr>
        <w:ind w:firstLine="480"/>
        <w:rPr>
          <w:color w:val="000000" w:themeColor="text1"/>
          <w:kern w:val="0"/>
          <w:szCs w:val="24"/>
        </w:rPr>
      </w:pPr>
      <w:r>
        <w:rPr>
          <w:color w:val="000000" w:themeColor="text1"/>
          <w:kern w:val="0"/>
          <w:szCs w:val="24"/>
        </w:rPr>
        <w:t>2</w:t>
      </w:r>
      <w:r>
        <w:rPr>
          <w:rFonts w:hint="eastAsia"/>
          <w:color w:val="000000" w:themeColor="text1"/>
          <w:kern w:val="0"/>
          <w:szCs w:val="24"/>
        </w:rPr>
        <w:t>）负责组织</w:t>
      </w:r>
      <w:r>
        <w:rPr>
          <w:color w:val="000000" w:themeColor="text1"/>
          <w:kern w:val="0"/>
          <w:szCs w:val="24"/>
        </w:rPr>
        <w:t>“</w:t>
      </w:r>
      <w:r>
        <w:rPr>
          <w:rFonts w:hint="eastAsia"/>
          <w:color w:val="000000" w:themeColor="text1"/>
          <w:kern w:val="0"/>
          <w:szCs w:val="24"/>
        </w:rPr>
        <w:t>预案</w:t>
      </w:r>
      <w:r>
        <w:rPr>
          <w:color w:val="000000" w:themeColor="text1"/>
          <w:kern w:val="0"/>
          <w:szCs w:val="24"/>
        </w:rPr>
        <w:t>”</w:t>
      </w:r>
      <w:r>
        <w:rPr>
          <w:rFonts w:hint="eastAsia"/>
          <w:color w:val="000000" w:themeColor="text1"/>
          <w:kern w:val="0"/>
          <w:szCs w:val="24"/>
        </w:rPr>
        <w:t>的制定、修订；</w:t>
      </w:r>
    </w:p>
    <w:p>
      <w:pPr>
        <w:ind w:firstLine="480"/>
        <w:rPr>
          <w:color w:val="000000" w:themeColor="text1"/>
          <w:kern w:val="0"/>
          <w:szCs w:val="24"/>
        </w:rPr>
      </w:pPr>
      <w:r>
        <w:rPr>
          <w:color w:val="000000" w:themeColor="text1"/>
          <w:kern w:val="0"/>
          <w:szCs w:val="24"/>
        </w:rPr>
        <w:t>3</w:t>
      </w:r>
      <w:r>
        <w:rPr>
          <w:rFonts w:hint="eastAsia"/>
          <w:color w:val="000000" w:themeColor="text1"/>
          <w:kern w:val="0"/>
          <w:szCs w:val="24"/>
        </w:rPr>
        <w:t>）检查督促做好危险化学品事故预防和应急救援准备工作，包括应急教育、培训和定期演练等活动。</w:t>
      </w:r>
    </w:p>
    <w:p>
      <w:pPr>
        <w:ind w:firstLine="480"/>
        <w:rPr>
          <w:color w:val="000000" w:themeColor="text1"/>
          <w:kern w:val="0"/>
          <w:szCs w:val="24"/>
        </w:rPr>
      </w:pPr>
      <w:r>
        <w:rPr>
          <w:rFonts w:hint="eastAsia"/>
          <w:color w:val="000000" w:themeColor="text1"/>
          <w:kern w:val="0"/>
          <w:szCs w:val="24"/>
        </w:rPr>
        <w:t>（</w:t>
      </w:r>
      <w:r>
        <w:rPr>
          <w:color w:val="000000" w:themeColor="text1"/>
          <w:kern w:val="0"/>
          <w:szCs w:val="24"/>
        </w:rPr>
        <w:t>3</w:t>
      </w:r>
      <w:r>
        <w:rPr>
          <w:rFonts w:hint="eastAsia"/>
          <w:color w:val="000000" w:themeColor="text1"/>
          <w:kern w:val="0"/>
          <w:szCs w:val="24"/>
        </w:rPr>
        <w:t>）指挥部职责</w:t>
      </w:r>
    </w:p>
    <w:p>
      <w:pPr>
        <w:ind w:firstLine="480"/>
        <w:rPr>
          <w:color w:val="000000" w:themeColor="text1"/>
          <w:kern w:val="0"/>
          <w:szCs w:val="24"/>
        </w:rPr>
      </w:pPr>
      <w:r>
        <w:rPr>
          <w:color w:val="000000" w:themeColor="text1"/>
          <w:kern w:val="0"/>
          <w:szCs w:val="24"/>
        </w:rPr>
        <w:t>1</w:t>
      </w:r>
      <w:r>
        <w:rPr>
          <w:rFonts w:hint="eastAsia"/>
          <w:color w:val="000000" w:themeColor="text1"/>
          <w:kern w:val="0"/>
          <w:szCs w:val="24"/>
        </w:rPr>
        <w:t>）发生重大事故时，由指挥部发布实施和解除应急救援命令；</w:t>
      </w:r>
    </w:p>
    <w:p>
      <w:pPr>
        <w:ind w:firstLine="480"/>
        <w:rPr>
          <w:color w:val="000000" w:themeColor="text1"/>
          <w:kern w:val="0"/>
          <w:szCs w:val="24"/>
        </w:rPr>
      </w:pPr>
      <w:r>
        <w:rPr>
          <w:color w:val="000000" w:themeColor="text1"/>
          <w:kern w:val="0"/>
          <w:szCs w:val="24"/>
        </w:rPr>
        <w:t>2</w:t>
      </w:r>
      <w:r>
        <w:rPr>
          <w:rFonts w:hint="eastAsia"/>
          <w:color w:val="000000" w:themeColor="text1"/>
          <w:kern w:val="0"/>
          <w:szCs w:val="24"/>
        </w:rPr>
        <w:t>）分析灾情、确定事故救援方案、制定各阶段的应急对策，组织指挥救援队伍，实施救援行动；</w:t>
      </w:r>
    </w:p>
    <w:p>
      <w:pPr>
        <w:ind w:firstLine="480"/>
        <w:rPr>
          <w:color w:val="000000" w:themeColor="text1"/>
          <w:kern w:val="0"/>
          <w:szCs w:val="24"/>
        </w:rPr>
      </w:pPr>
      <w:r>
        <w:rPr>
          <w:color w:val="000000" w:themeColor="text1"/>
          <w:kern w:val="0"/>
          <w:szCs w:val="24"/>
        </w:rPr>
        <w:t>3</w:t>
      </w:r>
      <w:r>
        <w:rPr>
          <w:rFonts w:hint="eastAsia"/>
          <w:color w:val="000000" w:themeColor="text1"/>
          <w:kern w:val="0"/>
          <w:szCs w:val="24"/>
        </w:rPr>
        <w:t>）负责对各应急救援专业队伍下达指挥命令、向上级部门汇报、以及向周边单位通报事故情况，并发出救援请求；</w:t>
      </w:r>
    </w:p>
    <w:p>
      <w:pPr>
        <w:ind w:firstLine="480"/>
        <w:rPr>
          <w:color w:val="000000" w:themeColor="text1"/>
          <w:kern w:val="0"/>
          <w:szCs w:val="24"/>
        </w:rPr>
      </w:pPr>
      <w:r>
        <w:rPr>
          <w:color w:val="000000" w:themeColor="text1"/>
          <w:kern w:val="0"/>
          <w:szCs w:val="24"/>
        </w:rPr>
        <w:t>4</w:t>
      </w:r>
      <w:r>
        <w:rPr>
          <w:rFonts w:hint="eastAsia"/>
          <w:color w:val="000000" w:themeColor="text1"/>
          <w:kern w:val="0"/>
          <w:szCs w:val="24"/>
        </w:rPr>
        <w:t>）负责对外界公众的新闻报道，组织新闻发布会；</w:t>
      </w:r>
    </w:p>
    <w:p>
      <w:pPr>
        <w:ind w:firstLine="480"/>
        <w:rPr>
          <w:color w:val="000000" w:themeColor="text1"/>
          <w:kern w:val="0"/>
          <w:szCs w:val="24"/>
        </w:rPr>
      </w:pPr>
      <w:r>
        <w:rPr>
          <w:color w:val="000000" w:themeColor="text1"/>
          <w:kern w:val="0"/>
          <w:szCs w:val="24"/>
        </w:rPr>
        <w:t>5</w:t>
      </w:r>
      <w:r>
        <w:rPr>
          <w:rFonts w:hint="eastAsia"/>
          <w:color w:val="000000" w:themeColor="text1"/>
          <w:kern w:val="0"/>
          <w:szCs w:val="24"/>
        </w:rPr>
        <w:t>）组织事故调查、总结应急救援工作的经验教训；</w:t>
      </w:r>
    </w:p>
    <w:p>
      <w:pPr>
        <w:ind w:firstLine="480"/>
        <w:rPr>
          <w:color w:val="000000" w:themeColor="text1"/>
          <w:kern w:val="0"/>
          <w:szCs w:val="24"/>
        </w:rPr>
      </w:pPr>
      <w:r>
        <w:rPr>
          <w:rFonts w:hint="eastAsia"/>
          <w:color w:val="000000" w:themeColor="text1"/>
          <w:kern w:val="0"/>
          <w:szCs w:val="24"/>
        </w:rPr>
        <w:t>（</w:t>
      </w:r>
      <w:r>
        <w:rPr>
          <w:color w:val="000000" w:themeColor="text1"/>
          <w:kern w:val="0"/>
          <w:szCs w:val="24"/>
        </w:rPr>
        <w:t>4</w:t>
      </w:r>
      <w:r>
        <w:rPr>
          <w:rFonts w:hint="eastAsia"/>
          <w:color w:val="000000" w:themeColor="text1"/>
          <w:kern w:val="0"/>
          <w:szCs w:val="24"/>
        </w:rPr>
        <w:t>）分级响应</w:t>
      </w:r>
    </w:p>
    <w:p>
      <w:pPr>
        <w:ind w:firstLine="480"/>
        <w:rPr>
          <w:color w:val="000000" w:themeColor="text1"/>
          <w:kern w:val="0"/>
          <w:szCs w:val="24"/>
        </w:rPr>
      </w:pPr>
      <w:r>
        <w:rPr>
          <w:rFonts w:hint="eastAsia"/>
          <w:color w:val="000000" w:themeColor="text1"/>
          <w:kern w:val="0"/>
          <w:szCs w:val="24"/>
        </w:rPr>
        <w:t>根据公司实际情况，把事故应急分为一级、二级两个级别，一级由公司负责响应、实施，二级需报地方政府协助进行实施。</w:t>
      </w:r>
    </w:p>
    <w:p>
      <w:pPr>
        <w:ind w:firstLine="480"/>
        <w:rPr>
          <w:color w:val="000000" w:themeColor="text1"/>
          <w:kern w:val="0"/>
          <w:szCs w:val="24"/>
        </w:rPr>
      </w:pPr>
      <w:r>
        <w:rPr>
          <w:rFonts w:hint="eastAsia"/>
          <w:color w:val="000000" w:themeColor="text1"/>
          <w:kern w:val="0"/>
          <w:szCs w:val="24"/>
        </w:rPr>
        <w:t>（</w:t>
      </w:r>
      <w:r>
        <w:rPr>
          <w:color w:val="000000" w:themeColor="text1"/>
          <w:kern w:val="0"/>
          <w:szCs w:val="24"/>
        </w:rPr>
        <w:t>5</w:t>
      </w:r>
      <w:r>
        <w:rPr>
          <w:rFonts w:hint="eastAsia"/>
          <w:color w:val="000000" w:themeColor="text1"/>
          <w:kern w:val="0"/>
          <w:szCs w:val="24"/>
        </w:rPr>
        <w:t>）社会救援</w:t>
      </w:r>
    </w:p>
    <w:p>
      <w:pPr>
        <w:ind w:firstLine="480"/>
        <w:rPr>
          <w:color w:val="000000" w:themeColor="text1"/>
          <w:kern w:val="0"/>
          <w:szCs w:val="24"/>
        </w:rPr>
      </w:pPr>
      <w:r>
        <w:rPr>
          <w:rFonts w:hint="eastAsia"/>
          <w:color w:val="000000" w:themeColor="text1"/>
          <w:kern w:val="0"/>
          <w:szCs w:val="24"/>
        </w:rPr>
        <w:t>当事故危害不仅在工厂内，且危害程度较大或危害范围已影响周围邻近地区，依靠本项目力量不能控制事故，或不能及时消除事故后果，则应组织社会救援。</w:t>
      </w:r>
    </w:p>
    <w:p>
      <w:pPr>
        <w:ind w:firstLine="482"/>
        <w:rPr>
          <w:b/>
          <w:color w:val="000000" w:themeColor="text1"/>
        </w:rPr>
      </w:pPr>
      <w:bookmarkStart w:id="248" w:name="_Toc232864343"/>
      <w:bookmarkStart w:id="249" w:name="_Toc6428727"/>
      <w:bookmarkStart w:id="250" w:name="_Toc228733645"/>
      <w:bookmarkStart w:id="251" w:name="_Toc398124278"/>
      <w:bookmarkStart w:id="252" w:name="_Toc211848405"/>
      <w:r>
        <w:rPr>
          <w:rFonts w:hint="eastAsia"/>
          <w:b/>
          <w:color w:val="000000" w:themeColor="text1"/>
        </w:rPr>
        <w:t>3、应急保障条件</w:t>
      </w:r>
      <w:bookmarkEnd w:id="248"/>
      <w:bookmarkEnd w:id="249"/>
      <w:bookmarkEnd w:id="250"/>
      <w:bookmarkEnd w:id="251"/>
      <w:bookmarkEnd w:id="252"/>
    </w:p>
    <w:p>
      <w:pPr>
        <w:ind w:firstLine="480"/>
        <w:rPr>
          <w:color w:val="000000" w:themeColor="text1"/>
          <w:kern w:val="0"/>
          <w:szCs w:val="24"/>
        </w:rPr>
      </w:pPr>
      <w:r>
        <w:rPr>
          <w:rFonts w:hint="eastAsia"/>
          <w:color w:val="000000" w:themeColor="text1"/>
          <w:kern w:val="0"/>
          <w:szCs w:val="24"/>
        </w:rPr>
        <w:t>配备必要的应急装备，平时作好应急装备的保管、维修和调试，保证装备处于良好的使用状态，一旦发生事故就能立即投入使用。</w:t>
      </w:r>
    </w:p>
    <w:p>
      <w:pPr>
        <w:ind w:firstLine="480"/>
        <w:rPr>
          <w:color w:val="000000" w:themeColor="text1"/>
          <w:kern w:val="0"/>
          <w:szCs w:val="24"/>
        </w:rPr>
      </w:pPr>
      <w:r>
        <w:rPr>
          <w:color w:val="000000" w:themeColor="text1"/>
          <w:kern w:val="0"/>
          <w:szCs w:val="24"/>
        </w:rPr>
        <w:t>1</w:t>
      </w:r>
      <w:r>
        <w:rPr>
          <w:rFonts w:hint="eastAsia"/>
          <w:color w:val="000000" w:themeColor="text1"/>
          <w:kern w:val="0"/>
          <w:szCs w:val="24"/>
        </w:rPr>
        <w:t>）基本装备</w:t>
      </w:r>
    </w:p>
    <w:p>
      <w:pPr>
        <w:ind w:firstLine="480"/>
        <w:rPr>
          <w:color w:val="000000" w:themeColor="text1"/>
          <w:kern w:val="0"/>
          <w:szCs w:val="24"/>
        </w:rPr>
      </w:pPr>
      <w:r>
        <w:rPr>
          <w:rFonts w:hint="eastAsia"/>
          <w:color w:val="000000" w:themeColor="text1"/>
          <w:kern w:val="0"/>
          <w:szCs w:val="24"/>
        </w:rPr>
        <w:t>通讯装备：电话、手机、对讲机等</w:t>
      </w:r>
    </w:p>
    <w:p>
      <w:pPr>
        <w:ind w:firstLine="480"/>
        <w:rPr>
          <w:color w:val="000000" w:themeColor="text1"/>
          <w:kern w:val="0"/>
          <w:szCs w:val="24"/>
        </w:rPr>
      </w:pPr>
      <w:r>
        <w:rPr>
          <w:rFonts w:hint="eastAsia"/>
          <w:color w:val="000000" w:themeColor="text1"/>
          <w:kern w:val="0"/>
          <w:szCs w:val="24"/>
        </w:rPr>
        <w:t>交通工具：汽车为主；</w:t>
      </w:r>
    </w:p>
    <w:p>
      <w:pPr>
        <w:ind w:firstLine="480"/>
        <w:rPr>
          <w:color w:val="000000" w:themeColor="text1"/>
          <w:kern w:val="0"/>
          <w:szCs w:val="24"/>
        </w:rPr>
      </w:pPr>
      <w:r>
        <w:rPr>
          <w:rFonts w:hint="eastAsia"/>
          <w:color w:val="000000" w:themeColor="text1"/>
          <w:kern w:val="0"/>
          <w:szCs w:val="24"/>
        </w:rPr>
        <w:t>防护装置：各类人员均需配备个人用防护装备，防毒面罩和防护服。</w:t>
      </w:r>
    </w:p>
    <w:p>
      <w:pPr>
        <w:ind w:firstLine="480"/>
        <w:rPr>
          <w:color w:val="000000" w:themeColor="text1"/>
          <w:kern w:val="0"/>
          <w:szCs w:val="24"/>
        </w:rPr>
      </w:pPr>
      <w:r>
        <w:rPr>
          <w:rFonts w:hint="eastAsia"/>
          <w:color w:val="000000" w:themeColor="text1"/>
          <w:kern w:val="0"/>
          <w:szCs w:val="24"/>
        </w:rPr>
        <w:t>医疗急救：与砚山县医院或急救中心签订协议，设立专业救援队伍，制定救治方案，配备急救器械、急救药品</w:t>
      </w:r>
      <w:r>
        <w:rPr>
          <w:color w:val="000000" w:themeColor="text1"/>
          <w:kern w:val="0"/>
          <w:szCs w:val="24"/>
        </w:rPr>
        <w:t>(</w:t>
      </w:r>
      <w:r>
        <w:rPr>
          <w:rFonts w:hint="eastAsia"/>
          <w:color w:val="000000" w:themeColor="text1"/>
          <w:kern w:val="0"/>
          <w:szCs w:val="24"/>
        </w:rPr>
        <w:t>防烧伤、中毒等</w:t>
      </w:r>
      <w:r>
        <w:rPr>
          <w:color w:val="000000" w:themeColor="text1"/>
          <w:kern w:val="0"/>
          <w:szCs w:val="24"/>
        </w:rPr>
        <w:t>)</w:t>
      </w:r>
      <w:r>
        <w:rPr>
          <w:rFonts w:hint="eastAsia"/>
          <w:color w:val="000000" w:themeColor="text1"/>
          <w:kern w:val="0"/>
          <w:szCs w:val="24"/>
        </w:rPr>
        <w:t>。</w:t>
      </w:r>
    </w:p>
    <w:p>
      <w:pPr>
        <w:ind w:firstLine="480"/>
        <w:rPr>
          <w:color w:val="000000" w:themeColor="text1"/>
          <w:kern w:val="0"/>
          <w:szCs w:val="24"/>
        </w:rPr>
      </w:pPr>
      <w:r>
        <w:rPr>
          <w:color w:val="000000" w:themeColor="text1"/>
          <w:kern w:val="0"/>
          <w:szCs w:val="24"/>
        </w:rPr>
        <w:t>2</w:t>
      </w:r>
      <w:r>
        <w:rPr>
          <w:rFonts w:hint="eastAsia"/>
          <w:color w:val="000000" w:themeColor="text1"/>
          <w:kern w:val="0"/>
          <w:szCs w:val="24"/>
        </w:rPr>
        <w:t>）专用装备</w:t>
      </w:r>
    </w:p>
    <w:p>
      <w:pPr>
        <w:ind w:firstLine="480"/>
        <w:rPr>
          <w:color w:val="000000" w:themeColor="text1"/>
          <w:kern w:val="0"/>
          <w:szCs w:val="24"/>
        </w:rPr>
      </w:pPr>
      <w:r>
        <w:rPr>
          <w:rFonts w:hint="eastAsia"/>
          <w:color w:val="000000" w:themeColor="text1"/>
          <w:kern w:val="0"/>
          <w:szCs w:val="24"/>
        </w:rPr>
        <w:t>消防车辆及消防人员。</w:t>
      </w:r>
    </w:p>
    <w:p>
      <w:pPr>
        <w:ind w:firstLine="480"/>
        <w:rPr>
          <w:color w:val="000000" w:themeColor="text1"/>
          <w:kern w:val="0"/>
          <w:szCs w:val="24"/>
        </w:rPr>
      </w:pPr>
      <w:r>
        <w:rPr>
          <w:rFonts w:hint="eastAsia"/>
          <w:color w:val="000000" w:themeColor="text1"/>
          <w:kern w:val="0"/>
          <w:szCs w:val="24"/>
        </w:rPr>
        <w:t>工程抢险队专用设施等。</w:t>
      </w:r>
    </w:p>
    <w:p>
      <w:pPr>
        <w:ind w:firstLine="482"/>
        <w:rPr>
          <w:b/>
          <w:color w:val="000000" w:themeColor="text1"/>
        </w:rPr>
      </w:pPr>
      <w:bookmarkStart w:id="253" w:name="_Toc211848406"/>
      <w:bookmarkStart w:id="254" w:name="_Toc228733646"/>
      <w:bookmarkStart w:id="255" w:name="_Toc6428728"/>
      <w:bookmarkStart w:id="256" w:name="_Toc398124279"/>
      <w:bookmarkStart w:id="257" w:name="_Toc232864344"/>
      <w:r>
        <w:rPr>
          <w:rFonts w:hint="eastAsia"/>
          <w:b/>
          <w:color w:val="000000" w:themeColor="text1"/>
        </w:rPr>
        <w:t>4、环境风险应急控制措施</w:t>
      </w:r>
      <w:bookmarkEnd w:id="253"/>
      <w:bookmarkEnd w:id="254"/>
      <w:bookmarkEnd w:id="255"/>
      <w:bookmarkEnd w:id="256"/>
      <w:bookmarkEnd w:id="257"/>
    </w:p>
    <w:p>
      <w:pPr>
        <w:ind w:firstLine="480"/>
        <w:rPr>
          <w:color w:val="000000" w:themeColor="text1"/>
          <w:kern w:val="0"/>
          <w:szCs w:val="24"/>
        </w:rPr>
      </w:pPr>
      <w:r>
        <w:rPr>
          <w:color w:val="000000" w:themeColor="text1"/>
          <w:kern w:val="0"/>
          <w:szCs w:val="24"/>
        </w:rPr>
        <w:t>1</w:t>
      </w:r>
      <w:r>
        <w:rPr>
          <w:rFonts w:hint="eastAsia"/>
          <w:color w:val="000000" w:themeColor="text1"/>
          <w:kern w:val="0"/>
          <w:szCs w:val="24"/>
        </w:rPr>
        <w:t>）抢险、救援及控制</w:t>
      </w:r>
    </w:p>
    <w:p>
      <w:pPr>
        <w:ind w:firstLine="480"/>
        <w:rPr>
          <w:color w:val="000000" w:themeColor="text1"/>
          <w:kern w:val="0"/>
          <w:szCs w:val="24"/>
        </w:rPr>
      </w:pPr>
      <w:r>
        <w:rPr>
          <w:rFonts w:hint="eastAsia"/>
          <w:color w:val="000000" w:themeColor="text1"/>
          <w:kern w:val="0"/>
          <w:szCs w:val="24"/>
        </w:rPr>
        <w:t>当发生事故时，发现者应及时向生产调度室报告，组织抢险队入现场进行抢险救援。</w:t>
      </w:r>
    </w:p>
    <w:p>
      <w:pPr>
        <w:ind w:firstLine="480"/>
        <w:rPr>
          <w:color w:val="000000" w:themeColor="text1"/>
          <w:kern w:val="0"/>
          <w:szCs w:val="24"/>
        </w:rPr>
      </w:pPr>
      <w:r>
        <w:rPr>
          <w:rFonts w:hint="eastAsia"/>
          <w:color w:val="000000" w:themeColor="text1"/>
          <w:kern w:val="0"/>
          <w:szCs w:val="24"/>
        </w:rPr>
        <w:t>当有人员受伤时，应组织应急的专业救援队及时赶到现场，对人员进行救治，并及时送往条件好的医院，尽量减少人员的伤亡。</w:t>
      </w:r>
    </w:p>
    <w:p>
      <w:pPr>
        <w:ind w:firstLine="480"/>
        <w:rPr>
          <w:color w:val="000000" w:themeColor="text1"/>
          <w:kern w:val="0"/>
          <w:szCs w:val="24"/>
        </w:rPr>
      </w:pPr>
      <w:r>
        <w:rPr>
          <w:color w:val="000000" w:themeColor="text1"/>
          <w:kern w:val="0"/>
          <w:szCs w:val="24"/>
        </w:rPr>
        <w:t>2</w:t>
      </w:r>
      <w:r>
        <w:rPr>
          <w:rFonts w:hint="eastAsia"/>
          <w:color w:val="000000" w:themeColor="text1"/>
          <w:kern w:val="0"/>
          <w:szCs w:val="24"/>
        </w:rPr>
        <w:t>）应急措施及消防方法</w:t>
      </w:r>
    </w:p>
    <w:p>
      <w:pPr>
        <w:ind w:firstLine="480"/>
        <w:rPr>
          <w:color w:val="000000" w:themeColor="text1"/>
          <w:kern w:val="0"/>
          <w:szCs w:val="24"/>
        </w:rPr>
      </w:pPr>
      <w:r>
        <w:rPr>
          <w:color w:val="000000" w:themeColor="text1"/>
          <w:kern w:val="0"/>
          <w:szCs w:val="24"/>
        </w:rPr>
        <w:t>●</w:t>
      </w:r>
      <w:r>
        <w:rPr>
          <w:rFonts w:hint="eastAsia"/>
          <w:color w:val="000000" w:themeColor="text1"/>
          <w:kern w:val="0"/>
          <w:szCs w:val="24"/>
        </w:rPr>
        <w:t>发现初起火灾，应及时报警并利用消防器材及时扑灭。</w:t>
      </w:r>
    </w:p>
    <w:p>
      <w:pPr>
        <w:ind w:firstLine="480"/>
        <w:rPr>
          <w:color w:val="000000" w:themeColor="text1"/>
          <w:kern w:val="0"/>
          <w:szCs w:val="24"/>
        </w:rPr>
      </w:pPr>
      <w:r>
        <w:rPr>
          <w:color w:val="000000" w:themeColor="text1"/>
          <w:kern w:val="0"/>
          <w:szCs w:val="24"/>
        </w:rPr>
        <w:t>●</w:t>
      </w:r>
      <w:r>
        <w:rPr>
          <w:rFonts w:hint="eastAsia"/>
          <w:color w:val="000000" w:themeColor="text1"/>
          <w:kern w:val="0"/>
          <w:szCs w:val="24"/>
        </w:rPr>
        <w:t>要保持头脑清醒，千万不要惊慌失措、盲目乱跑。</w:t>
      </w:r>
    </w:p>
    <w:p>
      <w:pPr>
        <w:ind w:firstLine="480"/>
        <w:rPr>
          <w:color w:val="000000" w:themeColor="text1"/>
          <w:kern w:val="0"/>
          <w:szCs w:val="24"/>
        </w:rPr>
      </w:pPr>
      <w:r>
        <w:rPr>
          <w:color w:val="000000" w:themeColor="text1"/>
          <w:kern w:val="0"/>
          <w:szCs w:val="24"/>
        </w:rPr>
        <w:t>●</w:t>
      </w:r>
      <w:r>
        <w:rPr>
          <w:rFonts w:hint="eastAsia"/>
          <w:color w:val="000000" w:themeColor="text1"/>
          <w:kern w:val="0"/>
          <w:szCs w:val="24"/>
        </w:rPr>
        <w:t>火势蔓延时，应用湿毛巾或湿衣服遮掩口鼻，放低身体姿势，浅呼吸、快速、有序地向安全出口撤离。尽量避免大声呼喊，防止有毒烟雾吸入呼吸道。</w:t>
      </w:r>
    </w:p>
    <w:p>
      <w:pPr>
        <w:ind w:firstLine="480"/>
        <w:rPr>
          <w:color w:val="000000" w:themeColor="text1"/>
        </w:rPr>
      </w:pPr>
      <w:bookmarkStart w:id="258" w:name="_Toc398124280"/>
      <w:bookmarkStart w:id="259" w:name="_Toc211848407"/>
      <w:bookmarkStart w:id="260" w:name="_Toc228733647"/>
      <w:bookmarkStart w:id="261" w:name="_Toc6428729"/>
      <w:bookmarkStart w:id="262" w:name="_Toc232864345"/>
      <w:r>
        <w:rPr>
          <w:rFonts w:hint="eastAsia"/>
          <w:color w:val="000000" w:themeColor="text1"/>
        </w:rPr>
        <w:t>5、应急演练</w:t>
      </w:r>
      <w:bookmarkEnd w:id="258"/>
      <w:bookmarkEnd w:id="259"/>
      <w:bookmarkEnd w:id="260"/>
      <w:bookmarkEnd w:id="261"/>
      <w:bookmarkEnd w:id="262"/>
    </w:p>
    <w:p>
      <w:pPr>
        <w:ind w:firstLine="480"/>
        <w:rPr>
          <w:color w:val="000000" w:themeColor="text1"/>
          <w:kern w:val="0"/>
          <w:szCs w:val="24"/>
        </w:rPr>
      </w:pPr>
      <w:r>
        <w:rPr>
          <w:rFonts w:hint="eastAsia"/>
          <w:color w:val="000000" w:themeColor="text1"/>
          <w:kern w:val="0"/>
          <w:szCs w:val="24"/>
        </w:rPr>
        <w:t>为确保风险时能启动有效的应急预案，公司应急救援领导小组负责劳动安全教育工作，定期组织职工进行劳动安全教育和学习。开展面向全体职工的应对突发事故相关知识培训，将突发事故预防、应急指挥、综合协调等作为重要内容，以增强职工应对突发事故的防备意识和应急基本知识、技能。</w:t>
      </w:r>
    </w:p>
    <w:p>
      <w:pPr>
        <w:ind w:firstLine="480"/>
        <w:rPr>
          <w:color w:val="000000" w:themeColor="text1"/>
          <w:kern w:val="0"/>
          <w:szCs w:val="24"/>
        </w:rPr>
      </w:pPr>
      <w:r>
        <w:rPr>
          <w:rFonts w:hint="eastAsia"/>
          <w:color w:val="000000" w:themeColor="text1"/>
          <w:kern w:val="0"/>
          <w:szCs w:val="24"/>
        </w:rPr>
        <w:t>应定期组织应急预案演习，每年至少两次。</w:t>
      </w:r>
    </w:p>
    <w:p>
      <w:pPr>
        <w:pStyle w:val="38"/>
        <w:ind w:firstLine="281"/>
        <w:rPr>
          <w:color w:val="000000" w:themeColor="text1"/>
          <w:sz w:val="32"/>
        </w:rPr>
      </w:pPr>
      <w:bookmarkStart w:id="263" w:name="_Toc232864346"/>
      <w:bookmarkStart w:id="264" w:name="_Toc398124281"/>
      <w:bookmarkStart w:id="265" w:name="_Toc6428730"/>
      <w:bookmarkStart w:id="266" w:name="_Toc228733648"/>
      <w:bookmarkStart w:id="267" w:name="_Toc215913899"/>
      <w:bookmarkStart w:id="268" w:name="_Toc120683033"/>
      <w:bookmarkStart w:id="269" w:name="_Toc47375881"/>
      <w:r>
        <w:rPr>
          <w:rFonts w:hint="eastAsia"/>
          <w:color w:val="000000" w:themeColor="text1"/>
        </w:rPr>
        <w:t>6.5.5分析结论</w:t>
      </w:r>
      <w:bookmarkEnd w:id="263"/>
      <w:bookmarkEnd w:id="264"/>
      <w:bookmarkEnd w:id="265"/>
      <w:bookmarkEnd w:id="266"/>
      <w:bookmarkEnd w:id="267"/>
      <w:bookmarkEnd w:id="268"/>
      <w:bookmarkEnd w:id="269"/>
    </w:p>
    <w:p>
      <w:pPr>
        <w:ind w:firstLine="480"/>
        <w:rPr>
          <w:color w:val="000000" w:themeColor="text1"/>
          <w:kern w:val="0"/>
        </w:rPr>
      </w:pPr>
      <w:r>
        <w:rPr>
          <w:rFonts w:hint="eastAsia"/>
          <w:color w:val="000000" w:themeColor="text1"/>
          <w:kern w:val="0"/>
        </w:rPr>
        <w:t>通过分析，项目不存在重大危险源，项目建成后对环境产生的风险主要原料，通过采取本报告中的一些措施后，可在较大程度上避免风险的产生。同时项目建设方针对本报告提出的环境风险，制定相应的应急预案，可在较短时间内控制风险对环境的影响范围和程度，因此项目方在项目建设阶段就应充分考虑风险的发生及处理措施、方案，将可能的风险产生及影响降低到最低。项目存在的环境风险是可以接受的。项目环境风险评价自查表见表6.5.5-1。</w:t>
      </w:r>
    </w:p>
    <w:p>
      <w:pPr>
        <w:pStyle w:val="54"/>
        <w:rPr>
          <w:color w:val="000000" w:themeColor="text1"/>
          <w:szCs w:val="24"/>
        </w:rPr>
      </w:pPr>
      <w:r>
        <w:rPr>
          <w:rFonts w:hint="eastAsia"/>
          <w:color w:val="000000" w:themeColor="text1"/>
          <w:szCs w:val="24"/>
        </w:rPr>
        <w:t xml:space="preserve">表6.5.5-1  </w:t>
      </w:r>
      <w:r>
        <w:rPr>
          <w:rFonts w:hint="eastAsia"/>
          <w:color w:val="000000" w:themeColor="text1"/>
          <w:szCs w:val="21"/>
        </w:rPr>
        <w:t>建设项目环境风险评价自查表</w:t>
      </w:r>
    </w:p>
    <w:tbl>
      <w:tblPr>
        <w:tblStyle w:val="42"/>
        <w:tblW w:w="88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6"/>
        <w:gridCol w:w="1187"/>
        <w:gridCol w:w="1150"/>
        <w:gridCol w:w="1156"/>
        <w:gridCol w:w="415"/>
        <w:gridCol w:w="47"/>
        <w:gridCol w:w="741"/>
        <w:gridCol w:w="143"/>
        <w:gridCol w:w="643"/>
        <w:gridCol w:w="35"/>
        <w:gridCol w:w="756"/>
        <w:gridCol w:w="778"/>
        <w:gridCol w:w="794"/>
        <w:gridCol w:w="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2769" w:type="dxa"/>
            <w:gridSpan w:val="4"/>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工作内容</w:t>
            </w:r>
          </w:p>
        </w:tc>
        <w:tc>
          <w:tcPr>
            <w:tcW w:w="6117" w:type="dxa"/>
            <w:gridSpan w:val="11"/>
            <w:tcBorders>
              <w:top w:val="single" w:color="auto" w:sz="4" w:space="0"/>
              <w:left w:val="single" w:color="auto" w:sz="4" w:space="0"/>
              <w:bottom w:val="single" w:color="auto" w:sz="4" w:space="0"/>
              <w:right w:val="single" w:color="auto" w:sz="4" w:space="0"/>
            </w:tcBorders>
          </w:tcPr>
          <w:p>
            <w:pPr>
              <w:pStyle w:val="55"/>
              <w:rPr>
                <w:color w:val="000000" w:themeColor="text1"/>
              </w:rPr>
            </w:pPr>
            <w:r>
              <w:rPr>
                <w:rFonts w:hint="eastAsia"/>
                <w:color w:val="000000" w:themeColor="text1"/>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风险调查</w:t>
            </w:r>
          </w:p>
        </w:tc>
        <w:tc>
          <w:tcPr>
            <w:tcW w:w="1193" w:type="dxa"/>
            <w:gridSpan w:val="2"/>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危险物质</w:t>
            </w:r>
          </w:p>
        </w:tc>
        <w:tc>
          <w:tcPr>
            <w:tcW w:w="115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名称</w:t>
            </w:r>
          </w:p>
        </w:tc>
        <w:tc>
          <w:tcPr>
            <w:tcW w:w="115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次氯酸钠</w:t>
            </w:r>
          </w:p>
        </w:tc>
        <w:tc>
          <w:tcPr>
            <w:tcW w:w="41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788"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786"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791"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77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79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60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193"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1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存在总量</w:t>
            </w:r>
            <w:r>
              <w:rPr>
                <w:color w:val="000000" w:themeColor="text1"/>
              </w:rPr>
              <w:t>/t</w:t>
            </w:r>
          </w:p>
        </w:tc>
        <w:tc>
          <w:tcPr>
            <w:tcW w:w="115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0.5</w:t>
            </w:r>
          </w:p>
        </w:tc>
        <w:tc>
          <w:tcPr>
            <w:tcW w:w="41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788"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786"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791"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77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79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609"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193" w:type="dxa"/>
            <w:gridSpan w:val="2"/>
            <w:vMerge w:val="restar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环境敏感性</w:t>
            </w:r>
          </w:p>
        </w:tc>
        <w:tc>
          <w:tcPr>
            <w:tcW w:w="1150"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大气</w:t>
            </w:r>
          </w:p>
        </w:tc>
        <w:tc>
          <w:tcPr>
            <w:tcW w:w="3145" w:type="dxa"/>
            <w:gridSpan w:val="6"/>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500m</w:t>
            </w:r>
            <w:r>
              <w:rPr>
                <w:rFonts w:hint="eastAsia"/>
                <w:color w:val="000000" w:themeColor="text1"/>
              </w:rPr>
              <w:t>范围内人口数</w:t>
            </w:r>
            <w:r>
              <w:rPr>
                <w:rFonts w:hint="eastAsia"/>
                <w:color w:val="000000" w:themeColor="text1"/>
                <w:u w:val="single"/>
              </w:rPr>
              <w:t xml:space="preserve">  0  </w:t>
            </w:r>
            <w:r>
              <w:rPr>
                <w:rFonts w:hint="eastAsia"/>
                <w:color w:val="000000" w:themeColor="text1"/>
              </w:rPr>
              <w:t>人</w:t>
            </w:r>
          </w:p>
        </w:tc>
        <w:tc>
          <w:tcPr>
            <w:tcW w:w="2972" w:type="dxa"/>
            <w:gridSpan w:val="5"/>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5km</w:t>
            </w:r>
            <w:r>
              <w:rPr>
                <w:rFonts w:hint="eastAsia"/>
                <w:color w:val="000000" w:themeColor="text1"/>
              </w:rPr>
              <w:t>范围内人口数</w:t>
            </w:r>
            <w:r>
              <w:rPr>
                <w:color w:val="000000" w:themeColor="text1"/>
                <w:u w:val="single"/>
              </w:rPr>
              <w:t>12300</w:t>
            </w:r>
            <w:r>
              <w:rPr>
                <w:rFonts w:hint="eastAsia"/>
                <w:color w:val="000000" w:themeColor="text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193"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150"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4714" w:type="dxa"/>
            <w:gridSpan w:val="9"/>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每公里管段周边</w:t>
            </w:r>
            <w:r>
              <w:rPr>
                <w:color w:val="000000" w:themeColor="text1"/>
              </w:rPr>
              <w:t>200m</w:t>
            </w:r>
            <w:r>
              <w:rPr>
                <w:rFonts w:hint="eastAsia"/>
                <w:color w:val="000000" w:themeColor="text1"/>
              </w:rPr>
              <w:t>范围内人口数（最大）</w:t>
            </w:r>
          </w:p>
        </w:tc>
        <w:tc>
          <w:tcPr>
            <w:tcW w:w="1403"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193"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150"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地表水</w:t>
            </w:r>
          </w:p>
        </w:tc>
        <w:tc>
          <w:tcPr>
            <w:tcW w:w="1618"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地表水功能敏感性</w:t>
            </w:r>
          </w:p>
        </w:tc>
        <w:tc>
          <w:tcPr>
            <w:tcW w:w="1562" w:type="dxa"/>
            <w:gridSpan w:val="4"/>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 xml:space="preserve">F1 </w:t>
            </w:r>
            <w:r>
              <w:rPr>
                <w:color w:val="000000" w:themeColor="text1"/>
              </w:rPr>
              <w:sym w:font="Wingdings 2" w:char="00A3"/>
            </w:r>
          </w:p>
        </w:tc>
        <w:tc>
          <w:tcPr>
            <w:tcW w:w="153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 xml:space="preserve">F2 </w:t>
            </w:r>
            <w:r>
              <w:rPr>
                <w:color w:val="000000" w:themeColor="text1"/>
              </w:rPr>
              <w:sym w:font="Wingdings 2" w:char="00A3"/>
            </w:r>
          </w:p>
        </w:tc>
        <w:tc>
          <w:tcPr>
            <w:tcW w:w="1403"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 xml:space="preserve">F3 </w:t>
            </w:r>
            <w:r>
              <w:rPr>
                <w:color w:val="000000" w:themeColor="text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193"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150"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618"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环境敏感目标分级</w:t>
            </w:r>
          </w:p>
        </w:tc>
        <w:tc>
          <w:tcPr>
            <w:tcW w:w="1562" w:type="dxa"/>
            <w:gridSpan w:val="4"/>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 xml:space="preserve">S1 </w:t>
            </w:r>
            <w:r>
              <w:rPr>
                <w:color w:val="000000" w:themeColor="text1"/>
              </w:rPr>
              <w:sym w:font="Wingdings 2" w:char="00A3"/>
            </w:r>
          </w:p>
        </w:tc>
        <w:tc>
          <w:tcPr>
            <w:tcW w:w="153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 xml:space="preserve">S2 </w:t>
            </w:r>
            <w:r>
              <w:rPr>
                <w:color w:val="000000" w:themeColor="text1"/>
              </w:rPr>
              <w:sym w:font="Wingdings 2" w:char="00A3"/>
            </w:r>
          </w:p>
        </w:tc>
        <w:tc>
          <w:tcPr>
            <w:tcW w:w="1403"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 xml:space="preserve">S3 </w:t>
            </w:r>
            <w:r>
              <w:rPr>
                <w:color w:val="000000" w:themeColor="text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193"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150"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地下水</w:t>
            </w:r>
          </w:p>
        </w:tc>
        <w:tc>
          <w:tcPr>
            <w:tcW w:w="1618"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地下水功能敏感性</w:t>
            </w:r>
          </w:p>
        </w:tc>
        <w:tc>
          <w:tcPr>
            <w:tcW w:w="1562" w:type="dxa"/>
            <w:gridSpan w:val="4"/>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 xml:space="preserve">G1 </w:t>
            </w:r>
            <w:r>
              <w:rPr>
                <w:color w:val="000000" w:themeColor="text1"/>
              </w:rPr>
              <w:sym w:font="Wingdings 2" w:char="00A3"/>
            </w:r>
          </w:p>
        </w:tc>
        <w:tc>
          <w:tcPr>
            <w:tcW w:w="153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 xml:space="preserve">G2 </w:t>
            </w:r>
            <w:r>
              <w:rPr>
                <w:color w:val="000000" w:themeColor="text1"/>
              </w:rPr>
              <w:sym w:font="Wingdings 2" w:char="00A3"/>
            </w:r>
          </w:p>
        </w:tc>
        <w:tc>
          <w:tcPr>
            <w:tcW w:w="1403"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 xml:space="preserve">G3 </w:t>
            </w:r>
            <w:r>
              <w:rPr>
                <w:color w:val="000000" w:themeColor="text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193"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150"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618"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包气带防污性能</w:t>
            </w:r>
          </w:p>
        </w:tc>
        <w:tc>
          <w:tcPr>
            <w:tcW w:w="1562" w:type="dxa"/>
            <w:gridSpan w:val="4"/>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 xml:space="preserve">D1 </w:t>
            </w:r>
            <w:r>
              <w:rPr>
                <w:color w:val="000000" w:themeColor="text1"/>
              </w:rPr>
              <w:sym w:font="Wingdings 2" w:char="00A3"/>
            </w:r>
          </w:p>
        </w:tc>
        <w:tc>
          <w:tcPr>
            <w:tcW w:w="153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 xml:space="preserve">D2 </w:t>
            </w:r>
            <w:r>
              <w:rPr>
                <w:color w:val="000000" w:themeColor="text1"/>
              </w:rPr>
              <w:sym w:font="Wingdings 2" w:char="00A3"/>
            </w:r>
          </w:p>
        </w:tc>
        <w:tc>
          <w:tcPr>
            <w:tcW w:w="1403"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 xml:space="preserve">D3 </w:t>
            </w:r>
            <w:r>
              <w:rPr>
                <w:color w:val="000000" w:themeColor="text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619" w:type="dxa"/>
            <w:gridSpan w:val="3"/>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物质及工艺系统危险性</w:t>
            </w:r>
          </w:p>
        </w:tc>
        <w:tc>
          <w:tcPr>
            <w:tcW w:w="115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Q</w:t>
            </w:r>
            <w:r>
              <w:rPr>
                <w:rFonts w:hint="eastAsia"/>
                <w:color w:val="000000" w:themeColor="text1"/>
              </w:rPr>
              <w:t>值</w:t>
            </w:r>
          </w:p>
        </w:tc>
        <w:tc>
          <w:tcPr>
            <w:tcW w:w="1618"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 xml:space="preserve">Q&lt;1 </w:t>
            </w:r>
            <w:r>
              <w:rPr>
                <w:rFonts w:hint="eastAsia" w:ascii="MS Mincho" w:hAnsi="MS Mincho" w:eastAsia="MS Mincho" w:cs="MS Mincho"/>
                <w:color w:val="000000" w:themeColor="text1"/>
              </w:rPr>
              <w:t>☑</w:t>
            </w:r>
          </w:p>
        </w:tc>
        <w:tc>
          <w:tcPr>
            <w:tcW w:w="1562" w:type="dxa"/>
            <w:gridSpan w:val="4"/>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 xml:space="preserve">1≤Q&lt;10 </w:t>
            </w:r>
            <w:r>
              <w:rPr>
                <w:color w:val="000000" w:themeColor="text1"/>
              </w:rPr>
              <w:sym w:font="Wingdings 2" w:char="00A3"/>
            </w:r>
          </w:p>
        </w:tc>
        <w:tc>
          <w:tcPr>
            <w:tcW w:w="153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 xml:space="preserve">10≤Q&lt;100 </w:t>
            </w:r>
            <w:r>
              <w:rPr>
                <w:color w:val="000000" w:themeColor="text1"/>
              </w:rPr>
              <w:sym w:font="Wingdings 2" w:char="00A3"/>
            </w:r>
          </w:p>
        </w:tc>
        <w:tc>
          <w:tcPr>
            <w:tcW w:w="1403"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 xml:space="preserve">Q&gt;100 </w:t>
            </w:r>
            <w:r>
              <w:rPr>
                <w:color w:val="000000" w:themeColor="text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1619" w:type="dxa"/>
            <w:gridSpan w:val="3"/>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15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M</w:t>
            </w:r>
            <w:r>
              <w:rPr>
                <w:rFonts w:hint="eastAsia"/>
                <w:color w:val="000000" w:themeColor="text1"/>
              </w:rPr>
              <w:t>值</w:t>
            </w:r>
          </w:p>
        </w:tc>
        <w:tc>
          <w:tcPr>
            <w:tcW w:w="1618"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 xml:space="preserve">M1 </w:t>
            </w:r>
            <w:r>
              <w:rPr>
                <w:color w:val="000000" w:themeColor="text1"/>
              </w:rPr>
              <w:sym w:font="Wingdings 2" w:char="00A3"/>
            </w:r>
          </w:p>
        </w:tc>
        <w:tc>
          <w:tcPr>
            <w:tcW w:w="1562" w:type="dxa"/>
            <w:gridSpan w:val="4"/>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 xml:space="preserve">M2 </w:t>
            </w:r>
            <w:r>
              <w:rPr>
                <w:color w:val="000000" w:themeColor="text1"/>
              </w:rPr>
              <w:sym w:font="Wingdings 2" w:char="00A3"/>
            </w:r>
          </w:p>
        </w:tc>
        <w:tc>
          <w:tcPr>
            <w:tcW w:w="153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 xml:space="preserve">M3 </w:t>
            </w:r>
            <w:r>
              <w:rPr>
                <w:color w:val="000000" w:themeColor="text1"/>
              </w:rPr>
              <w:sym w:font="Wingdings 2" w:char="00A3"/>
            </w:r>
          </w:p>
        </w:tc>
        <w:tc>
          <w:tcPr>
            <w:tcW w:w="1403"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 xml:space="preserve">M4 </w:t>
            </w:r>
            <w:r>
              <w:rPr>
                <w:color w:val="000000" w:themeColor="text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1619" w:type="dxa"/>
            <w:gridSpan w:val="3"/>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15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P</w:t>
            </w:r>
            <w:r>
              <w:rPr>
                <w:rFonts w:hint="eastAsia"/>
                <w:color w:val="000000" w:themeColor="text1"/>
              </w:rPr>
              <w:t>值</w:t>
            </w:r>
          </w:p>
        </w:tc>
        <w:tc>
          <w:tcPr>
            <w:tcW w:w="1618"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 xml:space="preserve">P1 </w:t>
            </w:r>
            <w:r>
              <w:rPr>
                <w:color w:val="000000" w:themeColor="text1"/>
              </w:rPr>
              <w:sym w:font="Wingdings 2" w:char="00A3"/>
            </w:r>
          </w:p>
        </w:tc>
        <w:tc>
          <w:tcPr>
            <w:tcW w:w="1562" w:type="dxa"/>
            <w:gridSpan w:val="4"/>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 xml:space="preserve">P2 </w:t>
            </w:r>
            <w:r>
              <w:rPr>
                <w:color w:val="000000" w:themeColor="text1"/>
              </w:rPr>
              <w:sym w:font="Wingdings 2" w:char="00A3"/>
            </w:r>
          </w:p>
        </w:tc>
        <w:tc>
          <w:tcPr>
            <w:tcW w:w="153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 xml:space="preserve">P3 </w:t>
            </w:r>
            <w:r>
              <w:rPr>
                <w:color w:val="000000" w:themeColor="text1"/>
              </w:rPr>
              <w:sym w:font="Wingdings 2" w:char="00A3"/>
            </w:r>
          </w:p>
        </w:tc>
        <w:tc>
          <w:tcPr>
            <w:tcW w:w="1403"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 xml:space="preserve">P4 </w:t>
            </w:r>
            <w:r>
              <w:rPr>
                <w:color w:val="000000" w:themeColor="text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619" w:type="dxa"/>
            <w:gridSpan w:val="3"/>
            <w:vMerge w:val="restart"/>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hint="eastAsia"/>
                <w:color w:val="000000" w:themeColor="text1"/>
              </w:rPr>
              <w:t>环境敏感</w:t>
            </w:r>
          </w:p>
          <w:p>
            <w:pPr>
              <w:pStyle w:val="55"/>
              <w:rPr>
                <w:color w:val="000000" w:themeColor="text1"/>
              </w:rPr>
            </w:pPr>
            <w:r>
              <w:rPr>
                <w:rFonts w:hint="eastAsia"/>
                <w:color w:val="000000" w:themeColor="text1"/>
              </w:rPr>
              <w:t>程度</w:t>
            </w:r>
          </w:p>
        </w:tc>
        <w:tc>
          <w:tcPr>
            <w:tcW w:w="115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大气</w:t>
            </w:r>
          </w:p>
        </w:tc>
        <w:tc>
          <w:tcPr>
            <w:tcW w:w="1618"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 xml:space="preserve">E1 </w:t>
            </w:r>
            <w:r>
              <w:rPr>
                <w:color w:val="000000" w:themeColor="text1"/>
              </w:rPr>
              <w:sym w:font="Wingdings 2" w:char="00A3"/>
            </w:r>
          </w:p>
        </w:tc>
        <w:tc>
          <w:tcPr>
            <w:tcW w:w="2318" w:type="dxa"/>
            <w:gridSpan w:val="5"/>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 xml:space="preserve">E2 </w:t>
            </w:r>
            <w:r>
              <w:rPr>
                <w:color w:val="000000" w:themeColor="text1"/>
              </w:rPr>
              <w:sym w:font="Wingdings 2" w:char="00A3"/>
            </w:r>
          </w:p>
        </w:tc>
        <w:tc>
          <w:tcPr>
            <w:tcW w:w="2181"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 xml:space="preserve">E3 </w:t>
            </w:r>
            <w:r>
              <w:rPr>
                <w:color w:val="000000" w:themeColor="text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619" w:type="dxa"/>
            <w:gridSpan w:val="3"/>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15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地表水</w:t>
            </w:r>
          </w:p>
        </w:tc>
        <w:tc>
          <w:tcPr>
            <w:tcW w:w="1618"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 xml:space="preserve">E1 </w:t>
            </w:r>
            <w:r>
              <w:rPr>
                <w:color w:val="000000" w:themeColor="text1"/>
              </w:rPr>
              <w:sym w:font="Wingdings 2" w:char="00A3"/>
            </w:r>
          </w:p>
        </w:tc>
        <w:tc>
          <w:tcPr>
            <w:tcW w:w="2318" w:type="dxa"/>
            <w:gridSpan w:val="5"/>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 xml:space="preserve">E2 </w:t>
            </w:r>
            <w:r>
              <w:rPr>
                <w:color w:val="000000" w:themeColor="text1"/>
              </w:rPr>
              <w:sym w:font="Wingdings 2" w:char="00A3"/>
            </w:r>
          </w:p>
        </w:tc>
        <w:tc>
          <w:tcPr>
            <w:tcW w:w="2181"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 xml:space="preserve">E3 </w:t>
            </w:r>
            <w:r>
              <w:rPr>
                <w:color w:val="000000" w:themeColor="text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619" w:type="dxa"/>
            <w:gridSpan w:val="3"/>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15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地下水</w:t>
            </w:r>
          </w:p>
        </w:tc>
        <w:tc>
          <w:tcPr>
            <w:tcW w:w="1618"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 xml:space="preserve">E1 </w:t>
            </w:r>
            <w:r>
              <w:rPr>
                <w:color w:val="000000" w:themeColor="text1"/>
              </w:rPr>
              <w:sym w:font="Wingdings 2" w:char="00A3"/>
            </w:r>
          </w:p>
        </w:tc>
        <w:tc>
          <w:tcPr>
            <w:tcW w:w="2318" w:type="dxa"/>
            <w:gridSpan w:val="5"/>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 xml:space="preserve">E2 </w:t>
            </w:r>
            <w:r>
              <w:rPr>
                <w:color w:val="000000" w:themeColor="text1"/>
              </w:rPr>
              <w:sym w:font="Wingdings 2" w:char="00A3"/>
            </w:r>
          </w:p>
        </w:tc>
        <w:tc>
          <w:tcPr>
            <w:tcW w:w="2181"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 xml:space="preserve">E3 </w:t>
            </w:r>
            <w:r>
              <w:rPr>
                <w:color w:val="000000" w:themeColor="text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619"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环境风险潜势</w:t>
            </w:r>
          </w:p>
        </w:tc>
        <w:tc>
          <w:tcPr>
            <w:tcW w:w="1150" w:type="dxa"/>
            <w:tcBorders>
              <w:top w:val="single" w:color="auto" w:sz="4" w:space="0"/>
              <w:left w:val="single" w:color="auto" w:sz="4" w:space="0"/>
              <w:bottom w:val="single" w:color="auto" w:sz="4" w:space="0"/>
              <w:right w:val="single" w:color="auto" w:sz="4" w:space="0"/>
            </w:tcBorders>
            <w:vAlign w:val="center"/>
          </w:tcPr>
          <w:p>
            <w:pPr>
              <w:pStyle w:val="55"/>
              <w:rPr>
                <w:rFonts w:ascii="宋体" w:cs="宋体"/>
                <w:color w:val="000000" w:themeColor="text1"/>
              </w:rPr>
            </w:pPr>
            <w:r>
              <w:rPr>
                <w:rFonts w:hint="eastAsia" w:ascii="宋体" w:hAnsi="宋体" w:cs="宋体"/>
                <w:color w:val="000000" w:themeColor="text1"/>
              </w:rPr>
              <w:t>Ⅳ</w:t>
            </w:r>
            <w:r>
              <w:rPr>
                <w:rFonts w:hint="eastAsia" w:ascii="宋体" w:hAnsi="宋体" w:cs="宋体"/>
                <w:color w:val="000000" w:themeColor="text1"/>
                <w:vertAlign w:val="superscript"/>
              </w:rPr>
              <w:t>+</w:t>
            </w:r>
            <w:r>
              <w:rPr>
                <w:color w:val="000000" w:themeColor="text1"/>
              </w:rPr>
              <w:sym w:font="Wingdings 2" w:char="00A3"/>
            </w:r>
          </w:p>
        </w:tc>
        <w:tc>
          <w:tcPr>
            <w:tcW w:w="1618"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ascii="宋体" w:hAnsi="宋体" w:cs="宋体"/>
                <w:color w:val="000000" w:themeColor="text1"/>
              </w:rPr>
              <w:t>Ⅳ</w:t>
            </w:r>
            <w:r>
              <w:rPr>
                <w:color w:val="000000" w:themeColor="text1"/>
              </w:rPr>
              <w:sym w:font="Wingdings 2" w:char="00A3"/>
            </w:r>
          </w:p>
        </w:tc>
        <w:tc>
          <w:tcPr>
            <w:tcW w:w="1562" w:type="dxa"/>
            <w:gridSpan w:val="4"/>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ascii="宋体" w:hAnsi="宋体" w:cs="宋体"/>
                <w:color w:val="000000" w:themeColor="text1"/>
              </w:rPr>
              <w:t>Ⅲ</w:t>
            </w:r>
            <w:r>
              <w:rPr>
                <w:color w:val="000000" w:themeColor="text1"/>
              </w:rPr>
              <w:sym w:font="Wingdings 2" w:char="00A3"/>
            </w:r>
          </w:p>
        </w:tc>
        <w:tc>
          <w:tcPr>
            <w:tcW w:w="153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ascii="宋体" w:hAnsi="宋体" w:cs="宋体"/>
                <w:color w:val="000000" w:themeColor="text1"/>
              </w:rPr>
              <w:t>Ⅱ</w:t>
            </w:r>
            <w:r>
              <w:rPr>
                <w:color w:val="000000" w:themeColor="text1"/>
              </w:rPr>
              <w:sym w:font="Wingdings 2" w:char="00A3"/>
            </w:r>
          </w:p>
        </w:tc>
        <w:tc>
          <w:tcPr>
            <w:tcW w:w="1403"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ascii="宋体" w:hAnsi="宋体" w:cs="宋体"/>
                <w:color w:val="000000" w:themeColor="text1"/>
              </w:rPr>
              <w:t>Ⅰ</w:t>
            </w:r>
            <w:r>
              <w:rPr>
                <w:rFonts w:hint="eastAsia" w:ascii="MS Mincho" w:hAnsi="MS Mincho" w:eastAsia="MS Mincho" w:cs="MS Mincho"/>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19"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评价等级</w:t>
            </w:r>
          </w:p>
        </w:tc>
        <w:tc>
          <w:tcPr>
            <w:tcW w:w="2768" w:type="dxa"/>
            <w:gridSpan w:val="4"/>
            <w:tcBorders>
              <w:top w:val="single" w:color="auto" w:sz="4" w:space="0"/>
              <w:left w:val="single" w:color="auto" w:sz="4" w:space="0"/>
              <w:bottom w:val="single" w:color="auto" w:sz="4" w:space="0"/>
              <w:right w:val="single" w:color="auto" w:sz="4" w:space="0"/>
            </w:tcBorders>
            <w:vAlign w:val="center"/>
          </w:tcPr>
          <w:p>
            <w:pPr>
              <w:pStyle w:val="55"/>
              <w:rPr>
                <w:rFonts w:ascii="宋体" w:cs="宋体"/>
                <w:color w:val="000000" w:themeColor="text1"/>
              </w:rPr>
            </w:pPr>
            <w:r>
              <w:rPr>
                <w:rFonts w:hint="eastAsia" w:ascii="宋体" w:hAnsi="宋体" w:cs="宋体"/>
                <w:color w:val="000000" w:themeColor="text1"/>
              </w:rPr>
              <w:t>一级</w:t>
            </w:r>
            <w:r>
              <w:rPr>
                <w:color w:val="000000" w:themeColor="text1"/>
              </w:rPr>
              <w:sym w:font="Wingdings 2" w:char="00A3"/>
            </w:r>
          </w:p>
        </w:tc>
        <w:tc>
          <w:tcPr>
            <w:tcW w:w="1562" w:type="dxa"/>
            <w:gridSpan w:val="4"/>
            <w:tcBorders>
              <w:top w:val="single" w:color="auto" w:sz="4" w:space="0"/>
              <w:left w:val="single" w:color="auto" w:sz="4" w:space="0"/>
              <w:bottom w:val="single" w:color="auto" w:sz="4" w:space="0"/>
              <w:right w:val="single" w:color="auto" w:sz="4" w:space="0"/>
            </w:tcBorders>
            <w:vAlign w:val="center"/>
          </w:tcPr>
          <w:p>
            <w:pPr>
              <w:pStyle w:val="55"/>
              <w:rPr>
                <w:rFonts w:ascii="宋体" w:cs="宋体"/>
                <w:color w:val="000000" w:themeColor="text1"/>
              </w:rPr>
            </w:pPr>
            <w:r>
              <w:rPr>
                <w:rFonts w:hint="eastAsia" w:ascii="宋体" w:hAnsi="宋体" w:cs="宋体"/>
                <w:color w:val="000000" w:themeColor="text1"/>
              </w:rPr>
              <w:t>二级</w:t>
            </w:r>
            <w:r>
              <w:rPr>
                <w:color w:val="000000" w:themeColor="text1"/>
              </w:rPr>
              <w:sym w:font="Wingdings 2" w:char="00A3"/>
            </w:r>
          </w:p>
        </w:tc>
        <w:tc>
          <w:tcPr>
            <w:tcW w:w="1534" w:type="dxa"/>
            <w:gridSpan w:val="2"/>
            <w:tcBorders>
              <w:top w:val="single" w:color="auto" w:sz="4" w:space="0"/>
              <w:left w:val="single" w:color="auto" w:sz="4" w:space="0"/>
              <w:bottom w:val="single" w:color="auto" w:sz="4" w:space="0"/>
              <w:right w:val="single" w:color="auto" w:sz="4" w:space="0"/>
            </w:tcBorders>
            <w:vAlign w:val="center"/>
          </w:tcPr>
          <w:p>
            <w:pPr>
              <w:pStyle w:val="55"/>
              <w:rPr>
                <w:rFonts w:ascii="宋体" w:cs="宋体"/>
                <w:color w:val="000000" w:themeColor="text1"/>
              </w:rPr>
            </w:pPr>
            <w:r>
              <w:rPr>
                <w:rFonts w:hint="eastAsia" w:ascii="宋体" w:hAnsi="宋体" w:cs="宋体"/>
                <w:color w:val="000000" w:themeColor="text1"/>
              </w:rPr>
              <w:t>三级</w:t>
            </w:r>
            <w:r>
              <w:rPr>
                <w:color w:val="000000" w:themeColor="text1"/>
              </w:rPr>
              <w:sym w:font="Wingdings 2" w:char="00A3"/>
            </w:r>
          </w:p>
        </w:tc>
        <w:tc>
          <w:tcPr>
            <w:tcW w:w="1403" w:type="dxa"/>
            <w:gridSpan w:val="2"/>
            <w:tcBorders>
              <w:top w:val="single" w:color="auto" w:sz="4" w:space="0"/>
              <w:left w:val="single" w:color="auto" w:sz="4" w:space="0"/>
              <w:bottom w:val="single" w:color="auto" w:sz="4" w:space="0"/>
              <w:right w:val="single" w:color="auto" w:sz="4" w:space="0"/>
            </w:tcBorders>
            <w:vAlign w:val="center"/>
          </w:tcPr>
          <w:p>
            <w:pPr>
              <w:pStyle w:val="55"/>
              <w:rPr>
                <w:rFonts w:ascii="宋体" w:cs="宋体"/>
                <w:color w:val="000000" w:themeColor="text1"/>
              </w:rPr>
            </w:pPr>
            <w:r>
              <w:rPr>
                <w:rFonts w:hint="eastAsia" w:ascii="宋体" w:hAnsi="宋体" w:cs="宋体"/>
                <w:color w:val="000000" w:themeColor="text1"/>
              </w:rPr>
              <w:t>简单分析</w:t>
            </w:r>
            <w:r>
              <w:rPr>
                <w:rFonts w:hint="eastAsia" w:ascii="MS Mincho" w:hAnsi="MS Mincho" w:eastAsia="MS Mincho" w:cs="MS Mincho"/>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426"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风险识别</w:t>
            </w:r>
          </w:p>
        </w:tc>
        <w:tc>
          <w:tcPr>
            <w:tcW w:w="1193" w:type="dxa"/>
            <w:gridSpan w:val="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物质危险性</w:t>
            </w:r>
          </w:p>
        </w:tc>
        <w:tc>
          <w:tcPr>
            <w:tcW w:w="3652" w:type="dxa"/>
            <w:gridSpan w:val="6"/>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有毒有害</w:t>
            </w:r>
            <w:r>
              <w:rPr>
                <w:rFonts w:hint="eastAsia" w:ascii="MS Mincho" w:hAnsi="MS Mincho" w:eastAsia="MS Mincho" w:cs="MS Mincho"/>
                <w:color w:val="000000" w:themeColor="text1"/>
              </w:rPr>
              <w:t>☑</w:t>
            </w:r>
          </w:p>
        </w:tc>
        <w:tc>
          <w:tcPr>
            <w:tcW w:w="3615" w:type="dxa"/>
            <w:gridSpan w:val="6"/>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易燃易爆</w:t>
            </w:r>
            <w:r>
              <w:rPr>
                <w:color w:val="000000" w:themeColor="text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193" w:type="dxa"/>
            <w:gridSpan w:val="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环境风险类型</w:t>
            </w:r>
          </w:p>
        </w:tc>
        <w:tc>
          <w:tcPr>
            <w:tcW w:w="2768" w:type="dxa"/>
            <w:gridSpan w:val="4"/>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泄露</w:t>
            </w:r>
            <w:r>
              <w:rPr>
                <w:rFonts w:hint="eastAsia" w:ascii="MS Mincho" w:hAnsi="MS Mincho" w:eastAsia="MS Mincho" w:cs="MS Mincho"/>
                <w:color w:val="000000" w:themeColor="text1"/>
              </w:rPr>
              <w:t>☑</w:t>
            </w:r>
          </w:p>
        </w:tc>
        <w:tc>
          <w:tcPr>
            <w:tcW w:w="4499" w:type="dxa"/>
            <w:gridSpan w:val="8"/>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火灾、爆炸引发伴生</w:t>
            </w:r>
            <w:r>
              <w:rPr>
                <w:color w:val="000000" w:themeColor="text1"/>
              </w:rPr>
              <w:t>/</w:t>
            </w:r>
            <w:r>
              <w:rPr>
                <w:rFonts w:hint="eastAsia"/>
                <w:color w:val="000000" w:themeColor="text1"/>
              </w:rPr>
              <w:t>次生污染物排放</w:t>
            </w:r>
            <w:r>
              <w:rPr>
                <w:color w:val="000000" w:themeColor="text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193"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影响途径</w:t>
            </w:r>
          </w:p>
        </w:tc>
        <w:tc>
          <w:tcPr>
            <w:tcW w:w="2768" w:type="dxa"/>
            <w:gridSpan w:val="4"/>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大气</w:t>
            </w:r>
            <w:r>
              <w:rPr>
                <w:color w:val="000000" w:themeColor="text1"/>
              </w:rPr>
              <w:t xml:space="preserve"> </w:t>
            </w:r>
            <w:r>
              <w:rPr>
                <w:rFonts w:hint="eastAsia" w:ascii="MS Mincho" w:hAnsi="MS Mincho" w:eastAsia="MS Mincho" w:cs="MS Mincho"/>
                <w:color w:val="000000" w:themeColor="text1"/>
              </w:rPr>
              <w:t>☑</w:t>
            </w:r>
          </w:p>
        </w:tc>
        <w:tc>
          <w:tcPr>
            <w:tcW w:w="2318" w:type="dxa"/>
            <w:gridSpan w:val="5"/>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地表水</w:t>
            </w:r>
            <w:r>
              <w:rPr>
                <w:color w:val="000000" w:themeColor="text1"/>
              </w:rPr>
              <w:t xml:space="preserve"> </w:t>
            </w:r>
            <w:r>
              <w:rPr>
                <w:rFonts w:hint="eastAsia" w:ascii="MS Mincho" w:hAnsi="MS Mincho" w:eastAsia="MS Mincho" w:cs="MS Mincho"/>
                <w:color w:val="000000" w:themeColor="text1"/>
              </w:rPr>
              <w:t>☑</w:t>
            </w:r>
          </w:p>
        </w:tc>
        <w:tc>
          <w:tcPr>
            <w:tcW w:w="2181"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地下水</w:t>
            </w:r>
            <w:r>
              <w:rPr>
                <w:rFonts w:hint="eastAsia" w:ascii="MS Mincho" w:hAnsi="MS Mincho" w:eastAsia="MS Mincho" w:cs="MS Mincho"/>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619"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事故情形分析</w:t>
            </w:r>
          </w:p>
        </w:tc>
        <w:tc>
          <w:tcPr>
            <w:tcW w:w="115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源强设定方法</w:t>
            </w:r>
          </w:p>
        </w:tc>
        <w:tc>
          <w:tcPr>
            <w:tcW w:w="1618"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计算法</w:t>
            </w:r>
            <w:r>
              <w:rPr>
                <w:color w:val="000000" w:themeColor="text1"/>
              </w:rPr>
              <w:sym w:font="Wingdings 2" w:char="00A3"/>
            </w:r>
          </w:p>
        </w:tc>
        <w:tc>
          <w:tcPr>
            <w:tcW w:w="2318" w:type="dxa"/>
            <w:gridSpan w:val="5"/>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经验估算法</w:t>
            </w:r>
            <w:r>
              <w:rPr>
                <w:color w:val="000000" w:themeColor="text1"/>
              </w:rPr>
              <w:sym w:font="Wingdings 2" w:char="00A3"/>
            </w:r>
          </w:p>
        </w:tc>
        <w:tc>
          <w:tcPr>
            <w:tcW w:w="2181"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其他估算法</w:t>
            </w:r>
            <w:r>
              <w:rPr>
                <w:color w:val="000000" w:themeColor="text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26"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风险预测与评价</w:t>
            </w:r>
          </w:p>
        </w:tc>
        <w:tc>
          <w:tcPr>
            <w:tcW w:w="1193" w:type="dxa"/>
            <w:gridSpan w:val="2"/>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大气</w:t>
            </w:r>
          </w:p>
        </w:tc>
        <w:tc>
          <w:tcPr>
            <w:tcW w:w="115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预测模型</w:t>
            </w:r>
          </w:p>
        </w:tc>
        <w:tc>
          <w:tcPr>
            <w:tcW w:w="1618"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 xml:space="preserve">SLAB </w:t>
            </w:r>
            <w:r>
              <w:rPr>
                <w:color w:val="000000" w:themeColor="text1"/>
              </w:rPr>
              <w:sym w:font="Wingdings 2" w:char="00A3"/>
            </w:r>
          </w:p>
        </w:tc>
        <w:tc>
          <w:tcPr>
            <w:tcW w:w="2318" w:type="dxa"/>
            <w:gridSpan w:val="5"/>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 xml:space="preserve">AFTOX </w:t>
            </w:r>
            <w:r>
              <w:rPr>
                <w:color w:val="000000" w:themeColor="text1"/>
              </w:rPr>
              <w:sym w:font="Wingdings 2" w:char="00A3"/>
            </w:r>
          </w:p>
        </w:tc>
        <w:tc>
          <w:tcPr>
            <w:tcW w:w="2181"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其他</w:t>
            </w:r>
            <w:r>
              <w:rPr>
                <w:color w:val="000000" w:themeColor="text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193"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150"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预测结果</w:t>
            </w:r>
          </w:p>
        </w:tc>
        <w:tc>
          <w:tcPr>
            <w:tcW w:w="6117" w:type="dxa"/>
            <w:gridSpan w:val="11"/>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大气毒性终点浓度</w:t>
            </w:r>
            <w:r>
              <w:rPr>
                <w:color w:val="000000" w:themeColor="text1"/>
              </w:rPr>
              <w:t xml:space="preserve">-1 </w:t>
            </w:r>
            <w:r>
              <w:rPr>
                <w:rFonts w:hint="eastAsia"/>
                <w:color w:val="000000" w:themeColor="text1"/>
              </w:rPr>
              <w:t>最大影响范围</w:t>
            </w:r>
            <w:r>
              <w:rPr>
                <w:color w:val="000000" w:themeColor="text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193"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150"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6117" w:type="dxa"/>
            <w:gridSpan w:val="11"/>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大气毒性终点浓度</w:t>
            </w:r>
            <w:r>
              <w:rPr>
                <w:color w:val="000000" w:themeColor="text1"/>
              </w:rPr>
              <w:t xml:space="preserve">-2 </w:t>
            </w:r>
            <w:r>
              <w:rPr>
                <w:rFonts w:hint="eastAsia"/>
                <w:color w:val="000000" w:themeColor="text1"/>
              </w:rPr>
              <w:t>最大影响范围</w:t>
            </w:r>
            <w:r>
              <w:rPr>
                <w:color w:val="000000" w:themeColor="text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193"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地表水</w:t>
            </w:r>
          </w:p>
        </w:tc>
        <w:tc>
          <w:tcPr>
            <w:tcW w:w="7267" w:type="dxa"/>
            <w:gridSpan w:val="1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最近环境敏感目标，到达时间</w:t>
            </w:r>
            <w:r>
              <w:rPr>
                <w:color w:val="000000" w:themeColor="text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193" w:type="dxa"/>
            <w:gridSpan w:val="2"/>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地下水</w:t>
            </w:r>
          </w:p>
        </w:tc>
        <w:tc>
          <w:tcPr>
            <w:tcW w:w="7267" w:type="dxa"/>
            <w:gridSpan w:val="1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下游厂区边界到达时间</w:t>
            </w:r>
            <w:r>
              <w:rPr>
                <w:color w:val="000000" w:themeColor="text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193"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7267" w:type="dxa"/>
            <w:gridSpan w:val="1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最近环境敏感目标，到达时间</w:t>
            </w:r>
            <w:r>
              <w:rPr>
                <w:color w:val="000000" w:themeColor="text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432"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重点风险防范措施</w:t>
            </w:r>
          </w:p>
        </w:tc>
        <w:tc>
          <w:tcPr>
            <w:tcW w:w="8454" w:type="dxa"/>
            <w:gridSpan w:val="13"/>
            <w:tcBorders>
              <w:top w:val="single" w:color="auto" w:sz="4" w:space="0"/>
              <w:left w:val="single" w:color="auto" w:sz="4" w:space="0"/>
              <w:bottom w:val="single" w:color="auto" w:sz="4" w:space="0"/>
              <w:right w:val="single" w:color="auto" w:sz="4" w:space="0"/>
            </w:tcBorders>
            <w:vAlign w:val="center"/>
          </w:tcPr>
          <w:p>
            <w:pPr>
              <w:pStyle w:val="55"/>
              <w:jc w:val="both"/>
              <w:rPr>
                <w:color w:val="000000" w:themeColor="text1"/>
              </w:rPr>
            </w:pPr>
            <w:r>
              <w:rPr>
                <w:rFonts w:hint="eastAsia"/>
                <w:color w:val="000000" w:themeColor="text1"/>
              </w:rPr>
              <w:t>1、次氯酸钠泄露风险防范措施</w:t>
            </w:r>
          </w:p>
          <w:p>
            <w:pPr>
              <w:pStyle w:val="55"/>
              <w:jc w:val="both"/>
              <w:rPr>
                <w:color w:val="000000" w:themeColor="text1"/>
              </w:rPr>
            </w:pPr>
            <w:r>
              <w:rPr>
                <w:rFonts w:hint="eastAsia"/>
                <w:color w:val="000000" w:themeColor="text1"/>
              </w:rPr>
              <w:t>（1）次氯酸钠存储过程风险防范</w:t>
            </w:r>
          </w:p>
          <w:p>
            <w:pPr>
              <w:pStyle w:val="55"/>
              <w:jc w:val="both"/>
              <w:rPr>
                <w:color w:val="000000" w:themeColor="text1"/>
              </w:rPr>
            </w:pPr>
            <w:r>
              <w:rPr>
                <w:rFonts w:hint="eastAsia"/>
                <w:color w:val="000000" w:themeColor="text1"/>
              </w:rPr>
              <w:t>项目对储存过程采取了一系列的风险管理措施，本环评建议次氯酸钠储存注意事项：</w:t>
            </w:r>
          </w:p>
          <w:p>
            <w:pPr>
              <w:pStyle w:val="55"/>
              <w:jc w:val="both"/>
              <w:rPr>
                <w:color w:val="000000" w:themeColor="text1"/>
              </w:rPr>
            </w:pPr>
            <w:r>
              <w:rPr>
                <w:rFonts w:hint="eastAsia"/>
                <w:color w:val="000000" w:themeColor="text1"/>
              </w:rPr>
              <w:t>储存于阴凉、通风的库房，仓库储存物贮放设置明显的标志。远离火种、热源。库温不宜超过30C。应与氧化剂、酸类、卤素、食用化学品分开存放，切忌混储。采用防爆型照明、通风设施。禁止使用易产生火花的机械设备和工具。次氯酸钠不燃，但为氧化剂可助燃，受高热分解产生有毒的腐蚀性烟气，具有腐蚀性。次氯酸钠所在的仓库或使用车间发生火灾时应疏散火灾现场周围50米的工作人员。工作人员出行灭火时必须佩戴过滤式防毒面具(全面罩)或隔离式呼吸器、穿全身防火防毒服，在上风向灭火。</w:t>
            </w:r>
          </w:p>
          <w:p>
            <w:pPr>
              <w:pStyle w:val="55"/>
              <w:jc w:val="both"/>
              <w:rPr>
                <w:color w:val="000000" w:themeColor="text1"/>
              </w:rPr>
            </w:pPr>
            <w:r>
              <w:rPr>
                <w:rFonts w:hint="eastAsia"/>
                <w:color w:val="000000" w:themeColor="text1"/>
              </w:rPr>
              <w:t>次氯酸钠应分区存放，按生产计划严格进料，实行安全责任制。储区应备有泄漏应急处理设备。</w:t>
            </w:r>
          </w:p>
          <w:p>
            <w:pPr>
              <w:pStyle w:val="55"/>
              <w:jc w:val="both"/>
              <w:rPr>
                <w:color w:val="000000" w:themeColor="text1"/>
              </w:rPr>
            </w:pPr>
            <w:r>
              <w:rPr>
                <w:rFonts w:hint="eastAsia"/>
                <w:color w:val="000000" w:themeColor="text1"/>
              </w:rPr>
              <w:t>（2）次氯酸钠操作过程风险防范</w:t>
            </w:r>
          </w:p>
          <w:p>
            <w:pPr>
              <w:pStyle w:val="55"/>
              <w:jc w:val="both"/>
              <w:rPr>
                <w:color w:val="000000" w:themeColor="text1"/>
              </w:rPr>
            </w:pPr>
            <w:r>
              <w:rPr>
                <w:rFonts w:hint="eastAsia"/>
                <w:color w:val="000000" w:themeColor="text1"/>
              </w:rPr>
              <w:t>本环评建议次氯酸钠操作注意事项：</w:t>
            </w:r>
          </w:p>
          <w:p>
            <w:pPr>
              <w:pStyle w:val="55"/>
              <w:jc w:val="both"/>
              <w:rPr>
                <w:color w:val="000000" w:themeColor="text1"/>
              </w:rPr>
            </w:pPr>
            <w:r>
              <w:rPr>
                <w:rFonts w:hint="eastAsia"/>
                <w:color w:val="000000" w:themeColor="text1"/>
              </w:rPr>
              <w:t>严加密闭，提供充分的局部排风和全面通风。操作人员必须经过专门培训，严格遵守操作规程。建议操作人员佩戴过滤式防毒面具(半面罩)，戴化学安全防护眼镜，穿防静电工作服，戴橡胶手套。</w:t>
            </w:r>
          </w:p>
          <w:p>
            <w:pPr>
              <w:pStyle w:val="55"/>
              <w:jc w:val="both"/>
              <w:rPr>
                <w:color w:val="000000" w:themeColor="text1"/>
              </w:rPr>
            </w:pPr>
            <w:r>
              <w:rPr>
                <w:rFonts w:hint="eastAsia"/>
                <w:color w:val="000000" w:themeColor="text1"/>
              </w:rPr>
              <w:t>远离火种、热源，工作场所严禁吸烟。使用防爆型的通风系统和设备。防止气体泄漏到工作场所空气中。避免与氧化剂、酸类、卤素接触。搬运时轻装轻卸，防止钢瓶及附件破损。配备相应品种和数量的消防器材及泄漏应急处理设备。</w:t>
            </w:r>
          </w:p>
          <w:p>
            <w:pPr>
              <w:pStyle w:val="55"/>
              <w:jc w:val="both"/>
              <w:rPr>
                <w:color w:val="000000" w:themeColor="text1"/>
              </w:rPr>
            </w:pPr>
            <w:r>
              <w:rPr>
                <w:rFonts w:hint="eastAsia"/>
                <w:color w:val="000000" w:themeColor="text1"/>
              </w:rPr>
              <w:t>2、高浓度有机废水事故排放的</w:t>
            </w:r>
            <w:r>
              <w:rPr>
                <w:rFonts w:hint="eastAsia"/>
                <w:color w:val="000000" w:themeColor="text1"/>
                <w:kern w:val="24"/>
                <w:szCs w:val="24"/>
              </w:rPr>
              <w:t>风险防控措施</w:t>
            </w:r>
            <w:r>
              <w:rPr>
                <w:rFonts w:hint="eastAsia"/>
                <w:color w:val="000000" w:themeColor="text1"/>
              </w:rPr>
              <w:t>：</w:t>
            </w:r>
          </w:p>
          <w:p>
            <w:pPr>
              <w:pStyle w:val="55"/>
              <w:jc w:val="both"/>
              <w:rPr>
                <w:color w:val="000000" w:themeColor="text1"/>
                <w:szCs w:val="24"/>
              </w:rPr>
            </w:pPr>
            <w:r>
              <w:rPr>
                <w:rFonts w:hint="eastAsia"/>
                <w:color w:val="000000" w:themeColor="text1"/>
                <w:szCs w:val="24"/>
              </w:rPr>
              <w:t>加强企业内污水处理站的检修、维护，并保持完好；对工作人员进行安全生产教育和岗位培训，并定期进行理论实践考核，保证工作人员具备必要的安全生产能力，并熟悉安全生产规章制度和安全生产规程。</w:t>
            </w:r>
          </w:p>
          <w:p>
            <w:pPr>
              <w:pStyle w:val="55"/>
              <w:jc w:val="both"/>
              <w:rPr>
                <w:color w:val="000000" w:themeColor="text1"/>
              </w:rPr>
            </w:pPr>
            <w:r>
              <w:rPr>
                <w:rFonts w:hint="eastAsia"/>
                <w:color w:val="000000" w:themeColor="text1"/>
              </w:rPr>
              <w:t>3、</w:t>
            </w:r>
            <w:r>
              <w:rPr>
                <w:rFonts w:hint="eastAsia" w:ascii="Calibri" w:hAnsi="Calibri" w:cs="宋体"/>
                <w:color w:val="000000" w:themeColor="text1"/>
                <w:kern w:val="0"/>
              </w:rPr>
              <w:t>动物尸体、检疫不合格产品泄露</w:t>
            </w:r>
            <w:r>
              <w:rPr>
                <w:rFonts w:hint="eastAsia"/>
                <w:color w:val="000000" w:themeColor="text1"/>
              </w:rPr>
              <w:t>的</w:t>
            </w:r>
            <w:r>
              <w:rPr>
                <w:rFonts w:hint="eastAsia"/>
                <w:color w:val="000000" w:themeColor="text1"/>
                <w:kern w:val="24"/>
                <w:szCs w:val="24"/>
              </w:rPr>
              <w:t>风险防控措施</w:t>
            </w:r>
            <w:r>
              <w:rPr>
                <w:rFonts w:hint="eastAsia"/>
                <w:color w:val="000000" w:themeColor="text1"/>
              </w:rPr>
              <w:t>：</w:t>
            </w:r>
          </w:p>
          <w:p>
            <w:pPr>
              <w:pStyle w:val="55"/>
              <w:jc w:val="both"/>
              <w:rPr>
                <w:color w:val="000000" w:themeColor="text1"/>
                <w:szCs w:val="24"/>
              </w:rPr>
            </w:pPr>
            <w:r>
              <w:rPr>
                <w:rFonts w:hint="eastAsia"/>
                <w:color w:val="000000" w:themeColor="text1"/>
              </w:rPr>
              <w:t>应设置专门的危险废物管理制度，定期对工作人员进行培训，加强工作人员环保安全意识，要求所有工作人员按照规范处理危险固废，禁止随意丢弃危险废物。危险废物需及时在厂区内使用环保焚烧炉进行无害化处置</w:t>
            </w:r>
            <w:r>
              <w:rPr>
                <w:rFonts w:hint="eastAsia"/>
                <w:color w:val="000000" w:themeColor="text1"/>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619" w:type="dxa"/>
            <w:gridSpan w:val="3"/>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5"/>
              <w:rPr>
                <w:color w:val="000000" w:themeColor="text1"/>
              </w:rPr>
            </w:pPr>
            <w:r>
              <w:rPr>
                <w:rFonts w:hint="eastAsia"/>
                <w:color w:val="000000" w:themeColor="text1"/>
              </w:rPr>
              <w:t>评价结论与建议</w:t>
            </w:r>
          </w:p>
        </w:tc>
        <w:tc>
          <w:tcPr>
            <w:tcW w:w="7267" w:type="dxa"/>
            <w:gridSpan w:val="1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建设方针对本报告提出的环境风险，应制定相应的应急预案。项目存在的环境风险是可以接受的。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886" w:type="dxa"/>
            <w:gridSpan w:val="15"/>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注：“</w:t>
            </w:r>
            <w:r>
              <w:rPr>
                <w:color w:val="000000" w:themeColor="text1"/>
              </w:rPr>
              <w:sym w:font="Wingdings 2" w:char="00A3"/>
            </w:r>
            <w:r>
              <w:rPr>
                <w:rFonts w:hint="eastAsia"/>
                <w:color w:val="000000" w:themeColor="text1"/>
              </w:rPr>
              <w:t>”为勾选项，“”为填写项。</w:t>
            </w:r>
          </w:p>
        </w:tc>
      </w:tr>
    </w:tbl>
    <w:p>
      <w:pPr>
        <w:pStyle w:val="3"/>
        <w:rPr>
          <w:color w:val="000000" w:themeColor="text1"/>
          <w:kern w:val="0"/>
        </w:rPr>
      </w:pPr>
      <w:bookmarkStart w:id="270" w:name="_Toc47375882"/>
      <w:r>
        <w:rPr>
          <w:rFonts w:hint="eastAsia"/>
          <w:color w:val="000000" w:themeColor="text1"/>
          <w:kern w:val="0"/>
        </w:rPr>
        <w:t>6.6土壤环境影响评价</w:t>
      </w:r>
      <w:bookmarkEnd w:id="270"/>
    </w:p>
    <w:p>
      <w:pPr>
        <w:pStyle w:val="38"/>
        <w:ind w:firstLine="281"/>
        <w:rPr>
          <w:color w:val="000000" w:themeColor="text1"/>
          <w:kern w:val="0"/>
        </w:rPr>
      </w:pPr>
      <w:bookmarkStart w:id="271" w:name="_Toc47375883"/>
      <w:r>
        <w:rPr>
          <w:rFonts w:hint="eastAsia"/>
          <w:color w:val="000000" w:themeColor="text1"/>
          <w:kern w:val="0"/>
        </w:rPr>
        <w:t>6.6.1土壤环境影响评价等级判定</w:t>
      </w:r>
      <w:bookmarkEnd w:id="271"/>
    </w:p>
    <w:p>
      <w:pPr>
        <w:ind w:firstLine="480"/>
        <w:rPr>
          <w:rFonts w:cs="Times New Roman"/>
          <w:color w:val="000000" w:themeColor="text1"/>
          <w:kern w:val="0"/>
          <w:szCs w:val="24"/>
        </w:rPr>
      </w:pPr>
      <w:r>
        <w:rPr>
          <w:rFonts w:hint="eastAsia" w:cs="Times New Roman"/>
          <w:color w:val="000000" w:themeColor="text1"/>
          <w:kern w:val="0"/>
          <w:szCs w:val="24"/>
        </w:rPr>
        <w:t>本项目的影响类型：污染影响型；根据《环境影响评价技术导则土壤环境(试行)》(HJ964-2018)附录A，本项目类别属于IV类项目。</w:t>
      </w:r>
    </w:p>
    <w:p>
      <w:pPr>
        <w:ind w:firstLine="480"/>
        <w:rPr>
          <w:rFonts w:cs="Times New Roman"/>
          <w:color w:val="000000" w:themeColor="text1"/>
          <w:kern w:val="0"/>
          <w:szCs w:val="24"/>
        </w:rPr>
      </w:pPr>
      <w:r>
        <w:rPr>
          <w:rFonts w:hint="eastAsia" w:cs="Times New Roman"/>
          <w:color w:val="000000" w:themeColor="text1"/>
          <w:kern w:val="0"/>
          <w:szCs w:val="24"/>
        </w:rPr>
        <w:t>根据HJ964-2018中的4.2.2节要求，IV类项目可不开展土壤环境影响评价。本次土壤环境影响评价仅针对项目特点进行土壤环境影响分析。</w:t>
      </w:r>
    </w:p>
    <w:p>
      <w:pPr>
        <w:pStyle w:val="38"/>
        <w:ind w:firstLine="281"/>
        <w:rPr>
          <w:color w:val="000000" w:themeColor="text1"/>
          <w:kern w:val="0"/>
        </w:rPr>
      </w:pPr>
      <w:bookmarkStart w:id="272" w:name="_Toc47375884"/>
      <w:r>
        <w:rPr>
          <w:rFonts w:hint="eastAsia"/>
          <w:color w:val="000000" w:themeColor="text1"/>
          <w:kern w:val="0"/>
        </w:rPr>
        <w:t>6.6.2土壤影响</w:t>
      </w:r>
      <w:bookmarkEnd w:id="272"/>
    </w:p>
    <w:p>
      <w:pPr>
        <w:ind w:firstLine="480"/>
        <w:rPr>
          <w:rFonts w:cs="Times New Roman"/>
          <w:color w:val="000000" w:themeColor="text1"/>
          <w:kern w:val="0"/>
          <w:szCs w:val="24"/>
        </w:rPr>
      </w:pPr>
      <w:r>
        <w:rPr>
          <w:rFonts w:hint="eastAsia" w:cs="Times New Roman"/>
          <w:color w:val="000000" w:themeColor="text1"/>
          <w:kern w:val="0"/>
          <w:szCs w:val="24"/>
        </w:rPr>
        <w:t>土壤对污染物的净化能力是有限的。当外界进入土壤的污染物的速率不超过土壤的净化作用速率，尚不造成土壤污染；若进入土壤中的污染物的速率超过了土壤净化作用速率，就会使污染物在土壤中积累，造成土壤污染，导致土壤正常功能失调，土壤质量下降，影响植物的生长发育，并通过植物吸收、食物链使污染物发生迁移，最终影响人体健康。项目建成后，涉及的污染物及污染途径主要为生产固废（粪便、胃肠内容物等）存储不当及废水污染物收集过程中管道渗漏等。</w:t>
      </w:r>
    </w:p>
    <w:p>
      <w:pPr>
        <w:ind w:firstLine="480"/>
        <w:rPr>
          <w:rFonts w:cs="Times New Roman"/>
          <w:color w:val="000000" w:themeColor="text1"/>
          <w:kern w:val="0"/>
          <w:szCs w:val="24"/>
        </w:rPr>
      </w:pPr>
      <w:r>
        <w:rPr>
          <w:rFonts w:hint="eastAsia" w:cs="Times New Roman"/>
          <w:color w:val="000000" w:themeColor="text1"/>
          <w:kern w:val="0"/>
          <w:szCs w:val="24"/>
        </w:rPr>
        <w:t>项目运行过程中，厂区内均进行分区地面硬化防渗处理，针对污水处理站、污水管道、消毒池、粪便暂存间、化粪池等进行重点防渗处理；新建的屠宰车间、待宰圈、分割车间等进行一般防渗处理；办公生活区及其他区域等进行硬化等简单防渗处理。项目产生的固废、污水等不会直接与土壤接触或随雨水外流污染土壤环境。</w:t>
      </w:r>
    </w:p>
    <w:p>
      <w:pPr>
        <w:pStyle w:val="38"/>
        <w:ind w:firstLine="281"/>
        <w:rPr>
          <w:color w:val="000000" w:themeColor="text1"/>
          <w:kern w:val="0"/>
        </w:rPr>
      </w:pPr>
      <w:bookmarkStart w:id="273" w:name="_Toc47375885"/>
      <w:r>
        <w:rPr>
          <w:rFonts w:hint="eastAsia"/>
          <w:color w:val="000000" w:themeColor="text1"/>
          <w:kern w:val="0"/>
        </w:rPr>
        <w:t>6.6.3防止土壤污染的措施</w:t>
      </w:r>
      <w:bookmarkEnd w:id="273"/>
    </w:p>
    <w:p>
      <w:pPr>
        <w:ind w:firstLine="480"/>
        <w:rPr>
          <w:rFonts w:cs="Times New Roman"/>
          <w:color w:val="000000" w:themeColor="text1"/>
          <w:kern w:val="0"/>
          <w:szCs w:val="24"/>
        </w:rPr>
      </w:pPr>
      <w:r>
        <w:rPr>
          <w:rFonts w:hint="eastAsia" w:cs="Times New Roman"/>
          <w:color w:val="000000" w:themeColor="text1"/>
          <w:kern w:val="0"/>
          <w:szCs w:val="24"/>
        </w:rPr>
        <w:t>1、环境监测与管理</w:t>
      </w:r>
    </w:p>
    <w:p>
      <w:pPr>
        <w:ind w:firstLine="480"/>
        <w:rPr>
          <w:rFonts w:cs="Times New Roman"/>
          <w:color w:val="000000" w:themeColor="text1"/>
          <w:kern w:val="0"/>
          <w:szCs w:val="24"/>
        </w:rPr>
      </w:pPr>
      <w:r>
        <w:rPr>
          <w:rFonts w:hint="eastAsia" w:cs="Times New Roman"/>
          <w:color w:val="000000" w:themeColor="text1"/>
          <w:kern w:val="0"/>
          <w:szCs w:val="24"/>
        </w:rPr>
        <w:t>建立土壤环境监控体系，包括建立土壤污染监控制度和环境管理体系、制定监测计划，以便及时发现问题和采取措施。</w:t>
      </w:r>
    </w:p>
    <w:p>
      <w:pPr>
        <w:ind w:firstLine="480"/>
        <w:rPr>
          <w:rFonts w:cs="Times New Roman"/>
          <w:color w:val="000000" w:themeColor="text1"/>
          <w:kern w:val="0"/>
          <w:szCs w:val="24"/>
        </w:rPr>
      </w:pPr>
      <w:r>
        <w:rPr>
          <w:rFonts w:hint="eastAsia" w:cs="Times New Roman"/>
          <w:color w:val="000000" w:themeColor="text1"/>
          <w:kern w:val="0"/>
          <w:szCs w:val="24"/>
        </w:rPr>
        <w:t>2、制定突发环境事件应急预案</w:t>
      </w:r>
    </w:p>
    <w:p>
      <w:pPr>
        <w:ind w:firstLine="480"/>
        <w:rPr>
          <w:rFonts w:cs="Times New Roman"/>
          <w:color w:val="000000" w:themeColor="text1"/>
          <w:kern w:val="0"/>
          <w:szCs w:val="24"/>
        </w:rPr>
      </w:pPr>
      <w:r>
        <w:rPr>
          <w:rFonts w:hint="eastAsia" w:cs="Times New Roman"/>
          <w:color w:val="000000" w:themeColor="text1"/>
          <w:kern w:val="0"/>
          <w:szCs w:val="24"/>
        </w:rPr>
        <w:t>发生突发环境事件后，公司应及时通知有关部门并采取必要的安全措施，减少事故损失，防止事故蔓延、扩大；建立严格的规章制度及导排管网，以保护厂址附近的土壤环境质量。</w:t>
      </w:r>
    </w:p>
    <w:p>
      <w:pPr>
        <w:ind w:firstLine="480"/>
        <w:rPr>
          <w:rFonts w:cs="Times New Roman"/>
          <w:color w:val="000000" w:themeColor="text1"/>
          <w:kern w:val="0"/>
          <w:szCs w:val="24"/>
        </w:rPr>
      </w:pPr>
      <w:r>
        <w:rPr>
          <w:rFonts w:hint="eastAsia" w:cs="Times New Roman"/>
          <w:color w:val="000000" w:themeColor="text1"/>
          <w:kern w:val="0"/>
          <w:szCs w:val="24"/>
        </w:rPr>
        <w:t>在采取了以上各项措施后，项目对当地土壤环境影响较小。</w:t>
      </w:r>
    </w:p>
    <w:p>
      <w:pPr>
        <w:pStyle w:val="3"/>
        <w:rPr>
          <w:color w:val="000000" w:themeColor="text1"/>
          <w:kern w:val="0"/>
        </w:rPr>
      </w:pPr>
      <w:bookmarkStart w:id="274" w:name="_Toc47375886"/>
      <w:r>
        <w:rPr>
          <w:rFonts w:hint="eastAsia"/>
          <w:color w:val="000000" w:themeColor="text1"/>
          <w:kern w:val="0"/>
        </w:rPr>
        <w:t>6.7生态环境影响评价</w:t>
      </w:r>
      <w:bookmarkEnd w:id="274"/>
    </w:p>
    <w:p>
      <w:pPr>
        <w:pStyle w:val="38"/>
        <w:ind w:firstLine="281"/>
        <w:rPr>
          <w:color w:val="000000" w:themeColor="text1"/>
        </w:rPr>
      </w:pPr>
      <w:bookmarkStart w:id="275" w:name="_Toc47375887"/>
      <w:r>
        <w:rPr>
          <w:rFonts w:hint="eastAsia"/>
          <w:color w:val="000000" w:themeColor="text1"/>
        </w:rPr>
        <w:t>6.7.1生态影响分析</w:t>
      </w:r>
      <w:bookmarkEnd w:id="275"/>
    </w:p>
    <w:p>
      <w:pPr>
        <w:ind w:firstLine="480"/>
        <w:rPr>
          <w:color w:val="000000" w:themeColor="text1"/>
        </w:rPr>
      </w:pPr>
      <w:r>
        <w:rPr>
          <w:rFonts w:hint="eastAsia"/>
          <w:color w:val="000000" w:themeColor="text1"/>
        </w:rPr>
        <w:t>1、动物影响分析</w:t>
      </w:r>
    </w:p>
    <w:p>
      <w:pPr>
        <w:ind w:firstLine="480"/>
        <w:rPr>
          <w:color w:val="000000" w:themeColor="text1"/>
        </w:rPr>
      </w:pPr>
      <w:r>
        <w:rPr>
          <w:rFonts w:hint="eastAsia"/>
          <w:color w:val="000000" w:themeColor="text1"/>
        </w:rPr>
        <w:t>本项目位于砚山县干河乡小龙白村西北侧，用地为工业建设用地，根据现场踏勘，项目区内基本没有大型野生哺乳动物分布，没有发现珍稀濒危野生动物，</w:t>
      </w:r>
      <w:r>
        <w:rPr>
          <w:rFonts w:hint="eastAsia" w:ascii="宋体" w:hAnsi="宋体"/>
          <w:snapToGrid w:val="0"/>
          <w:color w:val="000000" w:themeColor="text1"/>
        </w:rPr>
        <w:t>无国家重点保护的鸟类、两栖类、爬行类、哺乳类动物种类分布。属于被人类开发利用的农田生态系统，动物主要有麻雀、老鼠、蛇等小型爬行类，</w:t>
      </w:r>
      <w:r>
        <w:rPr>
          <w:rFonts w:hint="eastAsia"/>
          <w:color w:val="000000" w:themeColor="text1"/>
        </w:rPr>
        <w:t>且数量有限。</w:t>
      </w:r>
    </w:p>
    <w:p>
      <w:pPr>
        <w:ind w:firstLine="480"/>
        <w:rPr>
          <w:color w:val="000000" w:themeColor="text1"/>
        </w:rPr>
      </w:pPr>
      <w:r>
        <w:rPr>
          <w:rFonts w:hint="eastAsia"/>
          <w:color w:val="000000" w:themeColor="text1"/>
        </w:rPr>
        <w:t>拟建项目区动物数量较少，种类较为简单，项目建设会使动物迁往它处，但不会影响其存活及种群数量。因此本项目建设对动物影响较小。</w:t>
      </w:r>
    </w:p>
    <w:p>
      <w:pPr>
        <w:ind w:firstLine="480"/>
        <w:rPr>
          <w:color w:val="000000" w:themeColor="text1"/>
        </w:rPr>
      </w:pPr>
      <w:r>
        <w:rPr>
          <w:rFonts w:hint="eastAsia"/>
          <w:color w:val="000000" w:themeColor="text1"/>
        </w:rPr>
        <w:t>2、植物影响分析</w:t>
      </w:r>
    </w:p>
    <w:p>
      <w:pPr>
        <w:ind w:firstLine="480"/>
        <w:rPr>
          <w:color w:val="000000" w:themeColor="text1"/>
        </w:rPr>
      </w:pPr>
      <w:r>
        <w:rPr>
          <w:rFonts w:hint="eastAsia"/>
          <w:color w:val="000000" w:themeColor="text1"/>
        </w:rPr>
        <w:t>（1）二氧化硫对植物的影响</w:t>
      </w:r>
    </w:p>
    <w:p>
      <w:pPr>
        <w:ind w:firstLine="480"/>
        <w:rPr>
          <w:color w:val="000000" w:themeColor="text1"/>
        </w:rPr>
      </w:pPr>
      <w:r>
        <w:rPr>
          <w:rFonts w:hint="eastAsia"/>
          <w:color w:val="000000" w:themeColor="text1"/>
        </w:rPr>
        <w:t>绿色植物的叶面较大，对二氧化硫的吸收能力就比其他物体强。当二氧化硫被植物吸收后，可形成亚硫酸盐，然后再氧化成硫酸盐，变成对植物生长有用的营养物质。所以，只要大气中二氧化硫的浓度不超过一定限度，并能有充分的时间使亚硫酸盐转化为硫酸盐，那么植物叶片就能不断吸收大气中的二氧化硫。</w:t>
      </w:r>
    </w:p>
    <w:p>
      <w:pPr>
        <w:ind w:firstLine="480"/>
        <w:rPr>
          <w:color w:val="000000" w:themeColor="text1"/>
        </w:rPr>
      </w:pPr>
      <w:r>
        <w:rPr>
          <w:rFonts w:hint="eastAsia"/>
          <w:color w:val="000000" w:themeColor="text1"/>
        </w:rPr>
        <w:t>（2）颗粒物对植物的影响</w:t>
      </w:r>
    </w:p>
    <w:p>
      <w:pPr>
        <w:ind w:firstLine="480"/>
        <w:rPr>
          <w:color w:val="000000" w:themeColor="text1"/>
        </w:rPr>
      </w:pPr>
      <w:r>
        <w:rPr>
          <w:rFonts w:hint="eastAsia"/>
          <w:color w:val="000000" w:themeColor="text1"/>
        </w:rPr>
        <w:t>大气中悬浮颗粒物对植物的叶片、花朵、枝条、果实等均有直接影响，颗粒物覆盖在植物的嫩枝、新梢、果实等组织上后，会产生许多斑点，使果品的商品质量下降，不易贮存。叶片常因常因长时间集聚过多的颗粒物，从而堵塞气孔，使光合强度下降，黑暗中呼吸作用降低。授尘叶片吸收红外光辐射的能力增强，导致叶温增高，蒸腾速度加快，引起失水、褪绿，从而使作物生长发育不良，造成减产。</w:t>
      </w:r>
    </w:p>
    <w:p>
      <w:pPr>
        <w:ind w:firstLine="480"/>
        <w:rPr>
          <w:color w:val="000000" w:themeColor="text1"/>
        </w:rPr>
      </w:pPr>
      <w:r>
        <w:rPr>
          <w:rFonts w:hint="eastAsia"/>
          <w:color w:val="000000" w:themeColor="text1"/>
        </w:rPr>
        <w:t>3、生态系统类型和完整性分析</w:t>
      </w:r>
    </w:p>
    <w:p>
      <w:pPr>
        <w:ind w:firstLine="480"/>
        <w:rPr>
          <w:color w:val="000000" w:themeColor="text1"/>
        </w:rPr>
      </w:pPr>
      <w:r>
        <w:rPr>
          <w:rFonts w:hint="eastAsia"/>
          <w:color w:val="000000" w:themeColor="text1"/>
        </w:rPr>
        <w:t>本项目占地类型已调整为建设用地，环保治理措施较为全面。从当地自然生态系统的整体性和敏感性来看，影响是局地性的和短期的。通过针对性的生态恢复措施，增加生态品种的多样性，较大的程度上减缓负面影响，不会对生态系统的整体性造成大的影响。</w:t>
      </w:r>
    </w:p>
    <w:p>
      <w:pPr>
        <w:pStyle w:val="38"/>
        <w:ind w:firstLine="281"/>
        <w:rPr>
          <w:color w:val="000000" w:themeColor="text1"/>
        </w:rPr>
      </w:pPr>
      <w:bookmarkStart w:id="276" w:name="_Toc47375888"/>
      <w:r>
        <w:rPr>
          <w:rFonts w:hint="eastAsia"/>
          <w:color w:val="000000" w:themeColor="text1"/>
        </w:rPr>
        <w:t>6.7.2生态环境保护措施</w:t>
      </w:r>
      <w:bookmarkEnd w:id="276"/>
    </w:p>
    <w:p>
      <w:pPr>
        <w:ind w:firstLine="480"/>
        <w:rPr>
          <w:color w:val="000000" w:themeColor="text1"/>
        </w:rPr>
      </w:pPr>
      <w:r>
        <w:rPr>
          <w:rFonts w:hint="eastAsia"/>
          <w:color w:val="000000" w:themeColor="text1"/>
        </w:rPr>
        <w:t>施工中要尽量做到“挖填平衡”，减少弃方和借方，必须的弃土、弃石、弃渣要设有专门的存放地和防治水土流失的工程设施；施工过程中应尽可能减少植被的破坏面积，对施工期临时占用的农田耕地，应及时覆土还耕。</w:t>
      </w:r>
    </w:p>
    <w:p>
      <w:pPr>
        <w:ind w:firstLine="480"/>
        <w:rPr>
          <w:color w:val="000000" w:themeColor="text1"/>
        </w:rPr>
      </w:pPr>
      <w:r>
        <w:rPr>
          <w:rFonts w:hint="eastAsia"/>
          <w:color w:val="000000" w:themeColor="text1"/>
        </w:rPr>
        <w:t>工程在竣工后通过场地硬化和绿化措施，对项目厂区内可以绿化地段进行植被覆盖，植被能得到一定程度的恢复，同时也起到减轻水土流失、净化空气和美化环境等作用，使项目区域生态功能得到改善。</w:t>
      </w:r>
    </w:p>
    <w:p>
      <w:pPr>
        <w:ind w:firstLine="480"/>
        <w:rPr>
          <w:color w:val="000000" w:themeColor="text1"/>
        </w:rPr>
      </w:pPr>
      <w:r>
        <w:rPr>
          <w:rFonts w:hint="eastAsia"/>
          <w:color w:val="000000" w:themeColor="text1"/>
        </w:rPr>
        <w:t>针对本项目存在的对土壤作物影响类型，本项目建成后土壤作物保护措施应重点对排放的大气污染物进行控制，确保颗粒物、SO</w:t>
      </w:r>
      <w:r>
        <w:rPr>
          <w:rFonts w:hint="eastAsia"/>
          <w:color w:val="000000" w:themeColor="text1"/>
          <w:vertAlign w:val="subscript"/>
        </w:rPr>
        <w:t>2</w:t>
      </w:r>
      <w:r>
        <w:rPr>
          <w:rFonts w:hint="eastAsia"/>
          <w:color w:val="000000" w:themeColor="text1"/>
        </w:rPr>
        <w:t>达标排放，并且降低排放量，从而控制经大气环境沉降进入土壤和植物中的污染物量，控制污染物对土壤、作物环境造成的影响。</w:t>
      </w:r>
    </w:p>
    <w:p>
      <w:pPr>
        <w:pStyle w:val="38"/>
        <w:ind w:firstLine="281"/>
        <w:rPr>
          <w:color w:val="000000" w:themeColor="text1"/>
        </w:rPr>
      </w:pPr>
      <w:bookmarkStart w:id="277" w:name="_Toc47375889"/>
      <w:r>
        <w:rPr>
          <w:rFonts w:hint="eastAsia"/>
          <w:color w:val="000000" w:themeColor="text1"/>
        </w:rPr>
        <w:t>6.7.3结论</w:t>
      </w:r>
      <w:bookmarkEnd w:id="277"/>
    </w:p>
    <w:p>
      <w:pPr>
        <w:ind w:firstLine="480"/>
        <w:rPr>
          <w:color w:val="000000" w:themeColor="text1"/>
        </w:rPr>
      </w:pPr>
      <w:r>
        <w:rPr>
          <w:rFonts w:hint="eastAsia"/>
          <w:color w:val="000000" w:themeColor="text1"/>
        </w:rPr>
        <w:t>本项目占地类型为建设用地，本项目运行对生态环境的影响表现为废气排放通过沉降、雨水等环节进入厂址周围环境，进而造成土壤植物（作物）生长发育不良，从而对生态环境造成影响。针对其影响特征，为减轻其影响，严格控制工程中的颗粒物、SO</w:t>
      </w:r>
      <w:r>
        <w:rPr>
          <w:rFonts w:hint="eastAsia"/>
          <w:color w:val="000000" w:themeColor="text1"/>
          <w:vertAlign w:val="subscript"/>
        </w:rPr>
        <w:t>2</w:t>
      </w:r>
      <w:r>
        <w:rPr>
          <w:rFonts w:hint="eastAsia"/>
          <w:color w:val="000000" w:themeColor="text1"/>
        </w:rPr>
        <w:t>向环境中的排放是保护周围生态环境的关键。按《报告书》要求：确保废气达标排放、严格管理、最大限度减少废气污染物向环境中逸散，可减轻对周围环境的影响。</w:t>
      </w:r>
    </w:p>
    <w:p>
      <w:pPr>
        <w:ind w:firstLine="480"/>
        <w:rPr>
          <w:color w:val="000000" w:themeColor="text1"/>
        </w:rPr>
      </w:pPr>
      <w:r>
        <w:rPr>
          <w:rFonts w:hint="eastAsia"/>
          <w:color w:val="000000" w:themeColor="text1"/>
        </w:rPr>
        <w:t>厂址区域内无保护类动、植物分布，项目的建设、运行不会对当地生态结构、生态平衡造成重大的不利影响。</w:t>
      </w:r>
    </w:p>
    <w:p>
      <w:pPr>
        <w:widowControl/>
        <w:spacing w:line="240" w:lineRule="auto"/>
        <w:ind w:firstLine="0" w:firstLineChars="0"/>
        <w:jc w:val="left"/>
        <w:rPr>
          <w:b/>
          <w:color w:val="000000" w:themeColor="text1"/>
          <w:kern w:val="0"/>
          <w:sz w:val="32"/>
        </w:rPr>
      </w:pPr>
      <w:r>
        <w:rPr>
          <w:color w:val="000000" w:themeColor="text1"/>
          <w:kern w:val="0"/>
        </w:rPr>
        <w:br w:type="page"/>
      </w:r>
    </w:p>
    <w:p>
      <w:pPr>
        <w:pStyle w:val="2"/>
        <w:spacing w:before="249" w:after="249"/>
        <w:rPr>
          <w:color w:val="000000" w:themeColor="text1"/>
          <w:kern w:val="0"/>
        </w:rPr>
      </w:pPr>
      <w:bookmarkStart w:id="278" w:name="_Toc47375890"/>
      <w:r>
        <w:rPr>
          <w:rFonts w:hint="eastAsia"/>
          <w:color w:val="000000" w:themeColor="text1"/>
          <w:kern w:val="0"/>
        </w:rPr>
        <w:t>7.污染防治措施及总量控制</w:t>
      </w:r>
      <w:bookmarkEnd w:id="278"/>
    </w:p>
    <w:p>
      <w:pPr>
        <w:pStyle w:val="3"/>
        <w:rPr>
          <w:color w:val="000000" w:themeColor="text1"/>
        </w:rPr>
      </w:pPr>
      <w:bookmarkStart w:id="279" w:name="_Toc47375891"/>
      <w:r>
        <w:rPr>
          <w:rFonts w:hint="eastAsia"/>
          <w:color w:val="000000" w:themeColor="text1"/>
        </w:rPr>
        <w:t>7.1施工期污染防治措施</w:t>
      </w:r>
      <w:bookmarkEnd w:id="279"/>
    </w:p>
    <w:p>
      <w:pPr>
        <w:pStyle w:val="38"/>
        <w:ind w:firstLine="281"/>
        <w:rPr>
          <w:color w:val="000000" w:themeColor="text1"/>
        </w:rPr>
      </w:pPr>
      <w:bookmarkStart w:id="280" w:name="_Toc47375892"/>
      <w:r>
        <w:rPr>
          <w:rFonts w:hint="eastAsia"/>
          <w:color w:val="000000" w:themeColor="text1"/>
        </w:rPr>
        <w:t>7.1.1施工期大气污染防治措施</w:t>
      </w:r>
      <w:bookmarkEnd w:id="280"/>
    </w:p>
    <w:p>
      <w:pPr>
        <w:ind w:firstLine="480"/>
        <w:rPr>
          <w:color w:val="000000" w:themeColor="text1"/>
        </w:rPr>
      </w:pPr>
      <w:bookmarkStart w:id="281" w:name="_Toc240650668"/>
      <w:r>
        <w:rPr>
          <w:rFonts w:hint="eastAsia"/>
          <w:color w:val="000000" w:themeColor="text1"/>
        </w:rPr>
        <w:t>1、施工期粉尘（扬尘）、车辆机械尾气环保</w:t>
      </w:r>
      <w:bookmarkEnd w:id="281"/>
      <w:r>
        <w:rPr>
          <w:rFonts w:hint="eastAsia"/>
          <w:color w:val="000000" w:themeColor="text1"/>
        </w:rPr>
        <w:t>防治措施</w:t>
      </w:r>
    </w:p>
    <w:p>
      <w:pPr>
        <w:ind w:firstLine="480"/>
        <w:rPr>
          <w:color w:val="000000" w:themeColor="text1"/>
        </w:rPr>
      </w:pPr>
      <w:r>
        <w:rPr>
          <w:rFonts w:hint="eastAsia"/>
          <w:color w:val="000000" w:themeColor="text1"/>
        </w:rPr>
        <w:t>为防止和减少施工期间扬尘和废气的污染，施工单位应加强统一、严格、规范管理制度和措施，纳入本单位环保管理程序。应按照和落实</w:t>
      </w:r>
      <w:r>
        <w:rPr>
          <w:rFonts w:hint="eastAsia"/>
          <w:bCs/>
          <w:color w:val="000000" w:themeColor="text1"/>
        </w:rPr>
        <w:t>《文山州大气污染防治行动实施方案》和环评</w:t>
      </w:r>
      <w:r>
        <w:rPr>
          <w:rFonts w:hint="eastAsia"/>
          <w:color w:val="000000" w:themeColor="text1"/>
        </w:rPr>
        <w:t>的有关规定，特建议采取如下措施：</w:t>
      </w:r>
    </w:p>
    <w:p>
      <w:pPr>
        <w:ind w:firstLine="480"/>
        <w:rPr>
          <w:color w:val="000000" w:themeColor="text1"/>
        </w:rPr>
      </w:pPr>
      <w:r>
        <w:rPr>
          <w:color w:val="000000" w:themeColor="text1"/>
        </w:rPr>
        <w:fldChar w:fldCharType="begin"/>
      </w:r>
      <w:r>
        <w:rPr>
          <w:color w:val="000000" w:themeColor="text1"/>
        </w:rPr>
        <w:instrText xml:space="preserve">= 1 \* GB3</w:instrText>
      </w:r>
      <w:r>
        <w:rPr>
          <w:color w:val="000000" w:themeColor="text1"/>
        </w:rPr>
        <w:fldChar w:fldCharType="separate"/>
      </w:r>
      <w:r>
        <w:rPr>
          <w:rFonts w:hint="eastAsia" w:ascii="宋体" w:hAnsi="宋体" w:cs="宋体"/>
          <w:color w:val="000000" w:themeColor="text1"/>
        </w:rPr>
        <w:t>①</w:t>
      </w:r>
      <w:r>
        <w:rPr>
          <w:color w:val="000000" w:themeColor="text1"/>
        </w:rPr>
        <w:fldChar w:fldCharType="end"/>
      </w:r>
      <w:r>
        <w:rPr>
          <w:rFonts w:hint="eastAsia"/>
          <w:color w:val="000000" w:themeColor="text1"/>
        </w:rPr>
        <w:t>本项目在建设过程中需要使用的建筑材料，这些建材在装卸、堆放过程中会产生大量粉尘外逸，施工单位必须加强施工区的规划管理，将建筑材料（主要是细砂、石子）的堆场定点定位，并采取防尘抑尘措施，如在大风天气，对散料堆场采用水喷淋防尘，并用蓬布遮盖建筑材料。</w:t>
      </w:r>
    </w:p>
    <w:p>
      <w:pPr>
        <w:ind w:firstLine="480"/>
        <w:rPr>
          <w:color w:val="000000" w:themeColor="text1"/>
        </w:rPr>
      </w:pPr>
      <w:r>
        <w:rPr>
          <w:color w:val="000000" w:themeColor="text1"/>
        </w:rPr>
        <w:fldChar w:fldCharType="begin"/>
      </w:r>
      <w:r>
        <w:rPr>
          <w:color w:val="000000" w:themeColor="text1"/>
        </w:rPr>
        <w:instrText xml:space="preserve">= 2 \* GB3</w:instrText>
      </w:r>
      <w:r>
        <w:rPr>
          <w:color w:val="000000" w:themeColor="text1"/>
        </w:rPr>
        <w:fldChar w:fldCharType="separate"/>
      </w:r>
      <w:r>
        <w:rPr>
          <w:rFonts w:hint="eastAsia" w:ascii="宋体" w:hAnsi="宋体" w:cs="宋体"/>
          <w:color w:val="000000" w:themeColor="text1"/>
        </w:rPr>
        <w:t>②</w:t>
      </w:r>
      <w:r>
        <w:rPr>
          <w:color w:val="000000" w:themeColor="text1"/>
        </w:rPr>
        <w:fldChar w:fldCharType="end"/>
      </w:r>
      <w:r>
        <w:rPr>
          <w:rFonts w:hint="eastAsia"/>
          <w:color w:val="000000" w:themeColor="text1"/>
        </w:rPr>
        <w:t>袋装水泥应集中堆放，并设置堆放棚。</w:t>
      </w:r>
    </w:p>
    <w:p>
      <w:pPr>
        <w:ind w:firstLine="480"/>
        <w:rPr>
          <w:color w:val="000000" w:themeColor="text1"/>
        </w:rPr>
      </w:pPr>
      <w:r>
        <w:rPr>
          <w:color w:val="000000" w:themeColor="text1"/>
        </w:rPr>
        <w:fldChar w:fldCharType="begin"/>
      </w:r>
      <w:r>
        <w:rPr>
          <w:color w:val="000000" w:themeColor="text1"/>
        </w:rPr>
        <w:instrText xml:space="preserve">= 3 \* GB3</w:instrText>
      </w:r>
      <w:r>
        <w:rPr>
          <w:color w:val="000000" w:themeColor="text1"/>
        </w:rPr>
        <w:fldChar w:fldCharType="separate"/>
      </w:r>
      <w:r>
        <w:rPr>
          <w:rFonts w:hint="eastAsia" w:ascii="宋体" w:hAnsi="宋体" w:cs="宋体"/>
          <w:color w:val="000000" w:themeColor="text1"/>
        </w:rPr>
        <w:t>③</w:t>
      </w:r>
      <w:r>
        <w:rPr>
          <w:color w:val="000000" w:themeColor="text1"/>
        </w:rPr>
        <w:fldChar w:fldCharType="end"/>
      </w:r>
      <w:r>
        <w:rPr>
          <w:rFonts w:hint="eastAsia"/>
          <w:color w:val="000000" w:themeColor="text1"/>
        </w:rPr>
        <w:t>施工期间地面泥尘量大，进出施工现场车辆将使地面起尘，因此运输车辆进出的主干道应定期洒水清扫，保持车辆出入口路面清洁、湿润，以减少汽车轮胎与路面接触而引起的地面扬尘污染，并尽量减缓行驶车速。</w:t>
      </w:r>
    </w:p>
    <w:p>
      <w:pPr>
        <w:ind w:firstLine="480"/>
        <w:rPr>
          <w:color w:val="000000" w:themeColor="text1"/>
        </w:rPr>
      </w:pPr>
      <w:r>
        <w:rPr>
          <w:color w:val="000000" w:themeColor="text1"/>
        </w:rPr>
        <w:fldChar w:fldCharType="begin"/>
      </w:r>
      <w:r>
        <w:rPr>
          <w:color w:val="000000" w:themeColor="text1"/>
        </w:rPr>
        <w:instrText xml:space="preserve">= 4 \* GB3</w:instrText>
      </w:r>
      <w:r>
        <w:rPr>
          <w:color w:val="000000" w:themeColor="text1"/>
        </w:rPr>
        <w:fldChar w:fldCharType="separate"/>
      </w:r>
      <w:r>
        <w:rPr>
          <w:rFonts w:hint="eastAsia" w:ascii="宋体" w:hAnsi="宋体" w:cs="宋体"/>
          <w:color w:val="000000" w:themeColor="text1"/>
        </w:rPr>
        <w:t>④</w:t>
      </w:r>
      <w:r>
        <w:rPr>
          <w:color w:val="000000" w:themeColor="text1"/>
        </w:rPr>
        <w:fldChar w:fldCharType="end"/>
      </w:r>
      <w:r>
        <w:rPr>
          <w:rFonts w:hint="eastAsia"/>
          <w:color w:val="000000" w:themeColor="text1"/>
        </w:rPr>
        <w:t>运输沙、石、水泥、垃圾的车辆装载高度应低于车箱上沿，不得超高超载。实行封闭运输，以免车辆颠簸撒漏。坚持文明装卸，避免袋装水泥散包；运输车辆装卸完货后应清洗车厢。施工车辆及运输车辆在驶出施工区之前，需作清泥除尘处理，不得将泥土尘土带出工地。</w:t>
      </w:r>
    </w:p>
    <w:p>
      <w:pPr>
        <w:ind w:firstLine="480"/>
        <w:rPr>
          <w:color w:val="000000" w:themeColor="text1"/>
        </w:rPr>
      </w:pPr>
      <w:r>
        <w:rPr>
          <w:color w:val="000000" w:themeColor="text1"/>
        </w:rPr>
        <w:fldChar w:fldCharType="begin"/>
      </w:r>
      <w:r>
        <w:rPr>
          <w:color w:val="000000" w:themeColor="text1"/>
        </w:rPr>
        <w:instrText xml:space="preserve">= 5 \* GB3</w:instrText>
      </w:r>
      <w:r>
        <w:rPr>
          <w:color w:val="000000" w:themeColor="text1"/>
        </w:rPr>
        <w:fldChar w:fldCharType="separate"/>
      </w:r>
      <w:r>
        <w:rPr>
          <w:rFonts w:hint="eastAsia" w:ascii="宋体" w:hAnsi="宋体" w:cs="宋体"/>
          <w:color w:val="000000" w:themeColor="text1"/>
        </w:rPr>
        <w:t>⑤</w:t>
      </w:r>
      <w:r>
        <w:rPr>
          <w:color w:val="000000" w:themeColor="text1"/>
        </w:rPr>
        <w:fldChar w:fldCharType="end"/>
      </w:r>
      <w:r>
        <w:rPr>
          <w:rFonts w:hint="eastAsia"/>
          <w:color w:val="000000" w:themeColor="text1"/>
        </w:rPr>
        <w:t>使用商品混凝土减少施工过程扬尘。</w:t>
      </w:r>
    </w:p>
    <w:p>
      <w:pPr>
        <w:ind w:firstLine="480"/>
        <w:rPr>
          <w:color w:val="000000" w:themeColor="text1"/>
        </w:rPr>
      </w:pPr>
      <w:r>
        <w:rPr>
          <w:color w:val="000000" w:themeColor="text1"/>
        </w:rPr>
        <w:fldChar w:fldCharType="begin"/>
      </w:r>
      <w:r>
        <w:rPr>
          <w:color w:val="000000" w:themeColor="text1"/>
        </w:rPr>
        <w:instrText xml:space="preserve">= 6 \* GB3</w:instrText>
      </w:r>
      <w:r>
        <w:rPr>
          <w:color w:val="000000" w:themeColor="text1"/>
        </w:rPr>
        <w:fldChar w:fldCharType="separate"/>
      </w:r>
      <w:r>
        <w:rPr>
          <w:rFonts w:hint="eastAsia" w:ascii="宋体" w:hAnsi="宋体" w:cs="宋体"/>
          <w:color w:val="000000" w:themeColor="text1"/>
        </w:rPr>
        <w:t>⑥</w:t>
      </w:r>
      <w:r>
        <w:rPr>
          <w:color w:val="000000" w:themeColor="text1"/>
        </w:rPr>
        <w:fldChar w:fldCharType="end"/>
      </w:r>
      <w:r>
        <w:rPr>
          <w:rFonts w:hint="eastAsia"/>
          <w:color w:val="000000" w:themeColor="text1"/>
        </w:rPr>
        <w:t>加强对机械、车辆的维修保养，禁止以柴油为燃料的施工机械超负荷工作，减少烟度和颗粒物排放。</w:t>
      </w:r>
    </w:p>
    <w:p>
      <w:pPr>
        <w:ind w:firstLine="480"/>
        <w:rPr>
          <w:color w:val="000000" w:themeColor="text1"/>
        </w:rPr>
      </w:pPr>
      <w:r>
        <w:rPr>
          <w:color w:val="000000" w:themeColor="text1"/>
        </w:rPr>
        <w:fldChar w:fldCharType="begin"/>
      </w:r>
      <w:r>
        <w:rPr>
          <w:color w:val="000000" w:themeColor="text1"/>
        </w:rPr>
        <w:instrText xml:space="preserve">= 7 \* GB3</w:instrText>
      </w:r>
      <w:r>
        <w:rPr>
          <w:color w:val="000000" w:themeColor="text1"/>
        </w:rPr>
        <w:fldChar w:fldCharType="separate"/>
      </w:r>
      <w:r>
        <w:rPr>
          <w:rFonts w:hint="eastAsia" w:ascii="宋体" w:hAnsi="宋体" w:cs="宋体"/>
          <w:color w:val="000000" w:themeColor="text1"/>
        </w:rPr>
        <w:t>⑦</w:t>
      </w:r>
      <w:r>
        <w:rPr>
          <w:color w:val="000000" w:themeColor="text1"/>
        </w:rPr>
        <w:fldChar w:fldCharType="end"/>
      </w:r>
      <w:r>
        <w:rPr>
          <w:rFonts w:hint="eastAsia"/>
          <w:color w:val="000000" w:themeColor="text1"/>
        </w:rPr>
        <w:t>特殊情况下配合相关部门搞好施工期周围道路的交通组织，避免因施工而造成交通堵塞，减少因此产生的废气怠速排放。</w:t>
      </w:r>
    </w:p>
    <w:p>
      <w:pPr>
        <w:ind w:firstLine="480"/>
        <w:rPr>
          <w:color w:val="000000" w:themeColor="text1"/>
        </w:rPr>
      </w:pPr>
      <w:r>
        <w:rPr>
          <w:color w:val="000000" w:themeColor="text1"/>
        </w:rPr>
        <w:fldChar w:fldCharType="begin"/>
      </w:r>
      <w:r>
        <w:rPr>
          <w:color w:val="000000" w:themeColor="text1"/>
        </w:rPr>
        <w:instrText xml:space="preserve">= 8 \* GB3</w:instrText>
      </w:r>
      <w:r>
        <w:rPr>
          <w:color w:val="000000" w:themeColor="text1"/>
        </w:rPr>
        <w:fldChar w:fldCharType="separate"/>
      </w:r>
      <w:r>
        <w:rPr>
          <w:rFonts w:hint="eastAsia" w:ascii="宋体" w:hAnsi="宋体" w:cs="宋体"/>
          <w:color w:val="000000" w:themeColor="text1"/>
        </w:rPr>
        <w:t>⑧</w:t>
      </w:r>
      <w:r>
        <w:rPr>
          <w:color w:val="000000" w:themeColor="text1"/>
        </w:rPr>
        <w:fldChar w:fldCharType="end"/>
      </w:r>
      <w:r>
        <w:rPr>
          <w:rFonts w:hint="eastAsia"/>
          <w:color w:val="000000" w:themeColor="text1"/>
        </w:rPr>
        <w:t>加强对施工人员的环保教育，提高全体施工人员的环保意识，坚持文明施工、科学施工。</w:t>
      </w:r>
    </w:p>
    <w:p>
      <w:pPr>
        <w:ind w:firstLine="480"/>
        <w:rPr>
          <w:color w:val="000000" w:themeColor="text1"/>
        </w:rPr>
      </w:pPr>
      <w:r>
        <w:rPr>
          <w:color w:val="000000" w:themeColor="text1"/>
        </w:rPr>
        <w:fldChar w:fldCharType="begin"/>
      </w:r>
      <w:r>
        <w:rPr>
          <w:color w:val="000000" w:themeColor="text1"/>
        </w:rPr>
        <w:instrText xml:space="preserve">= 9 \* GB3</w:instrText>
      </w:r>
      <w:r>
        <w:rPr>
          <w:color w:val="000000" w:themeColor="text1"/>
        </w:rPr>
        <w:fldChar w:fldCharType="separate"/>
      </w:r>
      <w:r>
        <w:rPr>
          <w:rFonts w:hint="eastAsia" w:ascii="宋体" w:hAnsi="宋体" w:cs="宋体"/>
          <w:color w:val="000000" w:themeColor="text1"/>
        </w:rPr>
        <w:t>⑨</w:t>
      </w:r>
      <w:r>
        <w:rPr>
          <w:color w:val="000000" w:themeColor="text1"/>
        </w:rPr>
        <w:fldChar w:fldCharType="end"/>
      </w:r>
      <w:r>
        <w:rPr>
          <w:rFonts w:hint="eastAsia"/>
          <w:color w:val="000000" w:themeColor="text1"/>
        </w:rPr>
        <w:t>由于项目环境保护目标小龙白位于项目区东南面50</w:t>
      </w:r>
      <w:r>
        <w:rPr>
          <w:color w:val="000000" w:themeColor="text1"/>
        </w:rPr>
        <w:t>0m</w:t>
      </w:r>
      <w:r>
        <w:rPr>
          <w:rFonts w:hint="eastAsia"/>
          <w:color w:val="000000" w:themeColor="text1"/>
        </w:rPr>
        <w:t>处，因此应将易产生扬尘的设备、工序应远离东南侧，尽量布设在厂区北面。</w:t>
      </w:r>
    </w:p>
    <w:p>
      <w:pPr>
        <w:ind w:firstLine="480"/>
        <w:rPr>
          <w:color w:val="000000" w:themeColor="text1"/>
        </w:rPr>
      </w:pPr>
      <w:r>
        <w:rPr>
          <w:rFonts w:hint="eastAsia"/>
          <w:color w:val="000000" w:themeColor="text1"/>
        </w:rPr>
        <w:t>环评要求施工单位在日常施工过程中严格采取上述污染防治措施，减少废气排放，降低对环境空气的影响。</w:t>
      </w:r>
    </w:p>
    <w:p>
      <w:pPr>
        <w:ind w:firstLine="480"/>
        <w:rPr>
          <w:color w:val="000000" w:themeColor="text1"/>
        </w:rPr>
      </w:pPr>
      <w:r>
        <w:rPr>
          <w:rFonts w:hint="eastAsia"/>
          <w:color w:val="000000" w:themeColor="text1"/>
        </w:rPr>
        <w:t>2、施工期装修废气环保防治措施</w:t>
      </w:r>
    </w:p>
    <w:p>
      <w:pPr>
        <w:ind w:firstLine="480"/>
        <w:rPr>
          <w:color w:val="000000" w:themeColor="text1"/>
        </w:rPr>
      </w:pPr>
      <w:r>
        <w:rPr>
          <w:rFonts w:hint="eastAsia"/>
          <w:color w:val="000000" w:themeColor="text1"/>
        </w:rPr>
        <w:t>建设单位在对建筑进行装修时，应注意以下几点：</w:t>
      </w:r>
    </w:p>
    <w:p>
      <w:pPr>
        <w:ind w:firstLine="480"/>
        <w:rPr>
          <w:color w:val="000000" w:themeColor="text1"/>
        </w:rPr>
      </w:pPr>
      <w:r>
        <w:rPr>
          <w:rFonts w:hint="eastAsia" w:ascii="宋体" w:hAnsi="宋体" w:cs="宋体"/>
          <w:color w:val="000000" w:themeColor="text1"/>
        </w:rPr>
        <w:t>①</w:t>
      </w:r>
      <w:r>
        <w:rPr>
          <w:rFonts w:hint="eastAsia"/>
          <w:color w:val="000000" w:themeColor="text1"/>
        </w:rPr>
        <w:t>装修中尽量采用符合国家标准的室内装饰和装修材料，这是降低造成室内污染的根本。</w:t>
      </w:r>
    </w:p>
    <w:p>
      <w:pPr>
        <w:ind w:firstLine="480"/>
        <w:rPr>
          <w:color w:val="000000" w:themeColor="text1"/>
        </w:rPr>
      </w:pPr>
      <w:r>
        <w:rPr>
          <w:rFonts w:hint="eastAsia" w:ascii="宋体" w:hAnsi="宋体" w:cs="宋体"/>
          <w:color w:val="000000" w:themeColor="text1"/>
        </w:rPr>
        <w:t>②</w:t>
      </w:r>
      <w:r>
        <w:rPr>
          <w:rFonts w:hint="eastAsia"/>
          <w:color w:val="000000" w:themeColor="text1"/>
        </w:rPr>
        <w:t>装修后不宜立即投入使用，至少要通风换气</w:t>
      </w:r>
      <w:r>
        <w:rPr>
          <w:color w:val="000000" w:themeColor="text1"/>
        </w:rPr>
        <w:t>60d</w:t>
      </w:r>
      <w:r>
        <w:rPr>
          <w:rFonts w:hint="eastAsia"/>
          <w:color w:val="000000" w:themeColor="text1"/>
        </w:rPr>
        <w:t>。</w:t>
      </w:r>
    </w:p>
    <w:p>
      <w:pPr>
        <w:ind w:firstLine="480"/>
        <w:rPr>
          <w:color w:val="000000" w:themeColor="text1"/>
        </w:rPr>
      </w:pPr>
      <w:r>
        <w:rPr>
          <w:rFonts w:hint="eastAsia" w:ascii="宋体" w:hAnsi="宋体" w:cs="宋体"/>
          <w:color w:val="000000" w:themeColor="text1"/>
        </w:rPr>
        <w:t>③</w:t>
      </w:r>
      <w:r>
        <w:rPr>
          <w:rFonts w:hint="eastAsia"/>
          <w:color w:val="000000" w:themeColor="text1"/>
        </w:rPr>
        <w:t>保持室内的空气流通，选用活性炭吸附去除有机废气，可有效清除室内的有害气体。可以在室内有选择的进行养花植草，既可美化室内环境，优化购物环境，又可降低室内有害气体的浓度。</w:t>
      </w:r>
    </w:p>
    <w:p>
      <w:pPr>
        <w:pStyle w:val="38"/>
        <w:ind w:firstLine="281"/>
        <w:rPr>
          <w:color w:val="000000" w:themeColor="text1"/>
        </w:rPr>
      </w:pPr>
      <w:bookmarkStart w:id="282" w:name="_Toc47375893"/>
      <w:r>
        <w:rPr>
          <w:rFonts w:hint="eastAsia"/>
          <w:color w:val="000000" w:themeColor="text1"/>
        </w:rPr>
        <w:t>7.1.2施工期废水污染防治措施</w:t>
      </w:r>
      <w:bookmarkEnd w:id="282"/>
    </w:p>
    <w:p>
      <w:pPr>
        <w:ind w:firstLine="480"/>
        <w:rPr>
          <w:color w:val="000000" w:themeColor="text1"/>
          <w:kern w:val="0"/>
        </w:rPr>
      </w:pPr>
      <w:r>
        <w:rPr>
          <w:rFonts w:hint="eastAsia"/>
          <w:color w:val="000000" w:themeColor="text1"/>
          <w:kern w:val="0"/>
        </w:rPr>
        <w:t>（</w:t>
      </w:r>
      <w:r>
        <w:rPr>
          <w:color w:val="000000" w:themeColor="text1"/>
          <w:kern w:val="0"/>
        </w:rPr>
        <w:t>1</w:t>
      </w:r>
      <w:r>
        <w:rPr>
          <w:rFonts w:hint="eastAsia"/>
          <w:color w:val="000000" w:themeColor="text1"/>
          <w:kern w:val="0"/>
        </w:rPr>
        <w:t>）施工废水</w:t>
      </w:r>
    </w:p>
    <w:p>
      <w:pPr>
        <w:ind w:firstLine="480"/>
        <w:rPr>
          <w:color w:val="000000" w:themeColor="text1"/>
          <w:kern w:val="0"/>
        </w:rPr>
      </w:pPr>
      <w:r>
        <w:rPr>
          <w:rFonts w:hint="eastAsia"/>
          <w:color w:val="000000" w:themeColor="text1"/>
          <w:kern w:val="0"/>
        </w:rPr>
        <w:t>在施工期间产生的废水使用临时沉淀池收集后沉清处理后再利用，机械冲洗需在有导排水沟的地方进行冲洗，以便收集机械冲洗水用于非雨天的道路洒水降尘。</w:t>
      </w:r>
    </w:p>
    <w:p>
      <w:pPr>
        <w:ind w:firstLine="480"/>
        <w:rPr>
          <w:color w:val="000000" w:themeColor="text1"/>
        </w:rPr>
      </w:pPr>
      <w:r>
        <w:rPr>
          <w:rFonts w:hint="eastAsia"/>
          <w:color w:val="000000" w:themeColor="text1"/>
        </w:rPr>
        <w:t>（</w:t>
      </w:r>
      <w:r>
        <w:rPr>
          <w:color w:val="000000" w:themeColor="text1"/>
        </w:rPr>
        <w:t>2</w:t>
      </w:r>
      <w:r>
        <w:rPr>
          <w:rFonts w:hint="eastAsia"/>
          <w:color w:val="000000" w:themeColor="text1"/>
        </w:rPr>
        <w:t>）生活污水</w:t>
      </w:r>
    </w:p>
    <w:p>
      <w:pPr>
        <w:ind w:firstLine="480"/>
        <w:rPr>
          <w:color w:val="000000" w:themeColor="text1"/>
        </w:rPr>
      </w:pPr>
      <w:r>
        <w:rPr>
          <w:rFonts w:hint="eastAsia"/>
          <w:color w:val="000000" w:themeColor="text1"/>
        </w:rPr>
        <w:t>粪便污水</w:t>
      </w:r>
      <w:r>
        <w:rPr>
          <w:rFonts w:hint="eastAsia"/>
          <w:color w:val="000000" w:themeColor="text1"/>
          <w:kern w:val="0"/>
        </w:rPr>
        <w:t>经临时旱厕收集后委托周边农户清掏用作农肥，其他较清洁的生活污水经统一收集沉清处理后用于施工场地洒水降尘不外排。可有效防治项目施工对水环境的影响</w:t>
      </w:r>
      <w:r>
        <w:rPr>
          <w:rFonts w:hint="eastAsia"/>
          <w:color w:val="000000" w:themeColor="text1"/>
        </w:rPr>
        <w:t>。</w:t>
      </w:r>
    </w:p>
    <w:p>
      <w:pPr>
        <w:pStyle w:val="38"/>
        <w:ind w:firstLine="281"/>
        <w:rPr>
          <w:color w:val="000000" w:themeColor="text1"/>
        </w:rPr>
      </w:pPr>
      <w:bookmarkStart w:id="283" w:name="_Toc47375894"/>
      <w:r>
        <w:rPr>
          <w:rFonts w:hint="eastAsia"/>
          <w:color w:val="000000" w:themeColor="text1"/>
        </w:rPr>
        <w:t>7.1.3施工期噪声污染防治措施</w:t>
      </w:r>
      <w:bookmarkEnd w:id="283"/>
    </w:p>
    <w:p>
      <w:pPr>
        <w:widowControl/>
        <w:ind w:firstLine="480"/>
        <w:rPr>
          <w:bCs/>
          <w:color w:val="000000" w:themeColor="text1"/>
        </w:rPr>
      </w:pPr>
      <w:r>
        <w:rPr>
          <w:rFonts w:hint="eastAsia"/>
          <w:bCs/>
          <w:color w:val="000000" w:themeColor="text1"/>
        </w:rPr>
        <w:t>为了避免项目施工噪声影响周边范围内的其他敏感点，环评建议施工期间应采取以下措施：</w:t>
      </w:r>
    </w:p>
    <w:p>
      <w:pPr>
        <w:widowControl/>
        <w:ind w:firstLine="480"/>
        <w:rPr>
          <w:bCs/>
          <w:color w:val="000000" w:themeColor="text1"/>
        </w:rPr>
      </w:pPr>
      <w:r>
        <w:rPr>
          <w:rFonts w:hint="eastAsia" w:ascii="宋体" w:hAnsi="宋体" w:cs="宋体"/>
          <w:bCs/>
          <w:color w:val="000000" w:themeColor="text1"/>
        </w:rPr>
        <w:t>①</w:t>
      </w:r>
      <w:r>
        <w:rPr>
          <w:rFonts w:hint="eastAsia"/>
          <w:bCs/>
          <w:color w:val="000000" w:themeColor="text1"/>
        </w:rPr>
        <w:t>在施工阶段，须合理安排施工时间，制定施工计划，施工作业应避开人群休息时间，即：昼间</w:t>
      </w:r>
      <w:r>
        <w:rPr>
          <w:bCs/>
          <w:color w:val="000000" w:themeColor="text1"/>
        </w:rPr>
        <w:t>12:00-14:00</w:t>
      </w:r>
      <w:r>
        <w:rPr>
          <w:rFonts w:hint="eastAsia"/>
          <w:bCs/>
          <w:color w:val="000000" w:themeColor="text1"/>
        </w:rPr>
        <w:t>，夜间</w:t>
      </w:r>
      <w:r>
        <w:rPr>
          <w:bCs/>
          <w:color w:val="000000" w:themeColor="text1"/>
        </w:rPr>
        <w:t>22:00-</w:t>
      </w:r>
      <w:r>
        <w:rPr>
          <w:rFonts w:hint="eastAsia"/>
          <w:bCs/>
          <w:color w:val="000000" w:themeColor="text1"/>
        </w:rPr>
        <w:t>次日</w:t>
      </w:r>
      <w:r>
        <w:rPr>
          <w:bCs/>
          <w:color w:val="000000" w:themeColor="text1"/>
        </w:rPr>
        <w:t>6:00</w:t>
      </w:r>
      <w:r>
        <w:rPr>
          <w:rFonts w:hint="eastAsia"/>
          <w:bCs/>
          <w:color w:val="000000" w:themeColor="text1"/>
        </w:rPr>
        <w:t>禁止施工。</w:t>
      </w:r>
    </w:p>
    <w:p>
      <w:pPr>
        <w:widowControl/>
        <w:ind w:firstLine="480"/>
        <w:rPr>
          <w:bCs/>
          <w:color w:val="000000" w:themeColor="text1"/>
        </w:rPr>
      </w:pPr>
      <w:r>
        <w:rPr>
          <w:rFonts w:hint="eastAsia" w:ascii="宋体" w:hAnsi="宋体" w:cs="宋体"/>
          <w:bCs/>
          <w:color w:val="000000" w:themeColor="text1"/>
        </w:rPr>
        <w:t>②</w:t>
      </w:r>
      <w:r>
        <w:rPr>
          <w:rFonts w:hint="eastAsia"/>
          <w:bCs/>
          <w:color w:val="000000" w:themeColor="text1"/>
        </w:rPr>
        <w:t>合理布局施工场地，施工时尽量将高噪声设备布置在施工工地中部的位置。</w:t>
      </w:r>
    </w:p>
    <w:p>
      <w:pPr>
        <w:widowControl/>
        <w:ind w:firstLine="480"/>
        <w:rPr>
          <w:bCs/>
          <w:color w:val="000000" w:themeColor="text1"/>
        </w:rPr>
      </w:pPr>
      <w:r>
        <w:rPr>
          <w:rFonts w:hint="eastAsia" w:ascii="宋体" w:hAnsi="宋体" w:cs="宋体"/>
          <w:bCs/>
          <w:color w:val="000000" w:themeColor="text1"/>
        </w:rPr>
        <w:t>③</w:t>
      </w:r>
      <w:r>
        <w:rPr>
          <w:rFonts w:hint="eastAsia"/>
          <w:bCs/>
          <w:color w:val="000000" w:themeColor="text1"/>
        </w:rPr>
        <w:t>降低机械设备噪声声源级，尽量选用低噪声设备，另外，运输车辆进入现场应减速、禁鸣。</w:t>
      </w:r>
    </w:p>
    <w:p>
      <w:pPr>
        <w:widowControl/>
        <w:ind w:firstLine="480"/>
        <w:rPr>
          <w:bCs/>
          <w:color w:val="000000" w:themeColor="text1"/>
        </w:rPr>
      </w:pPr>
      <w:r>
        <w:rPr>
          <w:rFonts w:hint="eastAsia"/>
          <w:bCs/>
          <w:color w:val="000000" w:themeColor="text1"/>
        </w:rPr>
        <w:t>综上，在采取以上措施处理后，项目施工期噪声对周围环境的</w:t>
      </w:r>
      <w:r>
        <w:rPr>
          <w:rFonts w:hint="eastAsia"/>
          <w:color w:val="000000" w:themeColor="text1"/>
        </w:rPr>
        <w:t>影响可以接受</w:t>
      </w:r>
      <w:r>
        <w:rPr>
          <w:rFonts w:hint="eastAsia"/>
          <w:bCs/>
          <w:color w:val="000000" w:themeColor="text1"/>
        </w:rPr>
        <w:t>。</w:t>
      </w:r>
    </w:p>
    <w:p>
      <w:pPr>
        <w:pStyle w:val="38"/>
        <w:ind w:firstLine="281"/>
        <w:rPr>
          <w:color w:val="000000" w:themeColor="text1"/>
        </w:rPr>
      </w:pPr>
      <w:bookmarkStart w:id="284" w:name="_Toc47375895"/>
      <w:r>
        <w:rPr>
          <w:rFonts w:hint="eastAsia"/>
          <w:color w:val="000000" w:themeColor="text1"/>
        </w:rPr>
        <w:t>7.1.4施工期固废防治措施</w:t>
      </w:r>
      <w:bookmarkEnd w:id="284"/>
    </w:p>
    <w:p>
      <w:pPr>
        <w:autoSpaceDE w:val="0"/>
        <w:autoSpaceDN w:val="0"/>
        <w:adjustRightInd w:val="0"/>
        <w:ind w:firstLine="480"/>
        <w:rPr>
          <w:color w:val="000000" w:themeColor="text1"/>
          <w:lang w:val="zh-CN"/>
        </w:rPr>
      </w:pPr>
      <w:r>
        <w:rPr>
          <w:rFonts w:hint="eastAsia"/>
          <w:color w:val="000000" w:themeColor="text1"/>
          <w:lang w:val="zh-CN"/>
        </w:rPr>
        <w:t>施工期项目固体废物主要是土石方、建筑垃圾（损坏或废弃的各种建筑装修材料），另外还有少量施工人员的生活垃圾。</w:t>
      </w:r>
    </w:p>
    <w:p>
      <w:pPr>
        <w:ind w:firstLine="480"/>
        <w:rPr>
          <w:color w:val="000000" w:themeColor="text1"/>
          <w:lang w:val="zh-CN"/>
        </w:rPr>
      </w:pPr>
      <w:r>
        <w:rPr>
          <w:rFonts w:hint="eastAsia"/>
          <w:color w:val="000000" w:themeColor="text1"/>
          <w:lang w:val="zh-CN"/>
        </w:rPr>
        <w:t>（1）土石方</w:t>
      </w:r>
    </w:p>
    <w:p>
      <w:pPr>
        <w:ind w:firstLine="480"/>
        <w:rPr>
          <w:color w:val="000000" w:themeColor="text1"/>
        </w:rPr>
      </w:pPr>
      <w:r>
        <w:rPr>
          <w:rFonts w:hint="eastAsia"/>
          <w:color w:val="000000" w:themeColor="text1"/>
          <w:lang w:val="zh-CN"/>
        </w:rPr>
        <w:t>本项目</w:t>
      </w:r>
      <w:r>
        <w:rPr>
          <w:rFonts w:hint="eastAsia"/>
          <w:color w:val="000000" w:themeColor="text1"/>
        </w:rPr>
        <w:t>土方在施工期进行平整场地及回填使用，剥离表土在施工场区设置表土堆场，剥离表土临时堆存于表土堆场，作为后期绿化覆土。</w:t>
      </w:r>
    </w:p>
    <w:p>
      <w:pPr>
        <w:autoSpaceDE w:val="0"/>
        <w:autoSpaceDN w:val="0"/>
        <w:adjustRightInd w:val="0"/>
        <w:ind w:firstLine="480"/>
        <w:rPr>
          <w:color w:val="000000" w:themeColor="text1"/>
          <w:lang w:val="zh-CN"/>
        </w:rPr>
      </w:pPr>
      <w:r>
        <w:rPr>
          <w:rFonts w:hint="eastAsia"/>
          <w:color w:val="000000" w:themeColor="text1"/>
          <w:lang w:val="zh-CN"/>
        </w:rPr>
        <w:t>（</w:t>
      </w:r>
      <w:r>
        <w:rPr>
          <w:color w:val="000000" w:themeColor="text1"/>
          <w:lang w:val="zh-CN"/>
        </w:rPr>
        <w:t>2</w:t>
      </w:r>
      <w:r>
        <w:rPr>
          <w:rFonts w:hint="eastAsia"/>
          <w:color w:val="000000" w:themeColor="text1"/>
          <w:lang w:val="zh-CN"/>
        </w:rPr>
        <w:t>）建筑垃圾</w:t>
      </w:r>
    </w:p>
    <w:p>
      <w:pPr>
        <w:ind w:firstLine="480"/>
        <w:rPr>
          <w:color w:val="000000" w:themeColor="text1"/>
        </w:rPr>
      </w:pPr>
      <w:r>
        <w:rPr>
          <w:rFonts w:hint="eastAsia"/>
          <w:color w:val="000000" w:themeColor="text1"/>
        </w:rPr>
        <w:t>施工期的建筑垃圾实行加强收集和管理，将建筑垃圾和能回收的废材料、废包装袋分别分类收集堆放，根据具体性质综合利用或者出售，</w:t>
      </w:r>
      <w:r>
        <w:rPr>
          <w:rFonts w:hint="eastAsia"/>
          <w:color w:val="000000" w:themeColor="text1"/>
          <w:kern w:val="0"/>
        </w:rPr>
        <w:t>不可回用部分按照要求由施工方合理清运处置</w:t>
      </w:r>
      <w:r>
        <w:rPr>
          <w:rFonts w:hint="eastAsia"/>
          <w:color w:val="000000" w:themeColor="text1"/>
        </w:rPr>
        <w:t>。做到无建筑垃圾外排，</w:t>
      </w:r>
      <w:r>
        <w:rPr>
          <w:rFonts w:hint="eastAsia"/>
          <w:color w:val="000000" w:themeColor="text1"/>
          <w:lang w:val="zh-CN"/>
        </w:rPr>
        <w:t>对周围环境的</w:t>
      </w:r>
      <w:r>
        <w:rPr>
          <w:rFonts w:hint="eastAsia"/>
          <w:color w:val="000000" w:themeColor="text1"/>
        </w:rPr>
        <w:t>影响可以接受。</w:t>
      </w:r>
    </w:p>
    <w:p>
      <w:pPr>
        <w:autoSpaceDE w:val="0"/>
        <w:autoSpaceDN w:val="0"/>
        <w:adjustRightInd w:val="0"/>
        <w:ind w:firstLine="480"/>
        <w:rPr>
          <w:color w:val="000000" w:themeColor="text1"/>
          <w:lang w:val="zh-CN"/>
        </w:rPr>
      </w:pPr>
      <w:r>
        <w:rPr>
          <w:rFonts w:hint="eastAsia"/>
          <w:color w:val="000000" w:themeColor="text1"/>
          <w:lang w:val="zh-CN"/>
        </w:rPr>
        <w:t>（</w:t>
      </w:r>
      <w:r>
        <w:rPr>
          <w:color w:val="000000" w:themeColor="text1"/>
          <w:lang w:val="zh-CN"/>
        </w:rPr>
        <w:t>3</w:t>
      </w:r>
      <w:r>
        <w:rPr>
          <w:rFonts w:hint="eastAsia"/>
          <w:color w:val="000000" w:themeColor="text1"/>
          <w:lang w:val="zh-CN"/>
        </w:rPr>
        <w:t>）生活垃圾</w:t>
      </w:r>
    </w:p>
    <w:p>
      <w:pPr>
        <w:autoSpaceDE w:val="0"/>
        <w:autoSpaceDN w:val="0"/>
        <w:adjustRightInd w:val="0"/>
        <w:ind w:firstLine="480"/>
        <w:rPr>
          <w:color w:val="000000" w:themeColor="text1"/>
          <w:lang w:val="zh-CN"/>
        </w:rPr>
      </w:pPr>
      <w:r>
        <w:rPr>
          <w:rFonts w:hint="eastAsia"/>
          <w:color w:val="000000" w:themeColor="text1"/>
          <w:lang w:val="zh-CN"/>
        </w:rPr>
        <w:t>施工期产生的生活垃圾经统一收集后委托环卫部门统一清运处置，对周边环境的</w:t>
      </w:r>
      <w:r>
        <w:rPr>
          <w:rFonts w:hint="eastAsia"/>
          <w:color w:val="000000" w:themeColor="text1"/>
        </w:rPr>
        <w:t>影响可以接受</w:t>
      </w:r>
      <w:r>
        <w:rPr>
          <w:rFonts w:hint="eastAsia"/>
          <w:color w:val="000000" w:themeColor="text1"/>
          <w:lang w:val="zh-CN"/>
        </w:rPr>
        <w:t>。</w:t>
      </w:r>
    </w:p>
    <w:p>
      <w:pPr>
        <w:pStyle w:val="38"/>
        <w:ind w:firstLine="281"/>
        <w:rPr>
          <w:color w:val="000000" w:themeColor="text1"/>
        </w:rPr>
      </w:pPr>
      <w:bookmarkStart w:id="285" w:name="_Toc47375896"/>
      <w:r>
        <w:rPr>
          <w:rFonts w:hint="eastAsia"/>
          <w:color w:val="000000" w:themeColor="text1"/>
        </w:rPr>
        <w:t>7.1.5施工期生态环境防治措施</w:t>
      </w:r>
      <w:bookmarkEnd w:id="285"/>
    </w:p>
    <w:p>
      <w:pPr>
        <w:ind w:firstLine="480"/>
        <w:rPr>
          <w:rFonts w:ascii="Calibri" w:hAnsi="Calibri"/>
          <w:color w:val="000000" w:themeColor="text1"/>
        </w:rPr>
      </w:pPr>
      <w:r>
        <w:rPr>
          <w:rFonts w:hint="eastAsia" w:ascii="Calibri" w:hAnsi="Calibri"/>
          <w:color w:val="000000" w:themeColor="text1"/>
        </w:rPr>
        <w:t>施工期应做好水土保护工作，禁止对项目区域外的植被进行砍伐，严禁施工期废水、废渣等污染物随意外排；同时尽量做到边施工边恢复，加快生态恢复速度。建议施工单位采取以下措施进一步降低对生态环境的影响：</w:t>
      </w:r>
    </w:p>
    <w:p>
      <w:pPr>
        <w:ind w:firstLine="480"/>
        <w:rPr>
          <w:rFonts w:ascii="Calibri" w:hAnsi="Calibri"/>
          <w:color w:val="000000" w:themeColor="text1"/>
          <w:kern w:val="0"/>
        </w:rPr>
      </w:pPr>
      <w:r>
        <w:rPr>
          <w:rFonts w:hint="eastAsia" w:ascii="Calibri" w:hAnsi="Calibri"/>
          <w:color w:val="000000" w:themeColor="text1"/>
          <w:kern w:val="0"/>
        </w:rPr>
        <w:t>（</w:t>
      </w:r>
      <w:r>
        <w:rPr>
          <w:rFonts w:ascii="Calibri" w:hAnsi="Calibri"/>
          <w:color w:val="000000" w:themeColor="text1"/>
          <w:kern w:val="0"/>
        </w:rPr>
        <w:t>1</w:t>
      </w:r>
      <w:r>
        <w:rPr>
          <w:rFonts w:hint="eastAsia" w:ascii="Calibri" w:hAnsi="Calibri"/>
          <w:color w:val="000000" w:themeColor="text1"/>
          <w:kern w:val="0"/>
        </w:rPr>
        <w:t>）及时作好现场场地平整，即使在雨季，也能控制现场不积水，有积水的地方及时沙土回填。</w:t>
      </w:r>
    </w:p>
    <w:p>
      <w:pPr>
        <w:ind w:firstLine="480"/>
        <w:rPr>
          <w:rFonts w:ascii="Calibri" w:hAnsi="Calibri"/>
          <w:color w:val="000000" w:themeColor="text1"/>
          <w:kern w:val="0"/>
        </w:rPr>
      </w:pPr>
      <w:r>
        <w:rPr>
          <w:rFonts w:hint="eastAsia" w:ascii="Calibri" w:hAnsi="Calibri"/>
          <w:color w:val="000000" w:themeColor="text1"/>
          <w:kern w:val="0"/>
        </w:rPr>
        <w:t>（</w:t>
      </w:r>
      <w:r>
        <w:rPr>
          <w:rFonts w:ascii="Calibri" w:hAnsi="Calibri"/>
          <w:color w:val="000000" w:themeColor="text1"/>
          <w:kern w:val="0"/>
        </w:rPr>
        <w:t>2</w:t>
      </w:r>
      <w:r>
        <w:rPr>
          <w:rFonts w:hint="eastAsia" w:ascii="Calibri" w:hAnsi="Calibri"/>
          <w:color w:val="000000" w:themeColor="text1"/>
          <w:kern w:val="0"/>
        </w:rPr>
        <w:t>）现场作好排水措施，保证现场的雨水顺利排放。雨季雨水可疏导至施工场地沉淀池内储存，可用于施工场地。</w:t>
      </w:r>
    </w:p>
    <w:p>
      <w:pPr>
        <w:ind w:firstLine="480"/>
        <w:rPr>
          <w:rFonts w:ascii="Calibri" w:hAnsi="Calibri"/>
          <w:color w:val="000000" w:themeColor="text1"/>
          <w:kern w:val="0"/>
        </w:rPr>
      </w:pPr>
      <w:r>
        <w:rPr>
          <w:rFonts w:hint="eastAsia" w:ascii="Calibri" w:hAnsi="Calibri"/>
          <w:color w:val="000000" w:themeColor="text1"/>
          <w:kern w:val="0"/>
        </w:rPr>
        <w:t>（</w:t>
      </w:r>
      <w:r>
        <w:rPr>
          <w:rFonts w:ascii="Calibri" w:hAnsi="Calibri"/>
          <w:color w:val="000000" w:themeColor="text1"/>
          <w:kern w:val="0"/>
        </w:rPr>
        <w:t>3</w:t>
      </w:r>
      <w:r>
        <w:rPr>
          <w:rFonts w:hint="eastAsia" w:ascii="Calibri" w:hAnsi="Calibri"/>
          <w:color w:val="000000" w:themeColor="text1"/>
          <w:kern w:val="0"/>
        </w:rPr>
        <w:t>）作好路面硬化措施，防止车辆碾压造成土质疏松。天气干燥时，派专人洒水，防止扬尘。</w:t>
      </w:r>
    </w:p>
    <w:p>
      <w:pPr>
        <w:ind w:firstLine="480"/>
        <w:rPr>
          <w:rFonts w:ascii="Calibri" w:hAnsi="Calibri"/>
          <w:color w:val="000000" w:themeColor="text1"/>
          <w:kern w:val="0"/>
        </w:rPr>
      </w:pPr>
      <w:r>
        <w:rPr>
          <w:rFonts w:hint="eastAsia" w:ascii="Calibri" w:hAnsi="Calibri"/>
          <w:color w:val="000000" w:themeColor="text1"/>
          <w:kern w:val="0"/>
        </w:rPr>
        <w:t>（</w:t>
      </w:r>
      <w:r>
        <w:rPr>
          <w:rFonts w:ascii="Calibri" w:hAnsi="Calibri"/>
          <w:color w:val="000000" w:themeColor="text1"/>
          <w:kern w:val="0"/>
        </w:rPr>
        <w:t>4</w:t>
      </w:r>
      <w:r>
        <w:rPr>
          <w:rFonts w:hint="eastAsia" w:ascii="Calibri" w:hAnsi="Calibri"/>
          <w:color w:val="000000" w:themeColor="text1"/>
          <w:kern w:val="0"/>
        </w:rPr>
        <w:t>）钢筋加工棚、木工棚、露天仓库或封闭仓库地面作好地面硬化措施，并做到每天清扫，经常撒水降尘。</w:t>
      </w:r>
    </w:p>
    <w:p>
      <w:pPr>
        <w:ind w:firstLine="480"/>
        <w:rPr>
          <w:rFonts w:ascii="Calibri" w:hAnsi="Calibri"/>
          <w:color w:val="000000" w:themeColor="text1"/>
          <w:kern w:val="0"/>
        </w:rPr>
      </w:pPr>
      <w:r>
        <w:rPr>
          <w:rFonts w:hint="eastAsia" w:ascii="Calibri" w:hAnsi="Calibri"/>
          <w:color w:val="000000" w:themeColor="text1"/>
          <w:kern w:val="0"/>
        </w:rPr>
        <w:t>（</w:t>
      </w:r>
      <w:r>
        <w:rPr>
          <w:rFonts w:ascii="Calibri" w:hAnsi="Calibri"/>
          <w:color w:val="000000" w:themeColor="text1"/>
          <w:kern w:val="0"/>
        </w:rPr>
        <w:t>5</w:t>
      </w:r>
      <w:r>
        <w:rPr>
          <w:rFonts w:hint="eastAsia" w:ascii="Calibri" w:hAnsi="Calibri"/>
          <w:color w:val="000000" w:themeColor="text1"/>
          <w:kern w:val="0"/>
        </w:rPr>
        <w:t>）施工现场主要施工道路每天设专人用洒水车随时进行洒水压尘。</w:t>
      </w:r>
    </w:p>
    <w:p>
      <w:pPr>
        <w:ind w:firstLine="480"/>
        <w:rPr>
          <w:rFonts w:ascii="Calibri" w:hAnsi="Calibri"/>
          <w:color w:val="000000" w:themeColor="text1"/>
          <w:kern w:val="0"/>
        </w:rPr>
      </w:pPr>
      <w:r>
        <w:rPr>
          <w:rFonts w:hint="eastAsia" w:ascii="Calibri" w:hAnsi="Calibri"/>
          <w:color w:val="000000" w:themeColor="text1"/>
          <w:kern w:val="0"/>
        </w:rPr>
        <w:t>（</w:t>
      </w:r>
      <w:r>
        <w:rPr>
          <w:rFonts w:ascii="Calibri" w:hAnsi="Calibri"/>
          <w:color w:val="000000" w:themeColor="text1"/>
          <w:kern w:val="0"/>
        </w:rPr>
        <w:t>6</w:t>
      </w:r>
      <w:r>
        <w:rPr>
          <w:rFonts w:hint="eastAsia" w:ascii="Calibri" w:hAnsi="Calibri"/>
          <w:color w:val="000000" w:themeColor="text1"/>
          <w:kern w:val="0"/>
        </w:rPr>
        <w:t>）施工现场进行分区管理，责任到人。</w:t>
      </w:r>
    </w:p>
    <w:p>
      <w:pPr>
        <w:ind w:firstLine="480"/>
        <w:rPr>
          <w:rFonts w:ascii="Calibri" w:hAnsi="Calibri"/>
          <w:color w:val="000000" w:themeColor="text1"/>
          <w:kern w:val="0"/>
        </w:rPr>
      </w:pPr>
      <w:r>
        <w:rPr>
          <w:rFonts w:hint="eastAsia" w:ascii="Calibri" w:hAnsi="Calibri"/>
          <w:color w:val="000000" w:themeColor="text1"/>
          <w:kern w:val="0"/>
        </w:rPr>
        <w:t>为加强水土保持，防止水土流失，应采取以下措施：</w:t>
      </w:r>
    </w:p>
    <w:p>
      <w:pPr>
        <w:ind w:firstLine="480"/>
        <w:rPr>
          <w:rFonts w:ascii="Calibri" w:hAnsi="Calibri"/>
          <w:color w:val="000000" w:themeColor="text1"/>
          <w:kern w:val="0"/>
        </w:rPr>
      </w:pPr>
      <w:r>
        <w:rPr>
          <w:rFonts w:hint="eastAsia" w:ascii="Calibri" w:hAnsi="Calibri"/>
          <w:color w:val="000000" w:themeColor="text1"/>
          <w:kern w:val="0"/>
        </w:rPr>
        <w:t>（</w:t>
      </w:r>
      <w:r>
        <w:rPr>
          <w:rFonts w:ascii="Calibri" w:hAnsi="Calibri"/>
          <w:color w:val="000000" w:themeColor="text1"/>
          <w:kern w:val="0"/>
        </w:rPr>
        <w:t>1</w:t>
      </w:r>
      <w:r>
        <w:rPr>
          <w:rFonts w:hint="eastAsia" w:ascii="Calibri" w:hAnsi="Calibri"/>
          <w:color w:val="000000" w:themeColor="text1"/>
          <w:kern w:val="0"/>
        </w:rPr>
        <w:t>）在签订施工承包合同时，明确有关环境保护的条款。施工期的环境管理措施由施工部门组织实施。</w:t>
      </w:r>
    </w:p>
    <w:p>
      <w:pPr>
        <w:ind w:firstLine="480"/>
        <w:rPr>
          <w:rFonts w:ascii="Calibri" w:hAnsi="Calibri"/>
          <w:color w:val="000000" w:themeColor="text1"/>
          <w:kern w:val="0"/>
        </w:rPr>
      </w:pPr>
      <w:r>
        <w:rPr>
          <w:rFonts w:hint="eastAsia" w:ascii="Calibri" w:hAnsi="Calibri"/>
          <w:color w:val="000000" w:themeColor="text1"/>
          <w:kern w:val="0"/>
        </w:rPr>
        <w:t>（</w:t>
      </w:r>
      <w:r>
        <w:rPr>
          <w:rFonts w:ascii="Calibri" w:hAnsi="Calibri"/>
          <w:color w:val="000000" w:themeColor="text1"/>
          <w:kern w:val="0"/>
        </w:rPr>
        <w:t>2</w:t>
      </w:r>
      <w:r>
        <w:rPr>
          <w:rFonts w:hint="eastAsia" w:ascii="Calibri" w:hAnsi="Calibri"/>
          <w:color w:val="000000" w:themeColor="text1"/>
          <w:kern w:val="0"/>
        </w:rPr>
        <w:t>）对施工中产生的废弃渣，包括剥离覆盖层产生的废弃渣专门堆放，并设拦挡工程，不得随意倾倒；修建拦渣坝、挡渣墙等临时工程，防止水土流失影响周边地区；在场区四周修建排水沟，防止雨季的冲刷造成严重的水土流失现象。</w:t>
      </w:r>
    </w:p>
    <w:p>
      <w:pPr>
        <w:ind w:firstLine="480"/>
        <w:rPr>
          <w:rFonts w:ascii="Calibri" w:hAnsi="Calibri"/>
          <w:color w:val="000000" w:themeColor="text1"/>
          <w:kern w:val="0"/>
        </w:rPr>
      </w:pPr>
      <w:r>
        <w:rPr>
          <w:rFonts w:hint="eastAsia" w:ascii="Calibri" w:hAnsi="Calibri"/>
          <w:color w:val="000000" w:themeColor="text1"/>
          <w:kern w:val="0"/>
        </w:rPr>
        <w:t>（</w:t>
      </w:r>
      <w:r>
        <w:rPr>
          <w:rFonts w:ascii="Calibri" w:hAnsi="Calibri"/>
          <w:color w:val="000000" w:themeColor="text1"/>
          <w:kern w:val="0"/>
        </w:rPr>
        <w:t>3</w:t>
      </w:r>
      <w:r>
        <w:rPr>
          <w:rFonts w:hint="eastAsia" w:ascii="Calibri" w:hAnsi="Calibri"/>
          <w:color w:val="000000" w:themeColor="text1"/>
          <w:kern w:val="0"/>
        </w:rPr>
        <w:t>）优化单项工程的施工时序，避免暴雨天气进行场地、道路的平整、地基开挖。</w:t>
      </w:r>
    </w:p>
    <w:p>
      <w:pPr>
        <w:ind w:firstLine="480"/>
        <w:rPr>
          <w:rFonts w:ascii="Calibri" w:hAnsi="Calibri"/>
          <w:color w:val="000000" w:themeColor="text1"/>
          <w:kern w:val="0"/>
        </w:rPr>
      </w:pPr>
      <w:r>
        <w:rPr>
          <w:rFonts w:hint="eastAsia" w:ascii="Calibri" w:hAnsi="Calibri"/>
          <w:color w:val="000000" w:themeColor="text1"/>
          <w:kern w:val="0"/>
        </w:rPr>
        <w:t>（</w:t>
      </w:r>
      <w:r>
        <w:rPr>
          <w:rFonts w:ascii="Calibri" w:hAnsi="Calibri"/>
          <w:color w:val="000000" w:themeColor="text1"/>
          <w:kern w:val="0"/>
        </w:rPr>
        <w:t>4</w:t>
      </w:r>
      <w:r>
        <w:rPr>
          <w:rFonts w:hint="eastAsia" w:ascii="Calibri" w:hAnsi="Calibri"/>
          <w:color w:val="000000" w:themeColor="text1"/>
          <w:kern w:val="0"/>
        </w:rPr>
        <w:t>）主体工程要选择合适的季节施工。应避开风季大风及夏季暴雨季进行作业，减少水土流失。</w:t>
      </w:r>
    </w:p>
    <w:p>
      <w:pPr>
        <w:ind w:firstLine="480"/>
        <w:rPr>
          <w:rFonts w:ascii="Calibri" w:hAnsi="Calibri"/>
          <w:color w:val="000000" w:themeColor="text1"/>
          <w:kern w:val="0"/>
        </w:rPr>
      </w:pPr>
      <w:r>
        <w:rPr>
          <w:rFonts w:hint="eastAsia" w:ascii="Calibri" w:hAnsi="Calibri"/>
          <w:color w:val="000000" w:themeColor="text1"/>
          <w:kern w:val="0"/>
        </w:rPr>
        <w:t>（</w:t>
      </w:r>
      <w:r>
        <w:rPr>
          <w:rFonts w:ascii="Calibri" w:hAnsi="Calibri"/>
          <w:color w:val="000000" w:themeColor="text1"/>
          <w:kern w:val="0"/>
        </w:rPr>
        <w:t>5</w:t>
      </w:r>
      <w:r>
        <w:rPr>
          <w:rFonts w:hint="eastAsia" w:ascii="Calibri" w:hAnsi="Calibri"/>
          <w:color w:val="000000" w:themeColor="text1"/>
          <w:kern w:val="0"/>
        </w:rPr>
        <w:t>）施工结束后应拆除施工区临时设施、清理场地、种植植被，以提高土地利用功能。</w:t>
      </w:r>
    </w:p>
    <w:p>
      <w:pPr>
        <w:ind w:firstLine="480"/>
        <w:rPr>
          <w:rFonts w:ascii="Calibri" w:hAnsi="Calibri"/>
          <w:color w:val="000000" w:themeColor="text1"/>
          <w:kern w:val="0"/>
        </w:rPr>
      </w:pPr>
      <w:r>
        <w:rPr>
          <w:rFonts w:hint="eastAsia" w:ascii="Calibri" w:hAnsi="Calibri"/>
          <w:color w:val="000000" w:themeColor="text1"/>
          <w:kern w:val="0"/>
        </w:rPr>
        <w:t>（</w:t>
      </w:r>
      <w:r>
        <w:rPr>
          <w:rFonts w:ascii="Calibri" w:hAnsi="Calibri"/>
          <w:color w:val="000000" w:themeColor="text1"/>
          <w:kern w:val="0"/>
        </w:rPr>
        <w:t>6</w:t>
      </w:r>
      <w:r>
        <w:rPr>
          <w:rFonts w:hint="eastAsia" w:ascii="Calibri" w:hAnsi="Calibri"/>
          <w:color w:val="000000" w:themeColor="text1"/>
          <w:kern w:val="0"/>
        </w:rPr>
        <w:t>）加强施工管理，对施工人员进行保护生态教育，最大程度降低施工活动对矿区生态的破坏。</w:t>
      </w:r>
    </w:p>
    <w:p>
      <w:pPr>
        <w:pStyle w:val="3"/>
        <w:rPr>
          <w:color w:val="000000" w:themeColor="text1"/>
        </w:rPr>
      </w:pPr>
      <w:bookmarkStart w:id="286" w:name="_Toc47375897"/>
      <w:r>
        <w:rPr>
          <w:rFonts w:hint="eastAsia"/>
          <w:color w:val="000000" w:themeColor="text1"/>
        </w:rPr>
        <w:t>7.2运营期污染物防治措施及可行性论证</w:t>
      </w:r>
      <w:bookmarkEnd w:id="286"/>
    </w:p>
    <w:p>
      <w:pPr>
        <w:pStyle w:val="38"/>
        <w:ind w:firstLine="281"/>
        <w:rPr>
          <w:color w:val="000000" w:themeColor="text1"/>
        </w:rPr>
      </w:pPr>
      <w:bookmarkStart w:id="287" w:name="_Toc47375898"/>
      <w:r>
        <w:rPr>
          <w:rFonts w:hint="eastAsia"/>
          <w:color w:val="000000" w:themeColor="text1"/>
        </w:rPr>
        <w:t>7.2.1环境空气污染防治措施及可行性论证</w:t>
      </w:r>
      <w:bookmarkEnd w:id="287"/>
    </w:p>
    <w:p>
      <w:pPr>
        <w:ind w:firstLine="480"/>
        <w:rPr>
          <w:color w:val="000000" w:themeColor="text1"/>
          <w:kern w:val="0"/>
        </w:rPr>
      </w:pPr>
      <w:bookmarkStart w:id="288" w:name="_Toc346742928"/>
      <w:r>
        <w:rPr>
          <w:rFonts w:hint="eastAsia"/>
          <w:color w:val="000000" w:themeColor="text1"/>
          <w:kern w:val="0"/>
        </w:rPr>
        <w:t>（</w:t>
      </w:r>
      <w:r>
        <w:rPr>
          <w:color w:val="000000" w:themeColor="text1"/>
          <w:kern w:val="0"/>
        </w:rPr>
        <w:t>1</w:t>
      </w:r>
      <w:r>
        <w:rPr>
          <w:rFonts w:hint="eastAsia"/>
          <w:color w:val="000000" w:themeColor="text1"/>
          <w:kern w:val="0"/>
        </w:rPr>
        <w:t>）</w:t>
      </w:r>
      <w:bookmarkEnd w:id="288"/>
      <w:r>
        <w:rPr>
          <w:rFonts w:hint="eastAsia"/>
          <w:color w:val="000000" w:themeColor="text1"/>
          <w:kern w:val="0"/>
        </w:rPr>
        <w:t>待宰间及屠宰车间恶臭</w:t>
      </w:r>
    </w:p>
    <w:p>
      <w:pPr>
        <w:ind w:firstLine="480"/>
        <w:rPr>
          <w:rFonts w:ascii="Calibri" w:hAnsi="Calibri"/>
          <w:color w:val="000000" w:themeColor="text1"/>
        </w:rPr>
      </w:pPr>
      <w:r>
        <w:rPr>
          <w:rFonts w:hint="eastAsia" w:ascii="Calibri" w:hAnsi="Calibri"/>
          <w:color w:val="000000" w:themeColor="text1"/>
        </w:rPr>
        <w:t>拟建项目产生恶臭污染的环节主要有生猪及生鸡待宰圈、屠宰车间以及污水处理站</w:t>
      </w:r>
      <w:r>
        <w:rPr>
          <w:rFonts w:hint="eastAsia"/>
          <w:color w:val="000000" w:themeColor="text1"/>
          <w:kern w:val="0"/>
        </w:rPr>
        <w:t>。</w:t>
      </w:r>
      <w:r>
        <w:rPr>
          <w:rFonts w:hint="eastAsia" w:ascii="Calibri" w:hAnsi="Calibri"/>
          <w:color w:val="000000" w:themeColor="text1"/>
        </w:rPr>
        <w:t>本项目对恶臭污染的防治措施主要有：</w:t>
      </w:r>
    </w:p>
    <w:p>
      <w:pPr>
        <w:ind w:firstLine="480"/>
        <w:rPr>
          <w:rFonts w:ascii="Calibri" w:hAnsi="Calibri"/>
          <w:color w:val="000000" w:themeColor="text1"/>
        </w:rPr>
      </w:pPr>
      <w:r>
        <w:rPr>
          <w:rFonts w:hint="eastAsia" w:ascii="Calibri" w:hAnsi="Calibri"/>
          <w:color w:val="000000" w:themeColor="text1"/>
        </w:rPr>
        <w:t>①项目粪便暂存间应设置为封闭式，且项目应及时清理厂区粪便，垃圾等恶臭源，做到日产日清。</w:t>
      </w:r>
    </w:p>
    <w:p>
      <w:pPr>
        <w:ind w:firstLine="480"/>
        <w:rPr>
          <w:rFonts w:ascii="Calibri" w:hAnsi="Calibri"/>
          <w:color w:val="000000" w:themeColor="text1"/>
        </w:rPr>
      </w:pPr>
      <w:r>
        <w:rPr>
          <w:rFonts w:hint="eastAsia" w:ascii="Calibri" w:hAnsi="Calibri"/>
          <w:color w:val="000000" w:themeColor="text1"/>
        </w:rPr>
        <w:t>②项目生猪屠宰车间及生鸡屠宰车间都应该设有通风换气的设备，并保持每天都对车消毒、喷洒生物除臭剂等。</w:t>
      </w:r>
    </w:p>
    <w:p>
      <w:pPr>
        <w:ind w:firstLine="480"/>
        <w:rPr>
          <w:rFonts w:ascii="Calibri" w:hAnsi="Calibri"/>
          <w:color w:val="000000" w:themeColor="text1"/>
        </w:rPr>
      </w:pPr>
      <w:r>
        <w:rPr>
          <w:rFonts w:hint="eastAsia" w:ascii="Calibri" w:hAnsi="Calibri"/>
          <w:color w:val="000000" w:themeColor="text1"/>
        </w:rPr>
        <w:t>③每天及时清理待宰猪舍以及待宰鸡圈内的粪便，粪便清理通过干法清扫、收集，以减少冲洗水污染负荷，每班必清，及时对待宰猪舍、屠宰车间进行冲洗；做到日产日清。</w:t>
      </w:r>
    </w:p>
    <w:p>
      <w:pPr>
        <w:ind w:firstLine="480"/>
        <w:rPr>
          <w:rFonts w:ascii="Calibri" w:hAnsi="Calibri"/>
          <w:color w:val="000000" w:themeColor="text1"/>
        </w:rPr>
      </w:pPr>
      <w:r>
        <w:rPr>
          <w:rFonts w:hint="eastAsia" w:ascii="Calibri" w:hAnsi="Calibri"/>
          <w:color w:val="000000" w:themeColor="text1"/>
        </w:rPr>
        <w:t>④厂区内加强绿化，可有效减少恶臭排放。</w:t>
      </w:r>
    </w:p>
    <w:p>
      <w:pPr>
        <w:spacing w:line="500" w:lineRule="exact"/>
        <w:ind w:firstLine="480"/>
        <w:rPr>
          <w:color w:val="000000" w:themeColor="text1"/>
          <w:kern w:val="0"/>
        </w:rPr>
      </w:pPr>
      <w:r>
        <w:rPr>
          <w:rFonts w:hint="eastAsia" w:ascii="Calibri" w:hAnsi="Calibri"/>
          <w:color w:val="000000" w:themeColor="text1"/>
        </w:rPr>
        <w:t>⑤</w:t>
      </w:r>
      <w:r>
        <w:rPr>
          <w:rFonts w:hint="eastAsia" w:ascii="Calibri" w:hAnsi="Calibri" w:cs="Calibri"/>
          <w:bCs/>
          <w:color w:val="000000" w:themeColor="text1"/>
        </w:rPr>
        <w:t>本项目可使用养殖场专用植物性除臭剂，该种除臭剂主要成分为活性醛基芳香香料、樟树、桉树、柏木、香茅等天然植物提取物，无毒、无刺激、无腐蚀性，杀菌功能强。植物性除臭剂通过</w:t>
      </w:r>
      <w:r>
        <w:rPr>
          <w:rFonts w:ascii="Calibri" w:hAnsi="Calibri" w:cs="Calibri"/>
          <w:bCs/>
          <w:color w:val="000000" w:themeColor="text1"/>
        </w:rPr>
        <w:t>4</w:t>
      </w:r>
      <w:r>
        <w:rPr>
          <w:rFonts w:hint="eastAsia" w:ascii="Calibri" w:hAnsi="Calibri" w:cs="Calibri"/>
          <w:bCs/>
          <w:color w:val="000000" w:themeColor="text1"/>
        </w:rPr>
        <w:t>种物理化学作用力将臭气分子捕捉：范德华力、耦合力、化学反应力、吸附力，植物型除臭剂可以有效去除硫化氢、氨气、二氧化硫、甲硫醇、胺等多种常见的恶臭气体，也可以用于去除工业领域产生的特种恶臭气味。</w:t>
      </w:r>
    </w:p>
    <w:p>
      <w:pPr>
        <w:ind w:firstLine="480"/>
        <w:rPr>
          <w:color w:val="000000" w:themeColor="text1"/>
          <w:kern w:val="0"/>
        </w:rPr>
      </w:pPr>
      <w:r>
        <w:rPr>
          <w:rFonts w:hint="eastAsia"/>
          <w:color w:val="000000" w:themeColor="text1"/>
          <w:kern w:val="0"/>
        </w:rPr>
        <w:t>（</w:t>
      </w:r>
      <w:r>
        <w:rPr>
          <w:color w:val="000000" w:themeColor="text1"/>
          <w:kern w:val="0"/>
        </w:rPr>
        <w:t>2</w:t>
      </w:r>
      <w:r>
        <w:rPr>
          <w:rFonts w:hint="eastAsia"/>
          <w:color w:val="000000" w:themeColor="text1"/>
          <w:kern w:val="0"/>
        </w:rPr>
        <w:t>）污水处理站废气</w:t>
      </w:r>
    </w:p>
    <w:p>
      <w:pPr>
        <w:ind w:firstLine="480"/>
        <w:rPr>
          <w:color w:val="000000" w:themeColor="text1"/>
        </w:rPr>
      </w:pPr>
      <w:r>
        <w:rPr>
          <w:rFonts w:hint="eastAsia"/>
          <w:color w:val="000000" w:themeColor="text1"/>
        </w:rPr>
        <w:t>本项目污水处理站应及时清理格栅、沉砂隔油池、污泥暂存间产生的固体废物；对污水处理站产生的污泥及时清运，减少污泥在厂区内的堆存量和堆存时间。</w:t>
      </w:r>
    </w:p>
    <w:p>
      <w:pPr>
        <w:ind w:firstLine="480"/>
        <w:rPr>
          <w:color w:val="000000" w:themeColor="text1"/>
        </w:rPr>
      </w:pPr>
      <w:r>
        <w:rPr>
          <w:rFonts w:hint="eastAsia" w:ascii="宋体" w:hAnsi="宋体" w:cs="宋体"/>
          <w:color w:val="000000" w:themeColor="text1"/>
        </w:rPr>
        <w:t>①</w:t>
      </w:r>
      <w:r>
        <w:rPr>
          <w:rFonts w:hint="eastAsia"/>
          <w:color w:val="000000" w:themeColor="text1"/>
        </w:rPr>
        <w:t>对污水处理站合理设计，控制曝气池的空气量，避免过量曝气造成恶臭气体排放量增加；</w:t>
      </w:r>
    </w:p>
    <w:p>
      <w:pPr>
        <w:ind w:firstLine="480"/>
        <w:rPr>
          <w:color w:val="000000" w:themeColor="text1"/>
        </w:rPr>
      </w:pPr>
      <w:r>
        <w:rPr>
          <w:rFonts w:hint="eastAsia" w:ascii="宋体" w:hAnsi="宋体" w:cs="宋体"/>
          <w:color w:val="000000" w:themeColor="text1"/>
        </w:rPr>
        <w:t>②</w:t>
      </w:r>
      <w:r>
        <w:rPr>
          <w:rFonts w:hint="eastAsia"/>
          <w:color w:val="000000" w:themeColor="text1"/>
        </w:rPr>
        <w:t>及时清理格栅、调节沉淀池产生的废渣、浮油等物质；</w:t>
      </w:r>
    </w:p>
    <w:p>
      <w:pPr>
        <w:ind w:firstLine="480"/>
        <w:rPr>
          <w:color w:val="000000" w:themeColor="text1"/>
        </w:rPr>
      </w:pPr>
      <w:r>
        <w:rPr>
          <w:rFonts w:hint="eastAsia" w:ascii="宋体" w:hAnsi="宋体" w:cs="宋体"/>
          <w:color w:val="000000" w:themeColor="text1"/>
        </w:rPr>
        <w:t>③</w:t>
      </w:r>
      <w:r>
        <w:rPr>
          <w:rFonts w:hint="eastAsia"/>
          <w:color w:val="000000" w:themeColor="text1"/>
        </w:rPr>
        <w:t>对可加盖的构筑物加盖；</w:t>
      </w:r>
    </w:p>
    <w:p>
      <w:pPr>
        <w:ind w:firstLine="480"/>
        <w:rPr>
          <w:color w:val="000000" w:themeColor="text1"/>
        </w:rPr>
      </w:pPr>
      <w:r>
        <w:rPr>
          <w:rFonts w:hint="eastAsia" w:ascii="宋体" w:hAnsi="宋体" w:cs="宋体"/>
          <w:color w:val="000000" w:themeColor="text1"/>
        </w:rPr>
        <w:t>④</w:t>
      </w:r>
      <w:r>
        <w:rPr>
          <w:rFonts w:hint="eastAsia"/>
          <w:color w:val="000000" w:themeColor="text1"/>
        </w:rPr>
        <w:t>污水站产生的污泥、沉淀池产生的油脂以及肠胃内容物等固体废物应尽量减少临时堆存时间，及时外运综合利用，做到</w:t>
      </w:r>
      <w:r>
        <w:rPr>
          <w:color w:val="000000" w:themeColor="text1"/>
        </w:rPr>
        <w:t>“</w:t>
      </w:r>
      <w:r>
        <w:rPr>
          <w:rFonts w:hint="eastAsia"/>
          <w:color w:val="000000" w:themeColor="text1"/>
        </w:rPr>
        <w:t>日产日清</w:t>
      </w:r>
      <w:r>
        <w:rPr>
          <w:color w:val="000000" w:themeColor="text1"/>
        </w:rPr>
        <w:t>”</w:t>
      </w:r>
      <w:r>
        <w:rPr>
          <w:rFonts w:hint="eastAsia"/>
          <w:color w:val="000000" w:themeColor="text1"/>
        </w:rPr>
        <w:t>；</w:t>
      </w:r>
      <w:r>
        <w:rPr>
          <w:color w:val="000000" w:themeColor="text1"/>
        </w:rPr>
        <w:t xml:space="preserve"> </w:t>
      </w:r>
    </w:p>
    <w:p>
      <w:pPr>
        <w:ind w:firstLine="480"/>
        <w:rPr>
          <w:color w:val="000000" w:themeColor="text1"/>
        </w:rPr>
      </w:pPr>
      <w:r>
        <w:rPr>
          <w:rFonts w:hint="eastAsia" w:ascii="宋体" w:hAnsi="宋体" w:cs="宋体"/>
          <w:color w:val="000000" w:themeColor="text1"/>
        </w:rPr>
        <w:t>⑤</w:t>
      </w:r>
      <w:r>
        <w:rPr>
          <w:rFonts w:hint="eastAsia"/>
          <w:color w:val="000000" w:themeColor="text1"/>
        </w:rPr>
        <w:t>污水处理站是蚊蝇滋生的集中场所，夏季气温高时尤盛，因此，污水处理站应在保证污水处理站正常运转的情况下定期进行杀灭蚊蝇的工作；</w:t>
      </w:r>
    </w:p>
    <w:p>
      <w:pPr>
        <w:ind w:firstLine="480"/>
        <w:rPr>
          <w:color w:val="000000" w:themeColor="text1"/>
        </w:rPr>
      </w:pPr>
      <w:r>
        <w:rPr>
          <w:rFonts w:hint="eastAsia" w:ascii="宋体" w:hAnsi="宋体" w:cs="宋体"/>
          <w:color w:val="000000" w:themeColor="text1"/>
        </w:rPr>
        <w:t>⑥</w:t>
      </w:r>
      <w:r>
        <w:rPr>
          <w:rFonts w:hint="eastAsia"/>
          <w:color w:val="000000" w:themeColor="text1"/>
        </w:rPr>
        <w:t>加强污水处理站构筑物四周的绿化工作；</w:t>
      </w:r>
    </w:p>
    <w:p>
      <w:pPr>
        <w:ind w:firstLine="480"/>
        <w:rPr>
          <w:color w:val="000000" w:themeColor="text1"/>
        </w:rPr>
      </w:pPr>
      <w:r>
        <w:rPr>
          <w:rFonts w:hint="eastAsia" w:ascii="宋体" w:hAnsi="宋体" w:cs="宋体"/>
          <w:color w:val="000000" w:themeColor="text1"/>
        </w:rPr>
        <w:t>⑦</w:t>
      </w:r>
      <w:r>
        <w:rPr>
          <w:rFonts w:hint="eastAsia"/>
          <w:color w:val="000000" w:themeColor="text1"/>
        </w:rPr>
        <w:t>厂界密植抗污能力强的树木，形成防护林带，以阻隔臭味向外扩散。</w:t>
      </w:r>
    </w:p>
    <w:p>
      <w:pPr>
        <w:ind w:firstLine="480"/>
        <w:rPr>
          <w:color w:val="000000" w:themeColor="text1"/>
          <w:kern w:val="0"/>
        </w:rPr>
      </w:pPr>
      <w:r>
        <w:rPr>
          <w:rFonts w:hint="eastAsia"/>
          <w:color w:val="000000" w:themeColor="text1"/>
          <w:kern w:val="0"/>
        </w:rPr>
        <w:t>（</w:t>
      </w:r>
      <w:r>
        <w:rPr>
          <w:color w:val="000000" w:themeColor="text1"/>
          <w:kern w:val="0"/>
        </w:rPr>
        <w:t>3</w:t>
      </w:r>
      <w:r>
        <w:rPr>
          <w:rFonts w:hint="eastAsia"/>
          <w:color w:val="000000" w:themeColor="text1"/>
          <w:kern w:val="0"/>
        </w:rPr>
        <w:t>）锅炉废气</w:t>
      </w:r>
    </w:p>
    <w:p>
      <w:pPr>
        <w:ind w:firstLine="480"/>
        <w:rPr>
          <w:rFonts w:ascii="Calibri" w:hAnsi="Calibri"/>
          <w:color w:val="000000" w:themeColor="text1"/>
        </w:rPr>
      </w:pPr>
      <w:r>
        <w:rPr>
          <w:rFonts w:hint="eastAsia" w:ascii="Calibri" w:hAnsi="Calibri"/>
          <w:color w:val="000000" w:themeColor="text1"/>
        </w:rPr>
        <w:t>项目锅炉采用生物质燃料作为能源，锅炉</w:t>
      </w:r>
      <w:r>
        <w:rPr>
          <w:rFonts w:hint="eastAsia"/>
          <w:color w:val="000000" w:themeColor="text1"/>
        </w:rPr>
        <w:t>仅在冬季或天气不佳时提供热源</w:t>
      </w:r>
      <w:r>
        <w:rPr>
          <w:rFonts w:hint="eastAsia" w:ascii="Calibri" w:hAnsi="Calibri"/>
          <w:color w:val="000000" w:themeColor="text1"/>
        </w:rPr>
        <w:t>，</w:t>
      </w:r>
      <w:r>
        <w:rPr>
          <w:rFonts w:hint="eastAsia" w:hAnsi="宋体"/>
          <w:color w:val="000000" w:themeColor="text1"/>
        </w:rPr>
        <w:t>锅炉烟气中烟尘、</w:t>
      </w:r>
      <w:r>
        <w:rPr>
          <w:bCs/>
          <w:color w:val="000000" w:themeColor="text1"/>
        </w:rPr>
        <w:t>SO</w:t>
      </w:r>
      <w:r>
        <w:rPr>
          <w:bCs/>
          <w:color w:val="000000" w:themeColor="text1"/>
          <w:vertAlign w:val="subscript"/>
        </w:rPr>
        <w:t>2</w:t>
      </w:r>
      <w:r>
        <w:rPr>
          <w:rFonts w:hint="eastAsia" w:hAnsi="宋体"/>
          <w:bCs/>
          <w:color w:val="000000" w:themeColor="text1"/>
        </w:rPr>
        <w:t>、氮氧化物</w:t>
      </w:r>
      <w:r>
        <w:rPr>
          <w:rFonts w:hint="eastAsia" w:ascii="Calibri" w:hAnsi="Calibri"/>
          <w:color w:val="000000" w:themeColor="text1"/>
        </w:rPr>
        <w:t>经过一套水膜除尘系统处理后达标排放。</w:t>
      </w:r>
    </w:p>
    <w:p>
      <w:pPr>
        <w:ind w:firstLine="480"/>
        <w:rPr>
          <w:color w:val="000000" w:themeColor="text1"/>
        </w:rPr>
      </w:pPr>
      <w:r>
        <w:rPr>
          <w:rFonts w:hint="eastAsia" w:ascii="宋体" w:hAnsi="宋体" w:cs="宋体"/>
          <w:color w:val="000000" w:themeColor="text1"/>
        </w:rPr>
        <w:t>①</w:t>
      </w:r>
      <w:r>
        <w:rPr>
          <w:rFonts w:hint="eastAsia"/>
          <w:color w:val="000000" w:themeColor="text1"/>
        </w:rPr>
        <w:t>锅炉废气经配套建设的</w:t>
      </w:r>
      <w:r>
        <w:rPr>
          <w:rFonts w:hint="eastAsia"/>
          <w:bCs/>
          <w:color w:val="000000" w:themeColor="text1"/>
        </w:rPr>
        <w:t>水膜除尘系统</w:t>
      </w:r>
      <w:r>
        <w:rPr>
          <w:rFonts w:hint="eastAsia"/>
          <w:color w:val="000000" w:themeColor="text1"/>
        </w:rPr>
        <w:t>处理后经</w:t>
      </w:r>
      <w:r>
        <w:rPr>
          <w:color w:val="000000" w:themeColor="text1"/>
        </w:rPr>
        <w:t>15m</w:t>
      </w:r>
      <w:r>
        <w:rPr>
          <w:rFonts w:hint="eastAsia"/>
          <w:color w:val="000000" w:themeColor="text1"/>
        </w:rPr>
        <w:t>高排气筒排出；</w:t>
      </w:r>
    </w:p>
    <w:p>
      <w:pPr>
        <w:ind w:firstLine="480"/>
        <w:rPr>
          <w:color w:val="000000" w:themeColor="text1"/>
        </w:rPr>
      </w:pPr>
      <w:r>
        <w:rPr>
          <w:rFonts w:hint="eastAsia" w:ascii="宋体" w:hAnsi="宋体" w:cs="宋体"/>
          <w:color w:val="000000" w:themeColor="text1"/>
        </w:rPr>
        <w:t>②</w:t>
      </w:r>
      <w:r>
        <w:rPr>
          <w:rFonts w:hint="eastAsia"/>
          <w:color w:val="000000" w:themeColor="text1"/>
        </w:rPr>
        <w:t>环评要求建设单位重视环保设施的维护，加强</w:t>
      </w:r>
      <w:r>
        <w:rPr>
          <w:rFonts w:hint="eastAsia"/>
          <w:bCs/>
          <w:color w:val="000000" w:themeColor="text1"/>
        </w:rPr>
        <w:t>水膜除尘系统</w:t>
      </w:r>
      <w:r>
        <w:rPr>
          <w:rFonts w:hint="eastAsia"/>
          <w:color w:val="000000" w:themeColor="text1"/>
        </w:rPr>
        <w:t>的日常维护管理，若发生非正常排放时，应及时排除故障隐患，待设备维修完善后，确保</w:t>
      </w:r>
      <w:r>
        <w:rPr>
          <w:rFonts w:hint="eastAsia"/>
          <w:bCs/>
          <w:color w:val="000000" w:themeColor="text1"/>
        </w:rPr>
        <w:t>水膜除尘系统</w:t>
      </w:r>
      <w:r>
        <w:rPr>
          <w:rFonts w:hint="eastAsia"/>
          <w:color w:val="000000" w:themeColor="text1"/>
        </w:rPr>
        <w:t>的正常运行（达标排放），杜绝发生事故排放；</w:t>
      </w:r>
    </w:p>
    <w:p>
      <w:pPr>
        <w:ind w:firstLine="480"/>
        <w:rPr>
          <w:color w:val="000000" w:themeColor="text1"/>
        </w:rPr>
      </w:pPr>
      <w:r>
        <w:rPr>
          <w:rFonts w:hint="eastAsia" w:ascii="宋体" w:hAnsi="宋体" w:cs="宋体"/>
          <w:color w:val="000000" w:themeColor="text1"/>
        </w:rPr>
        <w:t>③</w:t>
      </w:r>
      <w:r>
        <w:rPr>
          <w:rFonts w:hint="eastAsia"/>
          <w:color w:val="000000" w:themeColor="text1"/>
        </w:rPr>
        <w:t>排气筒排气口处应设置监测孔，定期进行监测，保证达标排放</w:t>
      </w:r>
      <w:r>
        <w:rPr>
          <w:rFonts w:hint="eastAsia"/>
          <w:bCs/>
          <w:color w:val="000000" w:themeColor="text1"/>
        </w:rPr>
        <w:t>。</w:t>
      </w:r>
    </w:p>
    <w:p>
      <w:pPr>
        <w:ind w:firstLine="480"/>
        <w:rPr>
          <w:color w:val="000000" w:themeColor="text1"/>
          <w:kern w:val="0"/>
        </w:rPr>
      </w:pPr>
      <w:r>
        <w:rPr>
          <w:rFonts w:hint="eastAsia"/>
          <w:color w:val="000000" w:themeColor="text1"/>
          <w:kern w:val="0"/>
        </w:rPr>
        <w:t>（4）焚烧炉废气</w:t>
      </w:r>
    </w:p>
    <w:p>
      <w:pPr>
        <w:ind w:firstLine="480"/>
        <w:rPr>
          <w:color w:val="000000" w:themeColor="text1"/>
        </w:rPr>
      </w:pPr>
      <w:r>
        <w:rPr>
          <w:rFonts w:hint="eastAsia"/>
          <w:color w:val="000000" w:themeColor="text1"/>
        </w:rPr>
        <w:t>本屠宰场生产过程中产生的病死猪（鸡）尸体、不合格产品、碎骨肉等废物采用一体化无害化焚烧炉处理。焚烧炉尾气经布袋除尘系统处理后达标排放。</w:t>
      </w:r>
    </w:p>
    <w:p>
      <w:pPr>
        <w:ind w:firstLine="480"/>
        <w:rPr>
          <w:color w:val="000000" w:themeColor="text1"/>
        </w:rPr>
      </w:pPr>
      <w:r>
        <w:rPr>
          <w:rFonts w:hint="eastAsia" w:ascii="宋体" w:hAnsi="宋体" w:cs="宋体"/>
          <w:color w:val="000000" w:themeColor="text1"/>
        </w:rPr>
        <w:t>①</w:t>
      </w:r>
      <w:r>
        <w:rPr>
          <w:rFonts w:hint="eastAsia"/>
          <w:color w:val="000000" w:themeColor="text1"/>
        </w:rPr>
        <w:t>焚烧炉烟气经设备配备的</w:t>
      </w:r>
      <w:r>
        <w:rPr>
          <w:rFonts w:hint="eastAsia"/>
          <w:bCs/>
          <w:color w:val="000000" w:themeColor="text1"/>
        </w:rPr>
        <w:t>布袋除尘器</w:t>
      </w:r>
      <w:r>
        <w:rPr>
          <w:rFonts w:hint="eastAsia"/>
          <w:color w:val="000000" w:themeColor="text1"/>
        </w:rPr>
        <w:t>处理后经2</w:t>
      </w:r>
      <w:r>
        <w:rPr>
          <w:color w:val="000000" w:themeColor="text1"/>
        </w:rPr>
        <w:t>5m</w:t>
      </w:r>
      <w:r>
        <w:rPr>
          <w:rFonts w:hint="eastAsia"/>
          <w:color w:val="000000" w:themeColor="text1"/>
        </w:rPr>
        <w:t>高排气筒排出；</w:t>
      </w:r>
    </w:p>
    <w:p>
      <w:pPr>
        <w:ind w:firstLine="480"/>
        <w:rPr>
          <w:color w:val="000000" w:themeColor="text1"/>
        </w:rPr>
      </w:pPr>
      <w:r>
        <w:rPr>
          <w:rFonts w:hint="eastAsia" w:ascii="宋体" w:hAnsi="宋体" w:cs="宋体"/>
          <w:color w:val="000000" w:themeColor="text1"/>
        </w:rPr>
        <w:t>②</w:t>
      </w:r>
      <w:r>
        <w:rPr>
          <w:rFonts w:hint="eastAsia"/>
          <w:color w:val="000000" w:themeColor="text1"/>
        </w:rPr>
        <w:t>环评要求建设单位重视环保设施的维护，加强</w:t>
      </w:r>
      <w:r>
        <w:rPr>
          <w:rFonts w:hint="eastAsia"/>
          <w:bCs/>
          <w:color w:val="000000" w:themeColor="text1"/>
        </w:rPr>
        <w:t>布袋除尘器</w:t>
      </w:r>
      <w:r>
        <w:rPr>
          <w:rFonts w:hint="eastAsia"/>
          <w:color w:val="000000" w:themeColor="text1"/>
        </w:rPr>
        <w:t>处理系统的日常维护管理，若发生非正常排放时，应及时排除故障隐患，待设备维修完善后，确保</w:t>
      </w:r>
      <w:r>
        <w:rPr>
          <w:rFonts w:hint="eastAsia"/>
          <w:bCs/>
          <w:color w:val="000000" w:themeColor="text1"/>
        </w:rPr>
        <w:t>布袋除尘器</w:t>
      </w:r>
      <w:r>
        <w:rPr>
          <w:rFonts w:hint="eastAsia"/>
          <w:color w:val="000000" w:themeColor="text1"/>
        </w:rPr>
        <w:t>处理系统的正常运行（达标排放），杜绝发生事故排放；</w:t>
      </w:r>
    </w:p>
    <w:p>
      <w:pPr>
        <w:ind w:firstLine="480"/>
        <w:rPr>
          <w:rFonts w:ascii="宋体" w:hAnsi="宋体" w:cs="宋体"/>
          <w:color w:val="000000" w:themeColor="text1"/>
        </w:rPr>
      </w:pPr>
      <w:r>
        <w:rPr>
          <w:rFonts w:hint="eastAsia" w:ascii="宋体" w:hAnsi="宋体" w:cs="宋体"/>
          <w:color w:val="000000" w:themeColor="text1"/>
        </w:rPr>
        <w:t>③设备选型时尽量选用环保型的焚烧炉；</w:t>
      </w:r>
    </w:p>
    <w:p>
      <w:pPr>
        <w:ind w:firstLine="480"/>
        <w:rPr>
          <w:color w:val="000000" w:themeColor="text1"/>
          <w:kern w:val="0"/>
        </w:rPr>
      </w:pPr>
      <w:r>
        <w:rPr>
          <w:rFonts w:hint="eastAsia" w:ascii="宋体" w:hAnsi="宋体" w:cs="宋体"/>
          <w:color w:val="000000" w:themeColor="text1"/>
        </w:rPr>
        <w:t>④</w:t>
      </w:r>
      <w:r>
        <w:rPr>
          <w:rFonts w:hint="eastAsia"/>
          <w:color w:val="000000" w:themeColor="text1"/>
        </w:rPr>
        <w:t>排气筒排气口处应设置监测孔，定期进行监测，保证达标排放。</w:t>
      </w:r>
    </w:p>
    <w:p>
      <w:pPr>
        <w:ind w:firstLine="480"/>
        <w:rPr>
          <w:color w:val="000000" w:themeColor="text1"/>
        </w:rPr>
      </w:pPr>
      <w:r>
        <w:rPr>
          <w:rFonts w:hint="eastAsia"/>
          <w:color w:val="000000" w:themeColor="text1"/>
        </w:rPr>
        <w:t>（4）汽车尾气</w:t>
      </w:r>
    </w:p>
    <w:p>
      <w:pPr>
        <w:ind w:firstLine="480"/>
        <w:rPr>
          <w:color w:val="000000" w:themeColor="text1"/>
        </w:rPr>
      </w:pPr>
      <w:r>
        <w:rPr>
          <w:rFonts w:hint="eastAsia"/>
          <w:color w:val="000000" w:themeColor="text1"/>
        </w:rPr>
        <w:t>项目进出场车辆会产生汽车尾气，呈无组织排放，尾气污染物主要为</w:t>
      </w:r>
      <w:r>
        <w:rPr>
          <w:color w:val="000000" w:themeColor="text1"/>
        </w:rPr>
        <w:t>CO</w:t>
      </w:r>
      <w:r>
        <w:rPr>
          <w:rFonts w:hint="eastAsia"/>
          <w:color w:val="000000" w:themeColor="text1"/>
        </w:rPr>
        <w:t>、</w:t>
      </w:r>
      <w:r>
        <w:rPr>
          <w:color w:val="000000" w:themeColor="text1"/>
        </w:rPr>
        <w:t>CH</w:t>
      </w:r>
      <w:r>
        <w:rPr>
          <w:rFonts w:hint="eastAsia"/>
          <w:color w:val="000000" w:themeColor="text1"/>
        </w:rPr>
        <w:t>、</w:t>
      </w:r>
      <w:r>
        <w:rPr>
          <w:color w:val="000000" w:themeColor="text1"/>
        </w:rPr>
        <w:t>NOx</w:t>
      </w:r>
      <w:r>
        <w:rPr>
          <w:rFonts w:hint="eastAsia"/>
          <w:color w:val="000000" w:themeColor="text1"/>
        </w:rPr>
        <w:t>等，这部分废气不会持续产生，且产生量较小，尾气在经过厂区绿化吸收、空气稀释扩散后影响较小。</w:t>
      </w:r>
    </w:p>
    <w:p>
      <w:pPr>
        <w:ind w:firstLine="480"/>
        <w:rPr>
          <w:color w:val="000000" w:themeColor="text1"/>
        </w:rPr>
      </w:pPr>
      <w:r>
        <w:rPr>
          <w:rFonts w:hint="eastAsia"/>
          <w:color w:val="000000" w:themeColor="text1"/>
        </w:rPr>
        <w:t>综上所述，项目</w:t>
      </w:r>
      <w:r>
        <w:rPr>
          <w:rFonts w:hint="eastAsia"/>
          <w:color w:val="000000" w:themeColor="text1"/>
          <w:kern w:val="0"/>
        </w:rPr>
        <w:t>待宰间及屠宰车间恶臭、污水处理站恶臭经过及时清理消毒、喷洒除臭剂、增强绿化的措施后可</w:t>
      </w:r>
      <w:r>
        <w:rPr>
          <w:rFonts w:hint="eastAsia"/>
          <w:color w:val="000000" w:themeColor="text1"/>
        </w:rPr>
        <w:t>达到《恶臭污染物排放标准》（</w:t>
      </w:r>
      <w:r>
        <w:rPr>
          <w:color w:val="000000" w:themeColor="text1"/>
        </w:rPr>
        <w:t>GB14554-93</w:t>
      </w:r>
      <w:r>
        <w:rPr>
          <w:rFonts w:hint="eastAsia"/>
          <w:color w:val="000000" w:themeColor="text1"/>
        </w:rPr>
        <w:t>）的恶臭污染物厂界标准限值；锅炉烟气</w:t>
      </w:r>
      <w:r>
        <w:rPr>
          <w:rFonts w:hint="eastAsia"/>
          <w:color w:val="000000" w:themeColor="text1"/>
          <w:kern w:val="0"/>
        </w:rPr>
        <w:t>配备</w:t>
      </w:r>
      <w:r>
        <w:rPr>
          <w:rFonts w:hint="eastAsia"/>
          <w:bCs/>
          <w:color w:val="000000" w:themeColor="text1"/>
          <w:kern w:val="0"/>
        </w:rPr>
        <w:t>水膜除尘设施处理后达到</w:t>
      </w:r>
      <w:r>
        <w:rPr>
          <w:rFonts w:hint="eastAsia"/>
          <w:color w:val="000000" w:themeColor="text1"/>
        </w:rPr>
        <w:t>《锅炉大气污染物排放标准》（</w:t>
      </w:r>
      <w:r>
        <w:rPr>
          <w:color w:val="000000" w:themeColor="text1"/>
        </w:rPr>
        <w:t>GB13271-2014</w:t>
      </w:r>
      <w:r>
        <w:rPr>
          <w:rFonts w:hint="eastAsia"/>
          <w:color w:val="000000" w:themeColor="text1"/>
        </w:rPr>
        <w:t>）后排放；焚烧炉烟气</w:t>
      </w:r>
      <w:r>
        <w:rPr>
          <w:rFonts w:hint="eastAsia"/>
          <w:color w:val="000000" w:themeColor="text1"/>
          <w:kern w:val="0"/>
        </w:rPr>
        <w:t>配备</w:t>
      </w:r>
      <w:r>
        <w:rPr>
          <w:rFonts w:hint="eastAsia"/>
          <w:bCs/>
          <w:color w:val="000000" w:themeColor="text1"/>
          <w:kern w:val="0"/>
        </w:rPr>
        <w:t>布袋除尘器处理后达到</w:t>
      </w:r>
      <w:r>
        <w:rPr>
          <w:rFonts w:hint="eastAsia"/>
          <w:color w:val="000000" w:themeColor="text1"/>
        </w:rPr>
        <w:t>《危险废物焚烧污染控制标准》（GB18484-2001）表 3 中标准限值后排放。</w:t>
      </w:r>
    </w:p>
    <w:p>
      <w:pPr>
        <w:ind w:firstLine="480"/>
        <w:rPr>
          <w:rFonts w:cs="Times New Roman"/>
          <w:color w:val="000000" w:themeColor="text1"/>
        </w:rPr>
      </w:pPr>
      <w:r>
        <w:rPr>
          <w:rFonts w:hint="eastAsia"/>
          <w:color w:val="000000" w:themeColor="text1"/>
        </w:rPr>
        <w:t>项目锅炉废气、焚烧炉尾气的治理设备工艺成熟，恶臭治理工艺较为简单易行，废气治理投资适中，便于建设方执行，且各污染物均可达到相应排放标准，本项目废气治理措施经济、技术可行。</w:t>
      </w:r>
    </w:p>
    <w:p>
      <w:pPr>
        <w:pStyle w:val="38"/>
        <w:ind w:firstLine="281"/>
        <w:rPr>
          <w:color w:val="000000" w:themeColor="text1"/>
        </w:rPr>
      </w:pPr>
      <w:bookmarkStart w:id="289" w:name="_Toc6428735"/>
      <w:bookmarkStart w:id="290" w:name="_Toc47375899"/>
      <w:r>
        <w:rPr>
          <w:rFonts w:hint="eastAsia"/>
          <w:color w:val="000000" w:themeColor="text1"/>
        </w:rPr>
        <w:t>7.2.2地表水污染防治措施</w:t>
      </w:r>
      <w:bookmarkEnd w:id="289"/>
      <w:r>
        <w:rPr>
          <w:rFonts w:hint="eastAsia"/>
          <w:color w:val="000000" w:themeColor="text1"/>
        </w:rPr>
        <w:t>及可行性论证</w:t>
      </w:r>
      <w:bookmarkEnd w:id="290"/>
    </w:p>
    <w:p>
      <w:pPr>
        <w:ind w:firstLine="480"/>
        <w:rPr>
          <w:color w:val="000000" w:themeColor="text1"/>
          <w:kern w:val="0"/>
        </w:rPr>
      </w:pPr>
      <w:r>
        <w:rPr>
          <w:rFonts w:hint="eastAsia"/>
          <w:color w:val="000000" w:themeColor="text1"/>
          <w:kern w:val="0"/>
        </w:rPr>
        <w:t>1、地表水污染防治措施</w:t>
      </w:r>
    </w:p>
    <w:p>
      <w:pPr>
        <w:ind w:firstLine="480"/>
        <w:rPr>
          <w:color w:val="000000" w:themeColor="text1"/>
          <w:kern w:val="0"/>
        </w:rPr>
      </w:pPr>
      <w:r>
        <w:rPr>
          <w:rFonts w:hint="eastAsia"/>
          <w:color w:val="000000" w:themeColor="text1"/>
          <w:kern w:val="0"/>
        </w:rPr>
        <w:t>项目</w:t>
      </w:r>
      <w:r>
        <w:rPr>
          <w:rFonts w:hint="eastAsia"/>
          <w:bCs/>
          <w:color w:val="000000" w:themeColor="text1"/>
          <w:kern w:val="0"/>
          <w:szCs w:val="24"/>
        </w:rPr>
        <w:t>采取雨污分流制</w:t>
      </w:r>
      <w:r>
        <w:rPr>
          <w:rFonts w:cs="Times New Roman"/>
          <w:color w:val="000000" w:themeColor="text1"/>
        </w:rPr>
        <w:t>，雨水通过雨水沟</w:t>
      </w:r>
      <w:r>
        <w:rPr>
          <w:rFonts w:hint="eastAsia" w:cs="Times New Roman"/>
          <w:color w:val="000000" w:themeColor="text1"/>
        </w:rPr>
        <w:t>收集后</w:t>
      </w:r>
      <w:r>
        <w:rPr>
          <w:rFonts w:cs="Times New Roman"/>
          <w:color w:val="000000" w:themeColor="text1"/>
        </w:rPr>
        <w:t>外排；屠宰废水</w:t>
      </w:r>
      <w:r>
        <w:rPr>
          <w:rFonts w:hint="eastAsia" w:cs="Times New Roman"/>
          <w:color w:val="000000" w:themeColor="text1"/>
        </w:rPr>
        <w:t>、</w:t>
      </w:r>
      <w:r>
        <w:rPr>
          <w:rFonts w:cs="Times New Roman"/>
          <w:color w:val="000000" w:themeColor="text1"/>
        </w:rPr>
        <w:t>冲洗废水</w:t>
      </w:r>
      <w:r>
        <w:rPr>
          <w:rFonts w:hint="eastAsia" w:cs="Times New Roman"/>
          <w:color w:val="000000" w:themeColor="text1"/>
        </w:rPr>
        <w:t>及生活</w:t>
      </w:r>
      <w:r>
        <w:rPr>
          <w:rFonts w:cs="Times New Roman"/>
          <w:color w:val="000000" w:themeColor="text1"/>
        </w:rPr>
        <w:t>污水</w:t>
      </w:r>
      <w:r>
        <w:rPr>
          <w:rFonts w:hint="eastAsia" w:cs="Times New Roman"/>
          <w:color w:val="000000" w:themeColor="text1"/>
        </w:rPr>
        <w:t>都</w:t>
      </w:r>
      <w:r>
        <w:rPr>
          <w:rFonts w:cs="Times New Roman"/>
          <w:color w:val="000000" w:themeColor="text1"/>
        </w:rPr>
        <w:t>排入自建的污水处理站处理</w:t>
      </w:r>
      <w:r>
        <w:rPr>
          <w:rFonts w:hint="eastAsia" w:cs="Times New Roman"/>
          <w:color w:val="000000" w:themeColor="text1"/>
        </w:rPr>
        <w:t>，污水处理站工艺采用“隔油沉砂+调节+气浮+厌氧+接触氧化+沉淀消毒”方式，经厂内污水处理站处理达到《肉类加工工业水污染物排放标准》(GB13457-92)表 3 三级标准及《污水排入城镇下水道水质标准》(GB/T31962-2015)B等级标准后</w:t>
      </w:r>
      <w:r>
        <w:rPr>
          <w:rFonts w:cs="Times New Roman"/>
          <w:color w:val="000000" w:themeColor="text1"/>
        </w:rPr>
        <w:t>排入砚山县城市污水管网</w:t>
      </w:r>
      <w:r>
        <w:rPr>
          <w:rFonts w:hint="eastAsia" w:cs="Times New Roman"/>
          <w:color w:val="000000" w:themeColor="text1"/>
        </w:rPr>
        <w:t>，最终进入</w:t>
      </w:r>
      <w:r>
        <w:rPr>
          <w:rFonts w:cs="Times New Roman"/>
          <w:color w:val="000000" w:themeColor="text1"/>
        </w:rPr>
        <w:t>砚山县污水处理厂进一步处理达标后排入听湖水库</w:t>
      </w:r>
      <w:r>
        <w:rPr>
          <w:rFonts w:hint="eastAsia"/>
          <w:bCs/>
          <w:color w:val="000000" w:themeColor="text1"/>
          <w:kern w:val="0"/>
          <w:szCs w:val="24"/>
        </w:rPr>
        <w:t>。</w:t>
      </w:r>
    </w:p>
    <w:p>
      <w:pPr>
        <w:ind w:firstLine="480"/>
        <w:rPr>
          <w:color w:val="000000" w:themeColor="text1"/>
        </w:rPr>
      </w:pPr>
      <w:r>
        <w:rPr>
          <w:rFonts w:hint="eastAsia"/>
          <w:color w:val="000000" w:themeColor="text1"/>
          <w:kern w:val="0"/>
        </w:rPr>
        <w:t>①</w:t>
      </w:r>
      <w:r>
        <w:rPr>
          <w:rFonts w:hint="eastAsia"/>
          <w:color w:val="000000" w:themeColor="text1"/>
        </w:rPr>
        <w:t>环评要求建设单位邀请有类似污水处理设计资质的单位对污水处理系统工艺进行论证，并由有相应施工资质的单位进行施工。</w:t>
      </w:r>
    </w:p>
    <w:p>
      <w:pPr>
        <w:ind w:firstLine="480"/>
        <w:rPr>
          <w:color w:val="000000" w:themeColor="text1"/>
        </w:rPr>
      </w:pPr>
      <w:r>
        <w:rPr>
          <w:rFonts w:hint="eastAsia"/>
          <w:color w:val="000000" w:themeColor="text1"/>
        </w:rPr>
        <w:t>②污水处理站进出口应设置规范的检测取样口，通过定期监测保证污水处理站的达标排放。</w:t>
      </w:r>
    </w:p>
    <w:p>
      <w:pPr>
        <w:ind w:firstLine="480"/>
        <w:rPr>
          <w:color w:val="000000" w:themeColor="text1"/>
        </w:rPr>
      </w:pPr>
      <w:r>
        <w:rPr>
          <w:rFonts w:hint="eastAsia"/>
          <w:color w:val="000000" w:themeColor="text1"/>
        </w:rPr>
        <w:t>2、污水处理可行性论证</w:t>
      </w:r>
    </w:p>
    <w:p>
      <w:pPr>
        <w:ind w:firstLine="480"/>
        <w:rPr>
          <w:color w:val="000000" w:themeColor="text1"/>
        </w:rPr>
      </w:pPr>
      <w:r>
        <w:rPr>
          <w:rFonts w:hint="eastAsia"/>
          <w:color w:val="000000" w:themeColor="text1"/>
        </w:rPr>
        <w:t>本项目污水处理站设计方案由建设单位委托云南宗泰环保科技有限公司完成，根据设计方案可知，设计方在屠宰污水处理系统的设计中，本着技术先进适用、工艺措施针对性强、系统可靠稳定、运行易开易停，一次性投资与日常运行费用综合最省、最大限度的减少场地占用面积的原则；通过对目前国内外同类污水处理技术的综合分析，特别是相同工程的实际经验，最终拟采用“隔油沉砂</w:t>
      </w:r>
      <w:r>
        <w:rPr>
          <w:color w:val="000000" w:themeColor="text1"/>
        </w:rPr>
        <w:t>+</w:t>
      </w:r>
      <w:r>
        <w:rPr>
          <w:rFonts w:hint="eastAsia"/>
          <w:color w:val="000000" w:themeColor="text1"/>
        </w:rPr>
        <w:t>调节</w:t>
      </w:r>
      <w:r>
        <w:rPr>
          <w:color w:val="000000" w:themeColor="text1"/>
        </w:rPr>
        <w:t>+</w:t>
      </w:r>
      <w:r>
        <w:rPr>
          <w:rFonts w:hint="eastAsia"/>
          <w:color w:val="000000" w:themeColor="text1"/>
        </w:rPr>
        <w:t>气浮</w:t>
      </w:r>
      <w:r>
        <w:rPr>
          <w:color w:val="000000" w:themeColor="text1"/>
        </w:rPr>
        <w:t>+</w:t>
      </w:r>
      <w:r>
        <w:rPr>
          <w:rFonts w:hint="eastAsia"/>
          <w:color w:val="000000" w:themeColor="text1"/>
        </w:rPr>
        <w:t>厌氧</w:t>
      </w:r>
      <w:r>
        <w:rPr>
          <w:color w:val="000000" w:themeColor="text1"/>
        </w:rPr>
        <w:t>+</w:t>
      </w:r>
      <w:r>
        <w:rPr>
          <w:rFonts w:hint="eastAsia"/>
          <w:color w:val="000000" w:themeColor="text1"/>
        </w:rPr>
        <w:t>接触氧化</w:t>
      </w:r>
      <w:r>
        <w:rPr>
          <w:color w:val="000000" w:themeColor="text1"/>
        </w:rPr>
        <w:t>+</w:t>
      </w:r>
      <w:r>
        <w:rPr>
          <w:rFonts w:hint="eastAsia"/>
          <w:color w:val="000000" w:themeColor="text1"/>
        </w:rPr>
        <w:t>沉淀消毒”工艺进行污水处理，该工艺技术特点为：</w:t>
      </w:r>
    </w:p>
    <w:p>
      <w:pPr>
        <w:ind w:firstLine="480"/>
        <w:rPr>
          <w:color w:val="000000" w:themeColor="text1"/>
        </w:rPr>
      </w:pPr>
      <w:r>
        <w:rPr>
          <w:rFonts w:hint="eastAsia"/>
          <w:color w:val="000000" w:themeColor="text1"/>
        </w:rPr>
        <w:t>（1）格栅</w:t>
      </w:r>
    </w:p>
    <w:p>
      <w:pPr>
        <w:ind w:firstLine="480"/>
        <w:rPr>
          <w:color w:val="000000" w:themeColor="text1"/>
        </w:rPr>
      </w:pPr>
      <w:r>
        <w:rPr>
          <w:rFonts w:hint="eastAsia"/>
          <w:color w:val="000000" w:themeColor="text1"/>
        </w:rPr>
        <w:t>格栅主要用来拦截污水中的大块漂浮物，以保证后续处理构筑物的正常运行及有效减轻处理负荷，为系统的长期正常运行提供保证。</w:t>
      </w:r>
    </w:p>
    <w:p>
      <w:pPr>
        <w:ind w:firstLine="480"/>
        <w:rPr>
          <w:bCs/>
          <w:color w:val="000000" w:themeColor="text1"/>
        </w:rPr>
      </w:pPr>
      <w:r>
        <w:rPr>
          <w:rFonts w:hint="eastAsia"/>
          <w:bCs/>
          <w:color w:val="000000" w:themeColor="text1"/>
        </w:rPr>
        <w:t>（2）污水的隔油沉砂</w:t>
      </w:r>
    </w:p>
    <w:p>
      <w:pPr>
        <w:ind w:firstLine="480"/>
        <w:rPr>
          <w:color w:val="000000" w:themeColor="text1"/>
        </w:rPr>
      </w:pPr>
      <w:r>
        <w:rPr>
          <w:rFonts w:hint="eastAsia"/>
          <w:color w:val="000000" w:themeColor="text1"/>
        </w:rPr>
        <w:t>由于污水的水质、水量随时间波动较大，因而必须加强调节以稳定污水的水质、水量，以保证后续生化处理的效果。调节池末端设提升泵，由液位计自动控制水泵的启闭，将污水提升到一体化设备。由于废水中含有大量的血污、毛皮、碎肉、内脏杂物等，需要设置隔油池进行隔出处理。</w:t>
      </w:r>
    </w:p>
    <w:p>
      <w:pPr>
        <w:ind w:firstLine="480"/>
        <w:rPr>
          <w:color w:val="000000" w:themeColor="text1"/>
        </w:rPr>
      </w:pPr>
      <w:r>
        <w:rPr>
          <w:rFonts w:hint="eastAsia"/>
          <w:color w:val="000000" w:themeColor="text1"/>
        </w:rPr>
        <w:t>（</w:t>
      </w:r>
      <w:r>
        <w:rPr>
          <w:color w:val="000000" w:themeColor="text1"/>
        </w:rPr>
        <w:t>3</w:t>
      </w:r>
      <w:r>
        <w:rPr>
          <w:rFonts w:hint="eastAsia"/>
          <w:color w:val="000000" w:themeColor="text1"/>
        </w:rPr>
        <w:t>）气浮机</w:t>
      </w:r>
    </w:p>
    <w:p>
      <w:pPr>
        <w:ind w:firstLine="480"/>
        <w:rPr>
          <w:color w:val="000000" w:themeColor="text1"/>
        </w:rPr>
      </w:pPr>
      <w:r>
        <w:rPr>
          <w:rFonts w:hint="eastAsia"/>
          <w:color w:val="000000" w:themeColor="text1"/>
        </w:rPr>
        <w:t>屠宰加工工业废水中含有大量的油脂，油脂进入处理系统会对设施造成诸如阻塞水泵、隔绝空气层等的危害，在进入设施前利用气浮机将油脂及未拦截的细绒毛去除，是目前禽畜类加工行业废水处理工程中的常用方式。</w:t>
      </w:r>
    </w:p>
    <w:p>
      <w:pPr>
        <w:ind w:firstLine="480"/>
        <w:rPr>
          <w:color w:val="000000" w:themeColor="text1"/>
        </w:rPr>
      </w:pPr>
      <w:r>
        <w:rPr>
          <w:rFonts w:hint="eastAsia"/>
          <w:color w:val="000000" w:themeColor="text1"/>
        </w:rPr>
        <w:t>（4）厌氧池</w:t>
      </w:r>
    </w:p>
    <w:p>
      <w:pPr>
        <w:ind w:firstLine="480"/>
        <w:rPr>
          <w:color w:val="000000" w:themeColor="text1"/>
        </w:rPr>
      </w:pPr>
      <w:r>
        <w:rPr>
          <w:rFonts w:hint="eastAsia"/>
          <w:color w:val="000000" w:themeColor="text1"/>
        </w:rPr>
        <w:t>由于该种污水有机浓度不是很高，根据本公司对低浓度有机污水处理的经验，可以不采用完全厌氧消化处理，仅需采用水解酸化工艺即可。水解酸化过程中起作用的细菌为水解细菌、产酸菌，均在无氧条件下，不需要动力曝气，因而水解酸化池能在无能耗的条件下将有机物部分降解，降低了运行成本；同时酸化水解菌能将大分子的难降解的有机物转化为小分子易降解的有机物，提高后续好氧处理单元的处理效果。采用水解酸化工艺，可大大缩短好氧生化所需的时间；与厌氧相比，不进入产甲烷阶段，产气量少，臭味相对少；同时处理后出水水质更好，既节省了投资，节约了运行成本，又提高了环境效益。</w:t>
      </w:r>
    </w:p>
    <w:p>
      <w:pPr>
        <w:ind w:firstLine="480"/>
        <w:rPr>
          <w:bCs/>
          <w:color w:val="000000" w:themeColor="text1"/>
        </w:rPr>
      </w:pPr>
      <w:r>
        <w:rPr>
          <w:rFonts w:hint="eastAsia"/>
          <w:bCs/>
          <w:color w:val="000000" w:themeColor="text1"/>
        </w:rPr>
        <w:t>（5）接触氧化池</w:t>
      </w:r>
    </w:p>
    <w:p>
      <w:pPr>
        <w:ind w:firstLine="480"/>
        <w:rPr>
          <w:color w:val="000000" w:themeColor="text1"/>
        </w:rPr>
      </w:pPr>
      <w:r>
        <w:rPr>
          <w:rFonts w:hint="eastAsia"/>
          <w:color w:val="000000" w:themeColor="text1"/>
        </w:rPr>
        <w:t>生化处理主要通过好氧处理，在污水中提供足够溶解氧的情况下，依靠好氧微生物的吸附和降解将污水中的绝大部分有机物去除。</w:t>
      </w:r>
    </w:p>
    <w:p>
      <w:pPr>
        <w:ind w:firstLine="480"/>
        <w:rPr>
          <w:color w:val="000000" w:themeColor="text1"/>
        </w:rPr>
      </w:pPr>
      <w:r>
        <w:rPr>
          <w:rFonts w:hint="eastAsia"/>
          <w:color w:val="000000" w:themeColor="text1"/>
        </w:rPr>
        <w:t>在曝气状态下中大量繁殖的活性污泥中微生物以及硝化菌群、磷细菌，降解或吸附水中含碳、氨氮、磷有机污染物质，以达到净化水质的目的。池内设置微孔曝气器，具有良好的氧转移率。</w:t>
      </w:r>
    </w:p>
    <w:p>
      <w:pPr>
        <w:ind w:firstLine="480"/>
        <w:rPr>
          <w:color w:val="000000" w:themeColor="text1"/>
        </w:rPr>
      </w:pPr>
      <w:r>
        <w:rPr>
          <w:rFonts w:hint="eastAsia"/>
          <w:color w:val="000000" w:themeColor="text1"/>
        </w:rPr>
        <w:t>（6）消毒池</w:t>
      </w:r>
    </w:p>
    <w:p>
      <w:pPr>
        <w:ind w:firstLine="480"/>
        <w:rPr>
          <w:color w:val="000000" w:themeColor="text1"/>
        </w:rPr>
      </w:pPr>
      <w:r>
        <w:rPr>
          <w:rFonts w:hint="eastAsia"/>
          <w:color w:val="000000" w:themeColor="text1"/>
        </w:rPr>
        <w:t>污水经生化处理后，部分细菌随污泥沉淀下来外，大部分大肠杆菌、粪便链球菌等致病菌仍然存在污水中，必须进行消毒处理。次氯酸钠法具有投配方便、价格低廉、可靠性高等优点，本污水系统采用次氯酸钠法进行消毒。消毒池采用平流式隔板接触反应装置，以提高接触时间，取得较好的消毒效果。同具有高效的除臭能力。</w:t>
      </w:r>
    </w:p>
    <w:p>
      <w:pPr>
        <w:ind w:firstLine="480"/>
        <w:rPr>
          <w:color w:val="000000" w:themeColor="text1"/>
        </w:rPr>
      </w:pPr>
      <w:r>
        <w:rPr>
          <w:rFonts w:hint="eastAsia"/>
          <w:color w:val="000000" w:themeColor="text1"/>
        </w:rPr>
        <w:t>（7）清水池</w:t>
      </w:r>
    </w:p>
    <w:p>
      <w:pPr>
        <w:ind w:firstLine="480"/>
        <w:rPr>
          <w:color w:val="000000" w:themeColor="text1"/>
          <w:szCs w:val="24"/>
        </w:rPr>
      </w:pPr>
      <w:r>
        <w:rPr>
          <w:rFonts w:hint="eastAsia"/>
          <w:color w:val="000000" w:themeColor="text1"/>
        </w:rPr>
        <w:t>清水池为贮存污水站中净化后的清水，是给水系统中调节水厂均匀供水和满足用户不均匀用水的调蓄构筑物。清水池作用是让过滤后的洁净澄清的滤后水沿着管道流往其内部进行贮存，并在清水中再次投加入消毒液进行一段时间消毒，对水体的大肠杆菌等病菌进行杀灭以达到灭菌的效果。清水池的有效容积包括调节</w:t>
      </w:r>
      <w:r>
        <w:fldChar w:fldCharType="begin"/>
      </w:r>
      <w:r>
        <w:instrText xml:space="preserve"> HYPERLINK "https://baike.so.com/doc/6309877-6523465.html" \t "_blank" </w:instrText>
      </w:r>
      <w:r>
        <w:fldChar w:fldCharType="separate"/>
      </w:r>
      <w:r>
        <w:rPr>
          <w:rStyle w:val="46"/>
          <w:rFonts w:hint="eastAsia" w:ascii="Arial" w:hAnsi="Arial"/>
          <w:color w:val="000000" w:themeColor="text1"/>
          <w:u w:val="none"/>
        </w:rPr>
        <w:t>容积</w:t>
      </w:r>
      <w:r>
        <w:rPr>
          <w:rStyle w:val="46"/>
          <w:rFonts w:hint="eastAsia" w:ascii="Arial" w:hAnsi="Arial"/>
          <w:color w:val="000000" w:themeColor="text1"/>
          <w:u w:val="none"/>
        </w:rPr>
        <w:fldChar w:fldCharType="end"/>
      </w:r>
      <w:r>
        <w:rPr>
          <w:rFonts w:hint="eastAsia"/>
          <w:color w:val="000000" w:themeColor="text1"/>
        </w:rPr>
        <w:t>、消防用水量和水厂自用水和安全储量。水厂的调节容积可凭运转经验，按</w:t>
      </w:r>
      <w:r>
        <w:rPr>
          <w:rFonts w:hint="eastAsia"/>
          <w:color w:val="000000" w:themeColor="text1"/>
          <w:szCs w:val="24"/>
        </w:rPr>
        <w:t>照最高日用水量的估算。</w:t>
      </w:r>
    </w:p>
    <w:p>
      <w:pPr>
        <w:ind w:firstLine="480"/>
        <w:rPr>
          <w:color w:val="000000" w:themeColor="text1"/>
          <w:kern w:val="0"/>
          <w:szCs w:val="24"/>
        </w:rPr>
      </w:pPr>
      <w:r>
        <w:rPr>
          <w:rFonts w:hint="eastAsia"/>
          <w:color w:val="000000" w:themeColor="text1"/>
          <w:szCs w:val="24"/>
        </w:rPr>
        <w:t>综上，项目污水处理工艺是根据项目污水水质特点、运行经验、运行效果、出水水质、投资成本共同确定的，根据地表水环境影响评价小节分析可知，污水出水水质可达到相关标准，因此废水处理措施可行。</w:t>
      </w:r>
    </w:p>
    <w:p>
      <w:pPr>
        <w:pStyle w:val="38"/>
        <w:ind w:firstLine="281"/>
        <w:rPr>
          <w:color w:val="000000" w:themeColor="text1"/>
        </w:rPr>
      </w:pPr>
      <w:bookmarkStart w:id="291" w:name="_Toc6428736"/>
      <w:bookmarkStart w:id="292" w:name="_Toc47375900"/>
      <w:r>
        <w:rPr>
          <w:rFonts w:hint="eastAsia"/>
          <w:color w:val="000000" w:themeColor="text1"/>
        </w:rPr>
        <w:t>7.2.3地下水污染防治措施</w:t>
      </w:r>
      <w:bookmarkEnd w:id="291"/>
      <w:r>
        <w:rPr>
          <w:rFonts w:hint="eastAsia"/>
          <w:color w:val="000000" w:themeColor="text1"/>
        </w:rPr>
        <w:t>及可行性论证</w:t>
      </w:r>
      <w:bookmarkEnd w:id="292"/>
    </w:p>
    <w:p>
      <w:pPr>
        <w:ind w:firstLine="480"/>
        <w:rPr>
          <w:bCs/>
          <w:color w:val="000000" w:themeColor="text1"/>
        </w:rPr>
      </w:pPr>
      <w:r>
        <w:rPr>
          <w:rFonts w:hint="eastAsia"/>
          <w:bCs/>
          <w:color w:val="000000" w:themeColor="text1"/>
        </w:rPr>
        <w:t>（</w:t>
      </w:r>
      <w:r>
        <w:rPr>
          <w:bCs/>
          <w:color w:val="000000" w:themeColor="text1"/>
        </w:rPr>
        <w:t>1</w:t>
      </w:r>
      <w:r>
        <w:rPr>
          <w:rFonts w:hint="eastAsia"/>
          <w:bCs/>
          <w:color w:val="000000" w:themeColor="text1"/>
        </w:rPr>
        <w:t>）各单元防渗工程的设计使用年限不低于相对应设备、管道或建筑物的设计使用年限；</w:t>
      </w:r>
    </w:p>
    <w:p>
      <w:pPr>
        <w:ind w:firstLine="480"/>
        <w:rPr>
          <w:color w:val="000000" w:themeColor="text1"/>
          <w:kern w:val="0"/>
        </w:rPr>
      </w:pPr>
      <w:r>
        <w:rPr>
          <w:rFonts w:hint="eastAsia"/>
          <w:color w:val="000000" w:themeColor="text1"/>
        </w:rPr>
        <w:t>（</w:t>
      </w:r>
      <w:r>
        <w:rPr>
          <w:color w:val="000000" w:themeColor="text1"/>
        </w:rPr>
        <w:t>2</w:t>
      </w:r>
      <w:r>
        <w:rPr>
          <w:rFonts w:hint="eastAsia"/>
          <w:color w:val="000000" w:themeColor="text1"/>
        </w:rPr>
        <w:t>）</w:t>
      </w:r>
      <w:r>
        <w:rPr>
          <w:rFonts w:hint="eastAsia"/>
          <w:color w:val="000000" w:themeColor="text1"/>
          <w:kern w:val="0"/>
        </w:rPr>
        <w:t>防渗分区措施</w:t>
      </w:r>
    </w:p>
    <w:p>
      <w:pPr>
        <w:ind w:firstLine="480"/>
        <w:rPr>
          <w:bCs/>
          <w:color w:val="000000" w:themeColor="text1"/>
          <w:kern w:val="0"/>
          <w:szCs w:val="24"/>
        </w:rPr>
      </w:pPr>
      <w:r>
        <w:rPr>
          <w:rFonts w:hint="eastAsia"/>
          <w:bCs/>
          <w:color w:val="000000" w:themeColor="text1"/>
          <w:kern w:val="0"/>
          <w:szCs w:val="24"/>
        </w:rPr>
        <w:t>生产期地下水环境影响因素主要为生产区硬化地面开裂下渗、排水管道（沟）跑冒滴漏、污水处理站老化破损渗漏等等。以上污染因素如不加以管理，将存在污染物下渗到污染地下水的隐患。</w:t>
      </w:r>
    </w:p>
    <w:p>
      <w:pPr>
        <w:ind w:firstLine="480"/>
        <w:rPr>
          <w:bCs/>
          <w:color w:val="000000" w:themeColor="text1"/>
          <w:kern w:val="0"/>
          <w:szCs w:val="24"/>
        </w:rPr>
      </w:pPr>
      <w:r>
        <w:rPr>
          <w:rFonts w:hint="eastAsia"/>
          <w:bCs/>
          <w:color w:val="000000" w:themeColor="text1"/>
          <w:kern w:val="0"/>
          <w:szCs w:val="24"/>
        </w:rPr>
        <w:t>针对上述可能出现的污染环节，按照</w:t>
      </w:r>
      <w:r>
        <w:rPr>
          <w:bCs/>
          <w:color w:val="000000" w:themeColor="text1"/>
          <w:kern w:val="0"/>
          <w:szCs w:val="24"/>
        </w:rPr>
        <w:t>“</w:t>
      </w:r>
      <w:r>
        <w:rPr>
          <w:rFonts w:hint="eastAsia"/>
          <w:bCs/>
          <w:color w:val="000000" w:themeColor="text1"/>
          <w:kern w:val="0"/>
          <w:szCs w:val="24"/>
        </w:rPr>
        <w:t>源头控制、分区防控、污染监控、应急响应</w:t>
      </w:r>
      <w:r>
        <w:rPr>
          <w:bCs/>
          <w:color w:val="000000" w:themeColor="text1"/>
          <w:kern w:val="0"/>
          <w:szCs w:val="24"/>
        </w:rPr>
        <w:t>”</w:t>
      </w:r>
      <w:r>
        <w:rPr>
          <w:rFonts w:hint="eastAsia"/>
          <w:bCs/>
          <w:color w:val="000000" w:themeColor="text1"/>
          <w:kern w:val="0"/>
          <w:szCs w:val="24"/>
        </w:rPr>
        <w:t>的地下水环境保护原则，参照（</w:t>
      </w:r>
      <w:r>
        <w:rPr>
          <w:bCs/>
          <w:color w:val="000000" w:themeColor="text1"/>
          <w:kern w:val="0"/>
          <w:szCs w:val="24"/>
        </w:rPr>
        <w:t>HJ610-2016</w:t>
      </w:r>
      <w:r>
        <w:rPr>
          <w:rFonts w:hint="eastAsia"/>
          <w:bCs/>
          <w:color w:val="000000" w:themeColor="text1"/>
          <w:kern w:val="0"/>
          <w:szCs w:val="24"/>
        </w:rPr>
        <w:t>）中地下水污染防渗分区参照表（见表7.2.3-1）。</w:t>
      </w:r>
    </w:p>
    <w:p>
      <w:pPr>
        <w:pStyle w:val="54"/>
        <w:rPr>
          <w:bCs/>
          <w:color w:val="000000" w:themeColor="text1"/>
          <w:kern w:val="0"/>
        </w:rPr>
      </w:pPr>
      <w:r>
        <w:rPr>
          <w:rFonts w:hint="eastAsia"/>
          <w:color w:val="000000" w:themeColor="text1"/>
        </w:rPr>
        <w:t>表7.2.3-1</w:t>
      </w:r>
      <w:r>
        <w:rPr>
          <w:color w:val="000000" w:themeColor="text1"/>
        </w:rPr>
        <w:t xml:space="preserve"> </w:t>
      </w:r>
      <w:r>
        <w:rPr>
          <w:rFonts w:hint="eastAsia"/>
          <w:color w:val="000000" w:themeColor="text1"/>
        </w:rPr>
        <w:t xml:space="preserve"> 项目污染防渗分区、防渗标准及要求、具体防渗措施表</w:t>
      </w:r>
    </w:p>
    <w:tbl>
      <w:tblPr>
        <w:tblStyle w:val="42"/>
        <w:tblW w:w="907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65"/>
        <w:gridCol w:w="2176"/>
        <w:gridCol w:w="563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265" w:type="dxa"/>
            <w:tcBorders>
              <w:top w:val="single" w:color="auto" w:sz="6" w:space="0"/>
              <w:left w:val="single" w:color="auto" w:sz="6" w:space="0"/>
              <w:bottom w:val="single" w:color="auto" w:sz="6" w:space="0"/>
              <w:right w:val="single" w:color="000000" w:sz="4" w:space="0"/>
            </w:tcBorders>
            <w:vAlign w:val="center"/>
          </w:tcPr>
          <w:p>
            <w:pPr>
              <w:pStyle w:val="55"/>
              <w:rPr>
                <w:color w:val="000000" w:themeColor="text1"/>
              </w:rPr>
            </w:pPr>
            <w:r>
              <w:rPr>
                <w:rFonts w:hint="eastAsia"/>
                <w:color w:val="000000" w:themeColor="text1"/>
              </w:rPr>
              <w:t>污染防渗区类别</w:t>
            </w:r>
          </w:p>
        </w:tc>
        <w:tc>
          <w:tcPr>
            <w:tcW w:w="2176" w:type="dxa"/>
            <w:tcBorders>
              <w:top w:val="single" w:color="auto" w:sz="6" w:space="0"/>
              <w:left w:val="single" w:color="000000" w:sz="4" w:space="0"/>
              <w:bottom w:val="single" w:color="auto" w:sz="6" w:space="0"/>
              <w:right w:val="single" w:color="auto" w:sz="6" w:space="0"/>
            </w:tcBorders>
            <w:vAlign w:val="center"/>
          </w:tcPr>
          <w:p>
            <w:pPr>
              <w:pStyle w:val="55"/>
              <w:rPr>
                <w:color w:val="000000" w:themeColor="text1"/>
              </w:rPr>
            </w:pPr>
            <w:r>
              <w:rPr>
                <w:rFonts w:hint="eastAsia"/>
                <w:color w:val="000000" w:themeColor="text1"/>
              </w:rPr>
              <w:t>防渗标准及要求</w:t>
            </w:r>
          </w:p>
        </w:tc>
        <w:tc>
          <w:tcPr>
            <w:tcW w:w="5634" w:type="dxa"/>
            <w:tcBorders>
              <w:top w:val="single" w:color="auto" w:sz="6" w:space="0"/>
              <w:left w:val="nil"/>
              <w:bottom w:val="single" w:color="auto" w:sz="6" w:space="0"/>
              <w:right w:val="single" w:color="auto" w:sz="6" w:space="0"/>
            </w:tcBorders>
            <w:vAlign w:val="center"/>
          </w:tcPr>
          <w:p>
            <w:pPr>
              <w:pStyle w:val="55"/>
              <w:rPr>
                <w:color w:val="000000" w:themeColor="text1"/>
              </w:rPr>
            </w:pPr>
            <w:r>
              <w:rPr>
                <w:rFonts w:hint="eastAsia"/>
                <w:color w:val="000000" w:themeColor="text1"/>
              </w:rPr>
              <w:t>具体防渗建议措施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21" w:hRule="atLeast"/>
          <w:jc w:val="center"/>
        </w:trPr>
        <w:tc>
          <w:tcPr>
            <w:tcW w:w="1265"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rPr>
            </w:pPr>
            <w:r>
              <w:rPr>
                <w:rFonts w:hint="eastAsia"/>
                <w:color w:val="000000" w:themeColor="text1"/>
              </w:rPr>
              <w:t>重点防渗区</w:t>
            </w:r>
          </w:p>
        </w:tc>
        <w:tc>
          <w:tcPr>
            <w:tcW w:w="2176" w:type="dxa"/>
            <w:tcBorders>
              <w:top w:val="single" w:color="auto" w:sz="6" w:space="0"/>
              <w:left w:val="nil"/>
              <w:bottom w:val="single" w:color="auto" w:sz="6" w:space="0"/>
              <w:right w:val="single" w:color="auto" w:sz="6" w:space="0"/>
            </w:tcBorders>
            <w:vAlign w:val="center"/>
          </w:tcPr>
          <w:p>
            <w:pPr>
              <w:pStyle w:val="55"/>
              <w:rPr>
                <w:rFonts w:cs="Times New Roman"/>
                <w:color w:val="000000" w:themeColor="text1"/>
              </w:rPr>
            </w:pPr>
            <w:r>
              <w:rPr>
                <w:rFonts w:hint="eastAsia"/>
                <w:color w:val="000000" w:themeColor="text1"/>
              </w:rPr>
              <w:t>等效黏土防渗层厚度</w:t>
            </w:r>
            <w:r>
              <w:rPr>
                <w:color w:val="000000" w:themeColor="text1"/>
              </w:rPr>
              <w:t>Mb≥6m</w:t>
            </w:r>
            <w:r>
              <w:rPr>
                <w:rFonts w:hint="eastAsia"/>
                <w:color w:val="000000" w:themeColor="text1"/>
              </w:rPr>
              <w:t>，</w:t>
            </w:r>
          </w:p>
          <w:p>
            <w:pPr>
              <w:pStyle w:val="55"/>
              <w:rPr>
                <w:color w:val="000000" w:themeColor="text1"/>
              </w:rPr>
            </w:pPr>
            <w:r>
              <w:rPr>
                <w:rFonts w:hint="eastAsia"/>
                <w:color w:val="000000" w:themeColor="text1"/>
              </w:rPr>
              <w:t>渗透系数</w:t>
            </w:r>
          </w:p>
          <w:p>
            <w:pPr>
              <w:pStyle w:val="55"/>
              <w:rPr>
                <w:color w:val="000000" w:themeColor="text1"/>
              </w:rPr>
            </w:pPr>
            <w:r>
              <w:rPr>
                <w:color w:val="000000" w:themeColor="text1"/>
              </w:rPr>
              <w:t>K≤1.0×10</w:t>
            </w:r>
            <w:r>
              <w:rPr>
                <w:color w:val="000000" w:themeColor="text1"/>
                <w:vertAlign w:val="superscript"/>
              </w:rPr>
              <w:t>-7</w:t>
            </w:r>
            <w:r>
              <w:rPr>
                <w:color w:val="000000" w:themeColor="text1"/>
              </w:rPr>
              <w:t>cm/s</w:t>
            </w:r>
          </w:p>
        </w:tc>
        <w:tc>
          <w:tcPr>
            <w:tcW w:w="5634" w:type="dxa"/>
            <w:tcBorders>
              <w:top w:val="single" w:color="auto" w:sz="6" w:space="0"/>
              <w:left w:val="nil"/>
              <w:bottom w:val="single" w:color="auto" w:sz="6" w:space="0"/>
              <w:right w:val="single" w:color="auto" w:sz="6" w:space="0"/>
            </w:tcBorders>
            <w:vAlign w:val="center"/>
          </w:tcPr>
          <w:p>
            <w:pPr>
              <w:pStyle w:val="55"/>
              <w:rPr>
                <w:color w:val="000000" w:themeColor="text1"/>
              </w:rPr>
            </w:pPr>
            <w:r>
              <w:rPr>
                <w:rFonts w:hint="eastAsia"/>
                <w:color w:val="000000" w:themeColor="text1"/>
              </w:rPr>
              <w:t>用水泥地面（厚度不小于</w:t>
            </w:r>
            <w:r>
              <w:rPr>
                <w:color w:val="000000" w:themeColor="text1"/>
              </w:rPr>
              <w:t>15cm</w:t>
            </w:r>
            <w:r>
              <w:rPr>
                <w:rFonts w:hint="eastAsia"/>
                <w:color w:val="000000" w:themeColor="text1"/>
              </w:rPr>
              <w:t>）</w:t>
            </w:r>
            <w:r>
              <w:rPr>
                <w:color w:val="000000" w:themeColor="text1"/>
              </w:rPr>
              <w:t>+3</w:t>
            </w:r>
            <w:r>
              <w:rPr>
                <w:rFonts w:hint="eastAsia"/>
                <w:color w:val="000000" w:themeColor="text1"/>
              </w:rPr>
              <w:t>层玻璃钢</w:t>
            </w:r>
            <w:r>
              <w:rPr>
                <w:color w:val="000000" w:themeColor="text1"/>
              </w:rPr>
              <w:t>+</w:t>
            </w:r>
            <w:r>
              <w:rPr>
                <w:rFonts w:hint="eastAsia"/>
                <w:color w:val="000000" w:themeColor="text1"/>
              </w:rPr>
              <w:t>地砖方式。地面采用</w:t>
            </w:r>
            <w:r>
              <w:rPr>
                <w:color w:val="000000" w:themeColor="text1"/>
              </w:rPr>
              <w:t>300#</w:t>
            </w:r>
            <w:r>
              <w:rPr>
                <w:rFonts w:hint="eastAsia"/>
                <w:color w:val="000000" w:themeColor="text1"/>
              </w:rPr>
              <w:t>混凝土地面，地面清洗晾干后首先在其表面铺设</w:t>
            </w:r>
            <w:r>
              <w:rPr>
                <w:color w:val="000000" w:themeColor="text1"/>
              </w:rPr>
              <w:t>1</w:t>
            </w:r>
            <w:r>
              <w:rPr>
                <w:rFonts w:hint="eastAsia"/>
                <w:color w:val="000000" w:themeColor="text1"/>
              </w:rPr>
              <w:t>层玻璃钢，待其晾干后再铺设第</w:t>
            </w:r>
            <w:r>
              <w:rPr>
                <w:color w:val="000000" w:themeColor="text1"/>
              </w:rPr>
              <w:t>2</w:t>
            </w:r>
            <w:r>
              <w:rPr>
                <w:rFonts w:hint="eastAsia"/>
                <w:color w:val="000000" w:themeColor="text1"/>
              </w:rPr>
              <w:t>层玻璃钢，然后再晾干后铺设第</w:t>
            </w:r>
            <w:r>
              <w:rPr>
                <w:color w:val="000000" w:themeColor="text1"/>
              </w:rPr>
              <w:t>3</w:t>
            </w:r>
            <w:r>
              <w:rPr>
                <w:rFonts w:hint="eastAsia"/>
                <w:color w:val="000000" w:themeColor="text1"/>
              </w:rPr>
              <w:t>层玻璃钢，玻璃钢晾干后再在其表面铺设</w:t>
            </w:r>
            <w:r>
              <w:rPr>
                <w:color w:val="000000" w:themeColor="text1"/>
              </w:rPr>
              <w:t>300×300mm</w:t>
            </w:r>
            <w:r>
              <w:rPr>
                <w:rFonts w:hint="eastAsia"/>
                <w:color w:val="000000" w:themeColor="text1"/>
              </w:rPr>
              <w:t>或</w:t>
            </w:r>
            <w:r>
              <w:rPr>
                <w:color w:val="000000" w:themeColor="text1"/>
              </w:rPr>
              <w:t>500×500mm</w:t>
            </w:r>
            <w:r>
              <w:rPr>
                <w:rFonts w:hint="eastAsia"/>
                <w:color w:val="000000" w:themeColor="text1"/>
              </w:rPr>
              <w:t>防酸碱地砖。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265"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rPr>
            </w:pPr>
            <w:r>
              <w:rPr>
                <w:rFonts w:hint="eastAsia"/>
                <w:color w:val="000000" w:themeColor="text1"/>
              </w:rPr>
              <w:t>一般防渗区</w:t>
            </w:r>
          </w:p>
        </w:tc>
        <w:tc>
          <w:tcPr>
            <w:tcW w:w="2176" w:type="dxa"/>
            <w:tcBorders>
              <w:top w:val="single" w:color="auto" w:sz="6" w:space="0"/>
              <w:left w:val="nil"/>
              <w:bottom w:val="single" w:color="auto" w:sz="6" w:space="0"/>
              <w:right w:val="single" w:color="auto" w:sz="6" w:space="0"/>
            </w:tcBorders>
            <w:vAlign w:val="center"/>
          </w:tcPr>
          <w:p>
            <w:pPr>
              <w:pStyle w:val="55"/>
              <w:rPr>
                <w:rFonts w:cs="Times New Roman"/>
                <w:color w:val="000000" w:themeColor="text1"/>
              </w:rPr>
            </w:pPr>
            <w:r>
              <w:rPr>
                <w:rFonts w:hint="eastAsia"/>
                <w:color w:val="000000" w:themeColor="text1"/>
              </w:rPr>
              <w:t>等效黏土防渗层厚度</w:t>
            </w:r>
            <w:r>
              <w:rPr>
                <w:color w:val="000000" w:themeColor="text1"/>
              </w:rPr>
              <w:t>Mb≥1.5m</w:t>
            </w:r>
            <w:r>
              <w:rPr>
                <w:rFonts w:hint="eastAsia"/>
                <w:color w:val="000000" w:themeColor="text1"/>
              </w:rPr>
              <w:t>，</w:t>
            </w:r>
            <w:r>
              <w:rPr>
                <w:color w:val="000000" w:themeColor="text1"/>
              </w:rPr>
              <w:t xml:space="preserve"> </w:t>
            </w:r>
            <w:r>
              <w:rPr>
                <w:rFonts w:hint="eastAsia"/>
                <w:color w:val="000000" w:themeColor="text1"/>
              </w:rPr>
              <w:t>渗透系数</w:t>
            </w:r>
          </w:p>
          <w:p>
            <w:pPr>
              <w:pStyle w:val="55"/>
              <w:rPr>
                <w:color w:val="000000" w:themeColor="text1"/>
              </w:rPr>
            </w:pPr>
            <w:r>
              <w:rPr>
                <w:color w:val="000000" w:themeColor="text1"/>
              </w:rPr>
              <w:t>K≤1.0×10</w:t>
            </w:r>
            <w:r>
              <w:rPr>
                <w:color w:val="000000" w:themeColor="text1"/>
                <w:vertAlign w:val="superscript"/>
              </w:rPr>
              <w:t>-7</w:t>
            </w:r>
            <w:r>
              <w:rPr>
                <w:color w:val="000000" w:themeColor="text1"/>
              </w:rPr>
              <w:t>cm/s</w:t>
            </w:r>
          </w:p>
        </w:tc>
        <w:tc>
          <w:tcPr>
            <w:tcW w:w="5634" w:type="dxa"/>
            <w:tcBorders>
              <w:top w:val="single" w:color="auto" w:sz="6" w:space="0"/>
              <w:left w:val="nil"/>
              <w:bottom w:val="single" w:color="auto" w:sz="6" w:space="0"/>
              <w:right w:val="single" w:color="auto" w:sz="6" w:space="0"/>
            </w:tcBorders>
            <w:vAlign w:val="center"/>
          </w:tcPr>
          <w:p>
            <w:pPr>
              <w:pStyle w:val="55"/>
              <w:rPr>
                <w:color w:val="000000" w:themeColor="text1"/>
              </w:rPr>
            </w:pPr>
            <w:r>
              <w:rPr>
                <w:rFonts w:hint="eastAsia"/>
                <w:color w:val="000000" w:themeColor="text1"/>
              </w:rPr>
              <w:t>用水泥地面（厚度不小于</w:t>
            </w:r>
            <w:r>
              <w:rPr>
                <w:color w:val="000000" w:themeColor="text1"/>
              </w:rPr>
              <w:t>15cm</w:t>
            </w:r>
            <w:r>
              <w:rPr>
                <w:rFonts w:hint="eastAsia"/>
                <w:color w:val="000000" w:themeColor="text1"/>
              </w:rPr>
              <w:t>）</w:t>
            </w:r>
            <w:r>
              <w:rPr>
                <w:color w:val="000000" w:themeColor="text1"/>
              </w:rPr>
              <w:t>+2</w:t>
            </w:r>
            <w:r>
              <w:rPr>
                <w:rFonts w:hint="eastAsia"/>
                <w:color w:val="000000" w:themeColor="text1"/>
              </w:rPr>
              <w:t>层玻璃钢方式。地面采用</w:t>
            </w:r>
            <w:r>
              <w:rPr>
                <w:color w:val="000000" w:themeColor="text1"/>
              </w:rPr>
              <w:t>300#</w:t>
            </w:r>
            <w:r>
              <w:rPr>
                <w:rFonts w:hint="eastAsia"/>
                <w:color w:val="000000" w:themeColor="text1"/>
              </w:rPr>
              <w:t>混凝土地面，地面清洗晾干后首先在其表面铺设</w:t>
            </w:r>
            <w:r>
              <w:rPr>
                <w:color w:val="000000" w:themeColor="text1"/>
              </w:rPr>
              <w:t>1</w:t>
            </w:r>
            <w:r>
              <w:rPr>
                <w:rFonts w:hint="eastAsia"/>
                <w:color w:val="000000" w:themeColor="text1"/>
              </w:rPr>
              <w:t>层玻璃钢，待其晾干后再铺设第</w:t>
            </w:r>
            <w:r>
              <w:rPr>
                <w:color w:val="000000" w:themeColor="text1"/>
              </w:rPr>
              <w:t>2</w:t>
            </w:r>
            <w:r>
              <w:rPr>
                <w:rFonts w:hint="eastAsia"/>
                <w:color w:val="000000" w:themeColor="text1"/>
              </w:rPr>
              <w:t>层玻璃钢。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5" w:hRule="atLeast"/>
          <w:jc w:val="center"/>
        </w:trPr>
        <w:tc>
          <w:tcPr>
            <w:tcW w:w="1265"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rPr>
            </w:pPr>
            <w:r>
              <w:rPr>
                <w:rFonts w:hint="eastAsia"/>
                <w:color w:val="000000" w:themeColor="text1"/>
              </w:rPr>
              <w:t>简单防渗区</w:t>
            </w:r>
          </w:p>
        </w:tc>
        <w:tc>
          <w:tcPr>
            <w:tcW w:w="2176" w:type="dxa"/>
            <w:tcBorders>
              <w:top w:val="single" w:color="auto" w:sz="6" w:space="0"/>
              <w:left w:val="single" w:color="000000" w:sz="4" w:space="0"/>
              <w:bottom w:val="single" w:color="auto" w:sz="6" w:space="0"/>
              <w:right w:val="single" w:color="auto" w:sz="6" w:space="0"/>
            </w:tcBorders>
            <w:vAlign w:val="center"/>
          </w:tcPr>
          <w:p>
            <w:pPr>
              <w:pStyle w:val="55"/>
              <w:rPr>
                <w:color w:val="000000" w:themeColor="text1"/>
              </w:rPr>
            </w:pPr>
            <w:r>
              <w:rPr>
                <w:rFonts w:hint="eastAsia"/>
                <w:color w:val="000000" w:themeColor="text1"/>
              </w:rPr>
              <w:t>地面采用混凝土硬化</w:t>
            </w:r>
          </w:p>
        </w:tc>
        <w:tc>
          <w:tcPr>
            <w:tcW w:w="5634" w:type="dxa"/>
            <w:tcBorders>
              <w:top w:val="single" w:color="auto" w:sz="6" w:space="0"/>
              <w:left w:val="nil"/>
              <w:bottom w:val="single" w:color="auto" w:sz="6" w:space="0"/>
              <w:right w:val="single" w:color="auto" w:sz="6" w:space="0"/>
            </w:tcBorders>
            <w:vAlign w:val="center"/>
          </w:tcPr>
          <w:p>
            <w:pPr>
              <w:pStyle w:val="55"/>
              <w:rPr>
                <w:color w:val="000000" w:themeColor="text1"/>
              </w:rPr>
            </w:pPr>
            <w:r>
              <w:rPr>
                <w:rFonts w:hint="eastAsia"/>
                <w:color w:val="000000" w:themeColor="text1"/>
              </w:rPr>
              <w:t>地面采用混凝土硬化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265" w:type="dxa"/>
            <w:tcBorders>
              <w:top w:val="single" w:color="auto" w:sz="6" w:space="0"/>
              <w:left w:val="single" w:color="auto" w:sz="6" w:space="0"/>
              <w:bottom w:val="single" w:color="auto" w:sz="6" w:space="0"/>
              <w:right w:val="single" w:color="auto" w:sz="6" w:space="0"/>
            </w:tcBorders>
            <w:vAlign w:val="center"/>
          </w:tcPr>
          <w:p>
            <w:pPr>
              <w:pStyle w:val="55"/>
              <w:rPr>
                <w:color w:val="000000" w:themeColor="text1"/>
              </w:rPr>
            </w:pPr>
            <w:r>
              <w:rPr>
                <w:rFonts w:hint="eastAsia"/>
                <w:color w:val="000000" w:themeColor="text1"/>
              </w:rPr>
              <w:t>备注</w:t>
            </w:r>
          </w:p>
        </w:tc>
        <w:tc>
          <w:tcPr>
            <w:tcW w:w="7810" w:type="dxa"/>
            <w:gridSpan w:val="2"/>
            <w:tcBorders>
              <w:top w:val="single" w:color="auto" w:sz="6" w:space="0"/>
              <w:left w:val="single" w:color="000000" w:sz="4" w:space="0"/>
              <w:bottom w:val="single" w:color="auto" w:sz="6" w:space="0"/>
              <w:right w:val="single" w:color="auto" w:sz="6" w:space="0"/>
            </w:tcBorders>
            <w:vAlign w:val="center"/>
          </w:tcPr>
          <w:p>
            <w:pPr>
              <w:pStyle w:val="55"/>
              <w:rPr>
                <w:color w:val="000000" w:themeColor="text1"/>
              </w:rPr>
            </w:pPr>
            <w:r>
              <w:rPr>
                <w:rFonts w:hint="eastAsia"/>
                <w:color w:val="000000" w:themeColor="text1"/>
              </w:rPr>
              <w:t>厂区具体防渗措施为建议措施，具体防渗措施须根据实际设计要求实施，但须达到环评提出的防渗标准及要求</w:t>
            </w:r>
          </w:p>
        </w:tc>
      </w:tr>
    </w:tbl>
    <w:p>
      <w:pPr>
        <w:ind w:firstLine="480"/>
        <w:rPr>
          <w:rFonts w:cs="Times New Roman"/>
          <w:bCs/>
          <w:color w:val="000000" w:themeColor="text1"/>
          <w:kern w:val="0"/>
          <w:szCs w:val="24"/>
        </w:rPr>
      </w:pPr>
      <w:r>
        <w:rPr>
          <w:rFonts w:hint="eastAsia"/>
          <w:bCs/>
          <w:color w:val="000000" w:themeColor="text1"/>
          <w:kern w:val="0"/>
          <w:szCs w:val="24"/>
        </w:rPr>
        <w:t>根据对照表7.2.3-1中的要求，企业将场区划分为重点防渗区、一般防渗区和简单防渗区。</w:t>
      </w:r>
    </w:p>
    <w:p>
      <w:pPr>
        <w:ind w:firstLine="480"/>
        <w:rPr>
          <w:bCs/>
          <w:color w:val="000000" w:themeColor="text1"/>
          <w:kern w:val="0"/>
          <w:szCs w:val="24"/>
        </w:rPr>
      </w:pPr>
      <w:r>
        <w:rPr>
          <w:rFonts w:hint="eastAsia" w:ascii="宋体" w:hAnsi="宋体" w:cs="宋体"/>
          <w:bCs/>
          <w:color w:val="000000" w:themeColor="text1"/>
          <w:kern w:val="0"/>
          <w:szCs w:val="24"/>
        </w:rPr>
        <w:t>①</w:t>
      </w:r>
      <w:r>
        <w:rPr>
          <w:rFonts w:hint="eastAsia"/>
          <w:bCs/>
          <w:color w:val="000000" w:themeColor="text1"/>
          <w:kern w:val="0"/>
          <w:szCs w:val="24"/>
        </w:rPr>
        <w:t>重点防渗区：主要为厂区内的污水处理站、化粪池、粪便暂存间，防渗层的防渗性能应等效于厚度</w:t>
      </w:r>
      <w:r>
        <w:rPr>
          <w:bCs/>
          <w:color w:val="000000" w:themeColor="text1"/>
          <w:kern w:val="0"/>
          <w:szCs w:val="24"/>
        </w:rPr>
        <w:t>≥6m</w:t>
      </w:r>
      <w:r>
        <w:rPr>
          <w:rFonts w:hint="eastAsia"/>
          <w:bCs/>
          <w:color w:val="000000" w:themeColor="text1"/>
          <w:kern w:val="0"/>
          <w:szCs w:val="24"/>
        </w:rPr>
        <w:t>，渗透系数</w:t>
      </w:r>
      <w:r>
        <w:rPr>
          <w:bCs/>
          <w:color w:val="000000" w:themeColor="text1"/>
          <w:kern w:val="0"/>
          <w:szCs w:val="24"/>
        </w:rPr>
        <w:t>≤1.0×10</w:t>
      </w:r>
      <w:r>
        <w:rPr>
          <w:bCs/>
          <w:color w:val="000000" w:themeColor="text1"/>
          <w:kern w:val="0"/>
          <w:szCs w:val="24"/>
          <w:vertAlign w:val="superscript"/>
        </w:rPr>
        <w:t>-7</w:t>
      </w:r>
      <w:r>
        <w:rPr>
          <w:bCs/>
          <w:color w:val="000000" w:themeColor="text1"/>
          <w:kern w:val="0"/>
          <w:szCs w:val="24"/>
        </w:rPr>
        <w:t>cm/s</w:t>
      </w:r>
      <w:r>
        <w:rPr>
          <w:rFonts w:hint="eastAsia"/>
          <w:bCs/>
          <w:color w:val="000000" w:themeColor="text1"/>
          <w:kern w:val="0"/>
          <w:szCs w:val="24"/>
        </w:rPr>
        <w:t>的黏土层的防渗性能。</w:t>
      </w:r>
    </w:p>
    <w:p>
      <w:pPr>
        <w:ind w:firstLine="480"/>
        <w:rPr>
          <w:bCs/>
          <w:color w:val="000000" w:themeColor="text1"/>
          <w:kern w:val="0"/>
          <w:szCs w:val="24"/>
        </w:rPr>
      </w:pPr>
      <w:r>
        <w:rPr>
          <w:rFonts w:hint="eastAsia" w:ascii="宋体" w:hAnsi="宋体" w:cs="宋体"/>
          <w:bCs/>
          <w:color w:val="000000" w:themeColor="text1"/>
          <w:kern w:val="0"/>
          <w:szCs w:val="24"/>
        </w:rPr>
        <w:t>②</w:t>
      </w:r>
      <w:r>
        <w:rPr>
          <w:rFonts w:hint="eastAsia"/>
          <w:bCs/>
          <w:color w:val="000000" w:themeColor="text1"/>
          <w:kern w:val="0"/>
          <w:szCs w:val="24"/>
        </w:rPr>
        <w:t>一般防渗区：主要为屠宰间、待宰间等，防渗层的防渗性能应等效于厚度</w:t>
      </w:r>
      <w:r>
        <w:rPr>
          <w:bCs/>
          <w:color w:val="000000" w:themeColor="text1"/>
          <w:kern w:val="0"/>
          <w:szCs w:val="24"/>
        </w:rPr>
        <w:t>≥1.5m</w:t>
      </w:r>
      <w:r>
        <w:rPr>
          <w:rFonts w:hint="eastAsia"/>
          <w:bCs/>
          <w:color w:val="000000" w:themeColor="text1"/>
          <w:kern w:val="0"/>
          <w:szCs w:val="24"/>
        </w:rPr>
        <w:t>，渗透系数</w:t>
      </w:r>
      <w:r>
        <w:rPr>
          <w:bCs/>
          <w:color w:val="000000" w:themeColor="text1"/>
          <w:kern w:val="0"/>
          <w:szCs w:val="24"/>
        </w:rPr>
        <w:t>≤1.0×10</w:t>
      </w:r>
      <w:r>
        <w:rPr>
          <w:bCs/>
          <w:color w:val="000000" w:themeColor="text1"/>
          <w:kern w:val="0"/>
          <w:szCs w:val="24"/>
          <w:vertAlign w:val="superscript"/>
        </w:rPr>
        <w:t>-7</w:t>
      </w:r>
      <w:r>
        <w:rPr>
          <w:bCs/>
          <w:color w:val="000000" w:themeColor="text1"/>
          <w:kern w:val="0"/>
          <w:szCs w:val="24"/>
        </w:rPr>
        <w:t>cm/s</w:t>
      </w:r>
      <w:r>
        <w:rPr>
          <w:rFonts w:hint="eastAsia"/>
          <w:bCs/>
          <w:color w:val="000000" w:themeColor="text1"/>
          <w:kern w:val="0"/>
          <w:szCs w:val="24"/>
        </w:rPr>
        <w:t>的黏土层的防渗性能。</w:t>
      </w:r>
    </w:p>
    <w:p>
      <w:pPr>
        <w:ind w:firstLine="480"/>
        <w:rPr>
          <w:bCs/>
          <w:color w:val="000000" w:themeColor="text1"/>
          <w:kern w:val="0"/>
          <w:szCs w:val="24"/>
        </w:rPr>
      </w:pPr>
      <w:r>
        <w:rPr>
          <w:rFonts w:hint="eastAsia" w:ascii="宋体" w:hAnsi="宋体" w:cs="宋体"/>
          <w:bCs/>
          <w:color w:val="000000" w:themeColor="text1"/>
          <w:kern w:val="0"/>
          <w:szCs w:val="24"/>
        </w:rPr>
        <w:t>③</w:t>
      </w:r>
      <w:r>
        <w:rPr>
          <w:rFonts w:hint="eastAsia"/>
          <w:bCs/>
          <w:color w:val="000000" w:themeColor="text1"/>
          <w:kern w:val="0"/>
          <w:szCs w:val="24"/>
        </w:rPr>
        <w:t>简单防渗区：主要为生活办公区，地面采用混凝土硬化。</w:t>
      </w:r>
    </w:p>
    <w:p>
      <w:pPr>
        <w:ind w:firstLine="480"/>
        <w:rPr>
          <w:bCs/>
          <w:color w:val="000000" w:themeColor="text1"/>
        </w:rPr>
      </w:pPr>
      <w:r>
        <w:rPr>
          <w:rFonts w:hint="eastAsia"/>
          <w:bCs/>
          <w:color w:val="000000" w:themeColor="text1"/>
        </w:rPr>
        <w:t>（</w:t>
      </w:r>
      <w:r>
        <w:rPr>
          <w:bCs/>
          <w:color w:val="000000" w:themeColor="text1"/>
        </w:rPr>
        <w:t>3</w:t>
      </w:r>
      <w:r>
        <w:rPr>
          <w:rFonts w:hint="eastAsia"/>
          <w:bCs/>
          <w:color w:val="000000" w:themeColor="text1"/>
        </w:rPr>
        <w:t>）厂区绿化以外的用地应全部进行硬化处理，实现厂区不见黄土；</w:t>
      </w:r>
    </w:p>
    <w:p>
      <w:pPr>
        <w:ind w:firstLine="480"/>
        <w:rPr>
          <w:bCs/>
          <w:color w:val="000000" w:themeColor="text1"/>
        </w:rPr>
      </w:pPr>
      <w:r>
        <w:rPr>
          <w:rFonts w:hint="eastAsia"/>
          <w:bCs/>
          <w:color w:val="000000" w:themeColor="text1"/>
        </w:rPr>
        <w:t>（</w:t>
      </w:r>
      <w:r>
        <w:rPr>
          <w:bCs/>
          <w:color w:val="000000" w:themeColor="text1"/>
        </w:rPr>
        <w:t>4</w:t>
      </w:r>
      <w:r>
        <w:rPr>
          <w:rFonts w:hint="eastAsia"/>
          <w:bCs/>
          <w:color w:val="000000" w:themeColor="text1"/>
        </w:rPr>
        <w:t>）加强厂区防渗，防腐设施的检查，维修力度，确保防渗措施；</w:t>
      </w:r>
    </w:p>
    <w:p>
      <w:pPr>
        <w:pStyle w:val="146"/>
        <w:rPr>
          <w:bCs/>
          <w:color w:val="000000" w:themeColor="text1"/>
          <w:kern w:val="0"/>
        </w:rPr>
      </w:pPr>
      <w:r>
        <w:rPr>
          <w:rFonts w:hint="eastAsia"/>
          <w:bCs/>
          <w:color w:val="000000" w:themeColor="text1"/>
          <w:kern w:val="0"/>
        </w:rPr>
        <w:t>（</w:t>
      </w:r>
      <w:r>
        <w:rPr>
          <w:bCs/>
          <w:color w:val="000000" w:themeColor="text1"/>
          <w:kern w:val="0"/>
        </w:rPr>
        <w:t>5</w:t>
      </w:r>
      <w:r>
        <w:rPr>
          <w:rFonts w:hint="eastAsia"/>
          <w:bCs/>
          <w:color w:val="000000" w:themeColor="text1"/>
          <w:kern w:val="0"/>
        </w:rPr>
        <w:t>）建立地下水监控系统，</w:t>
      </w:r>
      <w:r>
        <w:rPr>
          <w:rFonts w:hint="eastAsia"/>
          <w:bCs/>
          <w:color w:val="000000" w:themeColor="text1"/>
        </w:rPr>
        <w:t>包括科学</w:t>
      </w:r>
      <w:r>
        <w:rPr>
          <w:rFonts w:hint="eastAsia"/>
          <w:bCs/>
          <w:color w:val="000000" w:themeColor="text1"/>
          <w:kern w:val="0"/>
        </w:rPr>
        <w:t>、合理的设置地下水污染监控井，建立完善的监测制度，配备先进的检测仪器和设备，以便及时发现，及时控制，并且监测结果应按项目有关规定及时建立档案，并抄送环境保护行政主管部门，对于常规检测数据应进行公开，满足法律中关于知情权的要求。发现污染和水质恶化时，要及时进行处理，开展系统调查，并上报有关部门。</w:t>
      </w:r>
    </w:p>
    <w:p>
      <w:pPr>
        <w:ind w:firstLine="480"/>
        <w:rPr>
          <w:color w:val="000000" w:themeColor="text1"/>
          <w:kern w:val="0"/>
        </w:rPr>
      </w:pPr>
      <w:r>
        <w:rPr>
          <w:rFonts w:hint="eastAsia"/>
          <w:bCs/>
          <w:color w:val="000000" w:themeColor="text1"/>
          <w:kern w:val="0"/>
        </w:rPr>
        <w:t>本项目</w:t>
      </w:r>
      <w:r>
        <w:rPr>
          <w:rFonts w:hint="eastAsia"/>
          <w:color w:val="000000" w:themeColor="text1"/>
        </w:rPr>
        <w:t>营运后，污水站系统各构筑物、粪便暂存间、污水管网、车间等存在下渗污染地下水的隐患，评价针对污染途径采取相应的防渗措施，详见表6.2.2-1。正常情况下厂区防渗达到相关规定要求，不会有污废水处理装置或其它物料暴露而发生渗漏至地下水的情景发生。项目拟派专门的管理人员定期排查项目的分区防渗措施，若有防渗破损的情况下可及时发现并进行修复，根据地下水影响预测可知，越短时间的泄露对环境的影响越可控。</w:t>
      </w:r>
    </w:p>
    <w:p>
      <w:pPr>
        <w:pStyle w:val="38"/>
        <w:ind w:firstLine="281"/>
        <w:rPr>
          <w:color w:val="000000" w:themeColor="text1"/>
        </w:rPr>
      </w:pPr>
      <w:bookmarkStart w:id="293" w:name="_Toc6428737"/>
      <w:bookmarkStart w:id="294" w:name="_Toc401477771"/>
      <w:bookmarkStart w:id="295" w:name="_Toc47375901"/>
      <w:r>
        <w:rPr>
          <w:rFonts w:hint="eastAsia"/>
          <w:color w:val="000000" w:themeColor="text1"/>
        </w:rPr>
        <w:t>7.2.4噪声污染防治措施</w:t>
      </w:r>
      <w:bookmarkEnd w:id="293"/>
      <w:bookmarkEnd w:id="294"/>
      <w:r>
        <w:rPr>
          <w:rFonts w:hint="eastAsia"/>
          <w:color w:val="000000" w:themeColor="text1"/>
        </w:rPr>
        <w:t>及可行性论证</w:t>
      </w:r>
      <w:bookmarkEnd w:id="295"/>
    </w:p>
    <w:p>
      <w:pPr>
        <w:ind w:firstLine="480"/>
        <w:rPr>
          <w:color w:val="000000" w:themeColor="text1"/>
        </w:rPr>
      </w:pPr>
      <w:r>
        <w:rPr>
          <w:rFonts w:hint="eastAsia"/>
          <w:color w:val="000000" w:themeColor="text1"/>
        </w:rPr>
        <w:t>（1）在选用和购买设备时，采用生产效率高且噪声值低的先进性设备，从源头上减小噪声；</w:t>
      </w:r>
    </w:p>
    <w:p>
      <w:pPr>
        <w:ind w:firstLine="480"/>
        <w:rPr>
          <w:color w:val="000000" w:themeColor="text1"/>
        </w:rPr>
      </w:pPr>
      <w:r>
        <w:rPr>
          <w:rFonts w:hint="eastAsia"/>
          <w:color w:val="000000" w:themeColor="text1"/>
        </w:rPr>
        <w:t>（2）各种风机进出口加装消声器及用软管连接，并采用减振底座，确保厂界噪声排放达标；</w:t>
      </w:r>
    </w:p>
    <w:p>
      <w:pPr>
        <w:ind w:firstLine="480"/>
        <w:rPr>
          <w:color w:val="000000" w:themeColor="text1"/>
        </w:rPr>
      </w:pPr>
      <w:r>
        <w:rPr>
          <w:rFonts w:hint="eastAsia"/>
          <w:color w:val="000000" w:themeColor="text1"/>
        </w:rPr>
        <w:t>（3）水泵进出口加装避震喉，基础增加橡胶减振垫；</w:t>
      </w:r>
    </w:p>
    <w:p>
      <w:pPr>
        <w:ind w:firstLine="480"/>
        <w:rPr>
          <w:color w:val="000000" w:themeColor="text1"/>
        </w:rPr>
      </w:pPr>
      <w:r>
        <w:rPr>
          <w:rFonts w:hint="eastAsia"/>
          <w:color w:val="000000" w:themeColor="text1"/>
        </w:rPr>
        <w:t>（4）定期检查风机等设备噪声源各零部件的联接螺栓及地脚螺栓是否松动，轴承是否异常磨损或润滑不良等，确保设备在良好状态下工作。</w:t>
      </w:r>
    </w:p>
    <w:p>
      <w:pPr>
        <w:ind w:firstLine="480"/>
        <w:rPr>
          <w:color w:val="000000" w:themeColor="text1"/>
        </w:rPr>
      </w:pPr>
      <w:r>
        <w:rPr>
          <w:rFonts w:hint="eastAsia"/>
          <w:color w:val="000000" w:themeColor="text1"/>
        </w:rPr>
        <w:t>（5）加强生产区的绿化工作，减缓项目生产过程噪声对厂界外的污染影响，确保厂界噪声达标。</w:t>
      </w:r>
    </w:p>
    <w:p>
      <w:pPr>
        <w:ind w:firstLine="480"/>
        <w:rPr>
          <w:color w:val="000000" w:themeColor="text1"/>
        </w:rPr>
      </w:pPr>
      <w:r>
        <w:rPr>
          <w:rFonts w:hint="eastAsia"/>
          <w:bCs/>
          <w:color w:val="000000" w:themeColor="text1"/>
        </w:rPr>
        <w:t>（6）</w:t>
      </w:r>
      <w:r>
        <w:rPr>
          <w:rFonts w:hint="eastAsia"/>
          <w:color w:val="000000" w:themeColor="text1"/>
        </w:rPr>
        <w:t>加强日常维护，保持设备运行状态良好，避免设备不正常运转产生高噪声的现象；</w:t>
      </w:r>
    </w:p>
    <w:p>
      <w:pPr>
        <w:ind w:firstLine="480"/>
        <w:rPr>
          <w:color w:val="000000" w:themeColor="text1"/>
        </w:rPr>
      </w:pPr>
      <w:r>
        <w:rPr>
          <w:rFonts w:hint="eastAsia"/>
          <w:color w:val="000000" w:themeColor="text1"/>
        </w:rPr>
        <w:t>（7）加强车辆管理，在厂区设置车辆禁鸣标志，严禁夜间车辆鸣笛；</w:t>
      </w:r>
    </w:p>
    <w:p>
      <w:pPr>
        <w:ind w:firstLine="480"/>
        <w:rPr>
          <w:color w:val="000000" w:themeColor="text1"/>
        </w:rPr>
      </w:pPr>
      <w:r>
        <w:rPr>
          <w:rFonts w:hint="eastAsia"/>
          <w:color w:val="000000" w:themeColor="text1"/>
        </w:rPr>
        <w:t>（8）加强人员环保意识教育，提倡文明检测，防止人为噪声。</w:t>
      </w:r>
    </w:p>
    <w:p>
      <w:pPr>
        <w:ind w:firstLine="480"/>
        <w:rPr>
          <w:color w:val="000000" w:themeColor="text1"/>
        </w:rPr>
      </w:pPr>
      <w:r>
        <w:rPr>
          <w:rFonts w:hint="eastAsia"/>
          <w:color w:val="000000" w:themeColor="text1"/>
        </w:rPr>
        <w:t>企业采取以上隔音、消音、减震措施后，经预测可使项目厂界噪声满足《工业企业厂界环境噪声排放标准》(GB12348-2008)中2类标准。以上措施均较为常规可行，不存在技术难度，且在其他工业企业中已广泛应用，另外以上设施经济上较为合理可行，在企业承受范围之内。因此，以上措施无论在经济上还是技术上均为可行的。</w:t>
      </w:r>
    </w:p>
    <w:p>
      <w:pPr>
        <w:pStyle w:val="38"/>
        <w:ind w:firstLine="281"/>
        <w:rPr>
          <w:color w:val="000000" w:themeColor="text1"/>
        </w:rPr>
      </w:pPr>
      <w:bookmarkStart w:id="296" w:name="_Toc6428738"/>
      <w:bookmarkStart w:id="297" w:name="_Toc401477772"/>
      <w:bookmarkStart w:id="298" w:name="_Toc47375902"/>
      <w:r>
        <w:rPr>
          <w:rFonts w:hint="eastAsia"/>
          <w:color w:val="000000" w:themeColor="text1"/>
        </w:rPr>
        <w:t>7.2.5固体废物污染防治措施</w:t>
      </w:r>
      <w:bookmarkEnd w:id="296"/>
      <w:bookmarkEnd w:id="297"/>
      <w:r>
        <w:rPr>
          <w:rFonts w:hint="eastAsia"/>
          <w:color w:val="000000" w:themeColor="text1"/>
        </w:rPr>
        <w:t>及可行性论证</w:t>
      </w:r>
      <w:bookmarkEnd w:id="298"/>
    </w:p>
    <w:p>
      <w:pPr>
        <w:ind w:firstLine="480"/>
        <w:rPr>
          <w:bCs/>
          <w:color w:val="000000" w:themeColor="text1"/>
          <w:kern w:val="0"/>
          <w:szCs w:val="24"/>
        </w:rPr>
      </w:pPr>
      <w:r>
        <w:rPr>
          <w:rFonts w:hint="eastAsia"/>
          <w:color w:val="000000" w:themeColor="text1"/>
          <w:kern w:val="0"/>
        </w:rPr>
        <w:t>（</w:t>
      </w:r>
      <w:r>
        <w:rPr>
          <w:color w:val="000000" w:themeColor="text1"/>
          <w:kern w:val="0"/>
        </w:rPr>
        <w:t>1</w:t>
      </w:r>
      <w:r>
        <w:rPr>
          <w:rFonts w:hint="eastAsia"/>
          <w:color w:val="000000" w:themeColor="text1"/>
          <w:kern w:val="0"/>
        </w:rPr>
        <w:t>）</w:t>
      </w:r>
      <w:r>
        <w:rPr>
          <w:rFonts w:hint="eastAsia"/>
          <w:color w:val="000000" w:themeColor="text1"/>
        </w:rPr>
        <w:t>应严格按照动物防疫法的相关规定执行，对病死猪（鸡）不准宰杀、不准食用、不准出售、不准运载；及时通过焚烧炉焚烧处理，严禁随意丢弃，严禁出售或作为饲料再利用</w:t>
      </w:r>
      <w:r>
        <w:rPr>
          <w:rFonts w:hint="eastAsia"/>
          <w:bCs/>
          <w:color w:val="000000" w:themeColor="text1"/>
          <w:kern w:val="0"/>
          <w:szCs w:val="24"/>
        </w:rPr>
        <w:t>；</w:t>
      </w:r>
    </w:p>
    <w:p>
      <w:pPr>
        <w:ind w:firstLine="480"/>
        <w:rPr>
          <w:color w:val="000000" w:themeColor="text1"/>
        </w:rPr>
      </w:pPr>
      <w:r>
        <w:rPr>
          <w:rFonts w:hint="eastAsia"/>
          <w:color w:val="000000" w:themeColor="text1"/>
        </w:rPr>
        <w:t>（2）粪便暂存间内暂存要求为：①对</w:t>
      </w:r>
      <w:r>
        <w:rPr>
          <w:rFonts w:hint="eastAsia"/>
          <w:bCs/>
          <w:color w:val="000000" w:themeColor="text1"/>
        </w:rPr>
        <w:t>粪便暂存间采取</w:t>
      </w:r>
      <w:r>
        <w:rPr>
          <w:rFonts w:hint="eastAsia"/>
          <w:color w:val="000000" w:themeColor="text1"/>
        </w:rPr>
        <w:t>防雨、防泄漏、防渗、防溢流、防晒等措施，防止雨季雨水进入粪便暂存间而产生渗滤废水；②在粪便暂存池四周设置围堰，防止粪便散露和外围雨水进入粪便暂存池，围堰高度不低于</w:t>
      </w:r>
      <w:r>
        <w:rPr>
          <w:color w:val="000000" w:themeColor="text1"/>
        </w:rPr>
        <w:t>50cm</w:t>
      </w:r>
      <w:r>
        <w:rPr>
          <w:rFonts w:hint="eastAsia"/>
          <w:color w:val="000000" w:themeColor="text1"/>
        </w:rPr>
        <w:t>；③对粪便暂存池设置半封闭措施，防止粪便堆放产生的恶臭对环境造成影响；④对粪便暂存池进行采取有效的防渗处理工艺，</w:t>
      </w:r>
      <w:r>
        <w:rPr>
          <w:rFonts w:hint="eastAsia"/>
          <w:bCs/>
          <w:color w:val="000000" w:themeColor="text1"/>
        </w:rPr>
        <w:t>防渗层为至少</w:t>
      </w:r>
      <w:r>
        <w:rPr>
          <w:bCs/>
          <w:color w:val="000000" w:themeColor="text1"/>
        </w:rPr>
        <w:t>2</w:t>
      </w:r>
      <w:r>
        <w:rPr>
          <w:rFonts w:hint="eastAsia"/>
          <w:bCs/>
          <w:color w:val="000000" w:themeColor="text1"/>
        </w:rPr>
        <w:t>毫米厚高密度聚乙烯，渗透系数</w:t>
      </w:r>
      <w:r>
        <w:rPr>
          <w:bCs/>
          <w:color w:val="000000" w:themeColor="text1"/>
        </w:rPr>
        <w:t>≤10</w:t>
      </w:r>
      <w:r>
        <w:rPr>
          <w:bCs/>
          <w:color w:val="000000" w:themeColor="text1"/>
          <w:vertAlign w:val="superscript"/>
        </w:rPr>
        <w:t>-7</w:t>
      </w:r>
      <w:r>
        <w:rPr>
          <w:bCs/>
          <w:color w:val="000000" w:themeColor="text1"/>
        </w:rPr>
        <w:t>cm/s</w:t>
      </w:r>
      <w:r>
        <w:rPr>
          <w:rFonts w:hint="eastAsia"/>
          <w:color w:val="000000" w:themeColor="text1"/>
        </w:rPr>
        <w:t>。</w:t>
      </w:r>
    </w:p>
    <w:p>
      <w:pPr>
        <w:ind w:firstLine="480"/>
        <w:rPr>
          <w:color w:val="000000" w:themeColor="text1"/>
        </w:rPr>
      </w:pPr>
      <w:r>
        <w:rPr>
          <w:rFonts w:hint="eastAsia"/>
          <w:color w:val="000000" w:themeColor="text1"/>
          <w:kern w:val="0"/>
        </w:rPr>
        <w:t>（3）</w:t>
      </w:r>
      <w:r>
        <w:rPr>
          <w:rFonts w:hint="eastAsia"/>
          <w:color w:val="000000" w:themeColor="text1"/>
        </w:rPr>
        <w:t>无害化焚烧炉残渣属于一般固体废物，</w:t>
      </w:r>
      <w:r>
        <w:rPr>
          <w:rFonts w:hint="eastAsia"/>
          <w:bCs/>
          <w:iCs/>
          <w:color w:val="000000" w:themeColor="text1"/>
          <w:szCs w:val="24"/>
        </w:rPr>
        <w:t>统一收集后运至砚山县垃圾填埋场填埋处置</w:t>
      </w:r>
      <w:r>
        <w:rPr>
          <w:rFonts w:hint="eastAsia"/>
          <w:color w:val="000000" w:themeColor="text1"/>
        </w:rPr>
        <w:t>。</w:t>
      </w:r>
    </w:p>
    <w:p>
      <w:pPr>
        <w:ind w:firstLine="480"/>
        <w:rPr>
          <w:bCs/>
          <w:iCs/>
          <w:color w:val="000000" w:themeColor="text1"/>
          <w:szCs w:val="24"/>
        </w:rPr>
      </w:pPr>
      <w:r>
        <w:rPr>
          <w:rFonts w:hint="eastAsia"/>
          <w:bCs/>
          <w:color w:val="000000" w:themeColor="text1"/>
          <w:kern w:val="0"/>
          <w:szCs w:val="24"/>
        </w:rPr>
        <w:t>（4）</w:t>
      </w:r>
      <w:r>
        <w:rPr>
          <w:rFonts w:hint="eastAsia"/>
          <w:color w:val="000000" w:themeColor="text1"/>
        </w:rPr>
        <w:t>项目污水处理站的栅渣及污泥应定期清掏，清掏后</w:t>
      </w:r>
      <w:r>
        <w:rPr>
          <w:rFonts w:hint="eastAsia"/>
          <w:bCs/>
          <w:iCs/>
          <w:color w:val="000000" w:themeColor="text1"/>
          <w:szCs w:val="24"/>
        </w:rPr>
        <w:t>按照环卫部门要求统一清运处置。</w:t>
      </w:r>
    </w:p>
    <w:p>
      <w:pPr>
        <w:ind w:firstLine="480"/>
        <w:rPr>
          <w:bCs/>
          <w:iCs/>
          <w:color w:val="000000" w:themeColor="text1"/>
          <w:szCs w:val="24"/>
        </w:rPr>
      </w:pPr>
      <w:r>
        <w:rPr>
          <w:rFonts w:hint="eastAsia"/>
          <w:bCs/>
          <w:iCs/>
          <w:color w:val="000000" w:themeColor="text1"/>
          <w:szCs w:val="24"/>
        </w:rPr>
        <w:t>（5）检疫产生的废实验盒属于危险废物，该危险废物由动物卫生监督所的检疫人员带走进行处置。</w:t>
      </w:r>
    </w:p>
    <w:p>
      <w:pPr>
        <w:ind w:firstLine="480"/>
        <w:rPr>
          <w:bCs/>
          <w:iCs/>
          <w:color w:val="000000" w:themeColor="text1"/>
          <w:szCs w:val="24"/>
        </w:rPr>
      </w:pPr>
      <w:r>
        <w:rPr>
          <w:rFonts w:hint="eastAsia"/>
          <w:bCs/>
          <w:iCs/>
          <w:color w:val="000000" w:themeColor="text1"/>
          <w:szCs w:val="24"/>
        </w:rPr>
        <w:t>（6）生活垃圾统一收集后按照环卫部门要求统一清运处置。</w:t>
      </w:r>
    </w:p>
    <w:p>
      <w:pPr>
        <w:ind w:firstLine="480"/>
        <w:rPr>
          <w:color w:val="000000" w:themeColor="text1"/>
          <w:kern w:val="0"/>
        </w:rPr>
      </w:pPr>
      <w:r>
        <w:rPr>
          <w:rFonts w:hint="eastAsia"/>
          <w:color w:val="000000" w:themeColor="text1"/>
          <w:kern w:val="0"/>
        </w:rPr>
        <w:t>本项目各种固体废物均得到合理处置，且本项目加强固体废物产生、收集、贮放各环节的管理，固废分类定点存放，采取相应的防流失、防渗漏措施，避免产生二次污染。因此本项目产生的固体废物经过合理处理和处置后对环境影响较小。</w:t>
      </w:r>
    </w:p>
    <w:p>
      <w:pPr>
        <w:ind w:firstLine="480"/>
        <w:rPr>
          <w:color w:val="000000" w:themeColor="text1"/>
          <w:kern w:val="0"/>
        </w:rPr>
      </w:pPr>
      <w:r>
        <w:rPr>
          <w:rFonts w:hint="eastAsia"/>
          <w:color w:val="000000" w:themeColor="text1"/>
          <w:kern w:val="0"/>
        </w:rPr>
        <w:t>综上所述，本工程产生的固体废物可得到合理处置，而且其场内临时储存、转运等环节严格按《一般固体废物的贮存、处置场污染控制标准》、《危险废物贮存污染控制标准》(GB18597-2001)进行规范处置，杜绝二次污染的发生。采取的污染治理措施技术上是成熟可靠的。</w:t>
      </w:r>
    </w:p>
    <w:p>
      <w:pPr>
        <w:pStyle w:val="38"/>
        <w:ind w:firstLine="281"/>
        <w:rPr>
          <w:color w:val="000000" w:themeColor="text1"/>
        </w:rPr>
      </w:pPr>
      <w:bookmarkStart w:id="299" w:name="_Toc47375903"/>
      <w:bookmarkStart w:id="300" w:name="_Toc6428739"/>
      <w:r>
        <w:rPr>
          <w:rFonts w:hint="eastAsia"/>
          <w:color w:val="000000" w:themeColor="text1"/>
        </w:rPr>
        <w:t>7.2.6环境风险防范措施</w:t>
      </w:r>
      <w:bookmarkEnd w:id="299"/>
    </w:p>
    <w:p>
      <w:pPr>
        <w:ind w:firstLine="480"/>
        <w:rPr>
          <w:color w:val="000000" w:themeColor="text1"/>
        </w:rPr>
      </w:pPr>
      <w:r>
        <w:rPr>
          <w:rFonts w:hint="eastAsia"/>
          <w:color w:val="000000" w:themeColor="text1"/>
        </w:rPr>
        <w:t>（1）公司安全工作实行各级负责制，贯彻“纵向到底，责任到人，横向到边，职责到位”的原则，各级行政负责人和各职能部门在各自工作范围和安全管理责任区域内，按照“谁主管，谁负责”的原则，对安全生产负责，并向各自上级负责。</w:t>
      </w:r>
    </w:p>
    <w:p>
      <w:pPr>
        <w:ind w:firstLine="480"/>
        <w:rPr>
          <w:color w:val="000000" w:themeColor="text1"/>
        </w:rPr>
      </w:pPr>
      <w:r>
        <w:rPr>
          <w:rFonts w:hint="eastAsia"/>
          <w:color w:val="000000" w:themeColor="text1"/>
        </w:rPr>
        <w:t>（2）在设计、施工、生产经营等各方面必须严格执行有关的法律、法规。具体如《中华人民共和国消防法》、《建设设计防火规范》、《仓库防火安全管理规则》等。</w:t>
      </w:r>
    </w:p>
    <w:p>
      <w:pPr>
        <w:ind w:firstLine="480"/>
        <w:rPr>
          <w:color w:val="000000" w:themeColor="text1"/>
        </w:rPr>
      </w:pPr>
      <w:r>
        <w:rPr>
          <w:rFonts w:hint="eastAsia"/>
          <w:color w:val="000000" w:themeColor="text1"/>
        </w:rPr>
        <w:t>（3）设计安全环保科，负责全厂的安全运营，负责人应聘请具有多年实际经验的人才担当，并设置专职安全员；操作工厂必须经岗位考核合格，取得安全作业证；建立完善的安全生产管理制度，加强安全生产的宣传和教育，确保安全生产落实到生产的每一个环节中。</w:t>
      </w:r>
    </w:p>
    <w:p>
      <w:pPr>
        <w:ind w:firstLine="480"/>
        <w:rPr>
          <w:color w:val="000000" w:themeColor="text1"/>
        </w:rPr>
      </w:pPr>
      <w:r>
        <w:rPr>
          <w:rFonts w:hint="eastAsia"/>
          <w:color w:val="000000" w:themeColor="text1"/>
        </w:rPr>
        <w:t>（4）加强车间和成品仓库等的防火、防泄露环保管理，对公司职工进行安全环保的教育和培训，做到持证上岗，减少人为风险事故的发生。</w:t>
      </w:r>
    </w:p>
    <w:p>
      <w:pPr>
        <w:ind w:firstLine="480"/>
        <w:rPr>
          <w:color w:val="000000" w:themeColor="text1"/>
        </w:rPr>
      </w:pPr>
      <w:r>
        <w:rPr>
          <w:rFonts w:hint="eastAsia"/>
          <w:color w:val="000000" w:themeColor="text1"/>
        </w:rPr>
        <w:t>（5）设置专业的污水处理站管理人员，</w:t>
      </w:r>
      <w:r>
        <w:rPr>
          <w:rFonts w:hint="eastAsia"/>
          <w:color w:val="000000" w:themeColor="text1"/>
          <w:szCs w:val="24"/>
        </w:rPr>
        <w:t>加强企业内污水处理站的检修、维护，并保持完好；对工作人员进行安全生产教育和岗位培训，并定期进行理论实践考核，保证工作人员具备必要的安全生产能力，并熟悉安全生产规章制度和安全生产规程</w:t>
      </w:r>
      <w:r>
        <w:rPr>
          <w:rFonts w:hint="eastAsia"/>
          <w:color w:val="000000" w:themeColor="text1"/>
        </w:rPr>
        <w:t>。</w:t>
      </w:r>
    </w:p>
    <w:p>
      <w:pPr>
        <w:ind w:firstLine="480"/>
        <w:rPr>
          <w:color w:val="000000" w:themeColor="text1"/>
        </w:rPr>
      </w:pPr>
      <w:r>
        <w:rPr>
          <w:rFonts w:hint="eastAsia"/>
          <w:color w:val="000000" w:themeColor="text1"/>
        </w:rPr>
        <w:t>（6）应设置专门的危险废物管理制度，定期对工作人员进行培训，加强工作人员环保安全意识，要求所有工作人员按照规范处理危险固废，禁止随意丢弃危险废物。危险废物需及时在厂区内使用环保焚烧炉进行无害化处置。</w:t>
      </w:r>
    </w:p>
    <w:p>
      <w:pPr>
        <w:ind w:firstLine="480"/>
        <w:rPr>
          <w:color w:val="000000" w:themeColor="text1"/>
        </w:rPr>
      </w:pPr>
      <w:r>
        <w:rPr>
          <w:rFonts w:hint="eastAsia"/>
          <w:color w:val="000000" w:themeColor="text1"/>
        </w:rPr>
        <w:t>（7）建立应急预案，并与当地的应急预案衔接，一旦出现事故可借助社会救援，使损失和对环境的污染降到最低。</w:t>
      </w:r>
    </w:p>
    <w:p>
      <w:pPr>
        <w:ind w:firstLine="480"/>
        <w:rPr>
          <w:color w:val="000000" w:themeColor="text1"/>
        </w:rPr>
      </w:pPr>
      <w:r>
        <w:rPr>
          <w:rFonts w:hint="eastAsia"/>
          <w:color w:val="000000" w:themeColor="text1"/>
        </w:rPr>
        <w:t>（8）完善事故应急措施和相关应急物资，指定突发环境事件应急预案并加强演练，杜绝废水事故性排放。</w:t>
      </w:r>
    </w:p>
    <w:p>
      <w:pPr>
        <w:pStyle w:val="38"/>
        <w:ind w:firstLine="281"/>
        <w:rPr>
          <w:color w:val="000000" w:themeColor="text1"/>
        </w:rPr>
      </w:pPr>
      <w:bookmarkStart w:id="301" w:name="_Toc47375904"/>
      <w:r>
        <w:rPr>
          <w:rFonts w:hint="eastAsia"/>
          <w:color w:val="000000" w:themeColor="text1"/>
        </w:rPr>
        <w:t>7.2.7其他</w:t>
      </w:r>
      <w:bookmarkEnd w:id="300"/>
      <w:bookmarkEnd w:id="301"/>
    </w:p>
    <w:p>
      <w:pPr>
        <w:ind w:firstLine="480"/>
        <w:rPr>
          <w:color w:val="000000" w:themeColor="text1"/>
          <w:kern w:val="0"/>
        </w:rPr>
      </w:pPr>
      <w:r>
        <w:rPr>
          <w:rFonts w:hint="eastAsia"/>
          <w:color w:val="000000" w:themeColor="text1"/>
          <w:kern w:val="0"/>
        </w:rPr>
        <w:t>（</w:t>
      </w:r>
      <w:r>
        <w:rPr>
          <w:color w:val="000000" w:themeColor="text1"/>
          <w:kern w:val="0"/>
        </w:rPr>
        <w:t>1</w:t>
      </w:r>
      <w:r>
        <w:rPr>
          <w:rFonts w:hint="eastAsia"/>
          <w:color w:val="000000" w:themeColor="text1"/>
          <w:kern w:val="0"/>
        </w:rPr>
        <w:t>）加强日常环境监督管理及检查维修工作，确保污染治理设施正常运行，保证污染物达标排放，杜绝非正常排放。</w:t>
      </w:r>
    </w:p>
    <w:p>
      <w:pPr>
        <w:ind w:firstLine="480"/>
        <w:rPr>
          <w:color w:val="000000" w:themeColor="text1"/>
          <w:kern w:val="0"/>
        </w:rPr>
      </w:pPr>
      <w:r>
        <w:rPr>
          <w:rFonts w:hint="eastAsia"/>
          <w:color w:val="000000" w:themeColor="text1"/>
          <w:kern w:val="0"/>
        </w:rPr>
        <w:t>（</w:t>
      </w:r>
      <w:r>
        <w:rPr>
          <w:color w:val="000000" w:themeColor="text1"/>
          <w:kern w:val="0"/>
        </w:rPr>
        <w:t>2</w:t>
      </w:r>
      <w:r>
        <w:rPr>
          <w:rFonts w:hint="eastAsia"/>
          <w:color w:val="000000" w:themeColor="text1"/>
          <w:kern w:val="0"/>
        </w:rPr>
        <w:t>）加强安全生产管理工作，制定相应的应急预案，避免发生重大环境安全事故。</w:t>
      </w:r>
    </w:p>
    <w:p>
      <w:pPr>
        <w:ind w:firstLine="480"/>
        <w:rPr>
          <w:color w:val="000000" w:themeColor="text1"/>
          <w:kern w:val="0"/>
        </w:rPr>
      </w:pPr>
      <w:r>
        <w:rPr>
          <w:rFonts w:hint="eastAsia"/>
          <w:color w:val="000000" w:themeColor="text1"/>
          <w:kern w:val="0"/>
        </w:rPr>
        <w:t>（</w:t>
      </w:r>
      <w:r>
        <w:rPr>
          <w:color w:val="000000" w:themeColor="text1"/>
          <w:kern w:val="0"/>
        </w:rPr>
        <w:t>3</w:t>
      </w:r>
      <w:r>
        <w:rPr>
          <w:rFonts w:hint="eastAsia"/>
          <w:color w:val="000000" w:themeColor="text1"/>
          <w:kern w:val="0"/>
        </w:rPr>
        <w:t>）加强职工技能培训，强化岗位操作训练，提高职工整体素质，保证环保措施真正落实。</w:t>
      </w:r>
    </w:p>
    <w:p>
      <w:pPr>
        <w:ind w:firstLine="480"/>
        <w:rPr>
          <w:color w:val="000000" w:themeColor="text1"/>
          <w:kern w:val="0"/>
        </w:rPr>
      </w:pPr>
      <w:r>
        <w:rPr>
          <w:rFonts w:hint="eastAsia"/>
          <w:color w:val="000000" w:themeColor="text1"/>
          <w:kern w:val="0"/>
        </w:rPr>
        <w:t>污染防治措施详见表7.2.7-1。</w:t>
      </w:r>
    </w:p>
    <w:p>
      <w:pPr>
        <w:pStyle w:val="54"/>
        <w:rPr>
          <w:color w:val="000000" w:themeColor="text1"/>
          <w:kern w:val="0"/>
        </w:rPr>
      </w:pPr>
      <w:r>
        <w:rPr>
          <w:rFonts w:hint="eastAsia"/>
          <w:color w:val="000000" w:themeColor="text1"/>
        </w:rPr>
        <w:t>表7.2.7-1</w:t>
      </w:r>
      <w:r>
        <w:rPr>
          <w:color w:val="000000" w:themeColor="text1"/>
        </w:rPr>
        <w:t xml:space="preserve"> </w:t>
      </w:r>
      <w:r>
        <w:rPr>
          <w:rFonts w:hint="eastAsia"/>
          <w:color w:val="000000" w:themeColor="text1"/>
        </w:rPr>
        <w:t xml:space="preserve"> 污染防治措施一览表</w:t>
      </w:r>
    </w:p>
    <w:tbl>
      <w:tblPr>
        <w:tblStyle w:val="42"/>
        <w:tblW w:w="9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363"/>
        <w:gridCol w:w="363"/>
        <w:gridCol w:w="354"/>
        <w:gridCol w:w="7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gridSpan w:val="4"/>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类型</w:t>
            </w:r>
          </w:p>
        </w:tc>
        <w:tc>
          <w:tcPr>
            <w:tcW w:w="77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413"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施工期</w:t>
            </w:r>
          </w:p>
        </w:tc>
        <w:tc>
          <w:tcPr>
            <w:tcW w:w="1080"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废气</w:t>
            </w:r>
          </w:p>
        </w:tc>
        <w:tc>
          <w:tcPr>
            <w:tcW w:w="7717" w:type="dxa"/>
            <w:tcBorders>
              <w:top w:val="single" w:color="auto" w:sz="4" w:space="0"/>
              <w:left w:val="single" w:color="auto" w:sz="4" w:space="0"/>
              <w:bottom w:val="single" w:color="auto" w:sz="4" w:space="0"/>
              <w:right w:val="single" w:color="auto" w:sz="4" w:space="0"/>
            </w:tcBorders>
            <w:vAlign w:val="center"/>
          </w:tcPr>
          <w:p>
            <w:pPr>
              <w:pStyle w:val="55"/>
              <w:jc w:val="both"/>
              <w:rPr>
                <w:color w:val="000000" w:themeColor="text1"/>
              </w:rPr>
            </w:pPr>
            <w:r>
              <w:rPr>
                <w:color w:val="000000" w:themeColor="text1"/>
              </w:rPr>
              <w:fldChar w:fldCharType="begin"/>
            </w:r>
            <w:r>
              <w:rPr>
                <w:color w:val="000000" w:themeColor="text1"/>
              </w:rPr>
              <w:instrText xml:space="preserve">= 1 \* GB3</w:instrText>
            </w:r>
            <w:r>
              <w:rPr>
                <w:color w:val="000000" w:themeColor="text1"/>
              </w:rPr>
              <w:fldChar w:fldCharType="separate"/>
            </w:r>
            <w:r>
              <w:rPr>
                <w:rFonts w:hint="eastAsia" w:ascii="宋体" w:hAnsi="宋体" w:cs="宋体"/>
                <w:color w:val="000000" w:themeColor="text1"/>
              </w:rPr>
              <w:t>①</w:t>
            </w:r>
            <w:r>
              <w:rPr>
                <w:color w:val="000000" w:themeColor="text1"/>
              </w:rPr>
              <w:fldChar w:fldCharType="end"/>
            </w:r>
            <w:r>
              <w:rPr>
                <w:rFonts w:hint="eastAsia"/>
                <w:color w:val="000000" w:themeColor="text1"/>
              </w:rPr>
              <w:t>本项目在建设过程中需要使用的建筑材料，这些建材在装卸、堆放过程中会产生大量粉尘外逸，施工单位必须加强施工区的规划管理，将建筑材料（主要是细砂、石子）的堆场定点定位，并采取防尘抑尘措施，如在大风天气，对散料堆场采用水喷淋防尘，并用蓬布遮盖建筑材料。</w:t>
            </w:r>
          </w:p>
          <w:p>
            <w:pPr>
              <w:pStyle w:val="55"/>
              <w:jc w:val="both"/>
              <w:rPr>
                <w:color w:val="000000" w:themeColor="text1"/>
              </w:rPr>
            </w:pPr>
            <w:r>
              <w:rPr>
                <w:color w:val="000000" w:themeColor="text1"/>
              </w:rPr>
              <w:fldChar w:fldCharType="begin"/>
            </w:r>
            <w:r>
              <w:rPr>
                <w:color w:val="000000" w:themeColor="text1"/>
              </w:rPr>
              <w:instrText xml:space="preserve">= 2 \* GB3</w:instrText>
            </w:r>
            <w:r>
              <w:rPr>
                <w:color w:val="000000" w:themeColor="text1"/>
              </w:rPr>
              <w:fldChar w:fldCharType="separate"/>
            </w:r>
            <w:r>
              <w:rPr>
                <w:rFonts w:hint="eastAsia" w:ascii="宋体" w:hAnsi="宋体" w:cs="宋体"/>
                <w:color w:val="000000" w:themeColor="text1"/>
              </w:rPr>
              <w:t>②</w:t>
            </w:r>
            <w:r>
              <w:rPr>
                <w:color w:val="000000" w:themeColor="text1"/>
              </w:rPr>
              <w:fldChar w:fldCharType="end"/>
            </w:r>
            <w:r>
              <w:rPr>
                <w:rFonts w:hint="eastAsia"/>
                <w:color w:val="000000" w:themeColor="text1"/>
              </w:rPr>
              <w:t>袋装水泥应集中堆放，并设置堆放棚。</w:t>
            </w:r>
          </w:p>
          <w:p>
            <w:pPr>
              <w:pStyle w:val="55"/>
              <w:jc w:val="both"/>
              <w:rPr>
                <w:color w:val="000000" w:themeColor="text1"/>
              </w:rPr>
            </w:pPr>
            <w:r>
              <w:rPr>
                <w:color w:val="000000" w:themeColor="text1"/>
              </w:rPr>
              <w:fldChar w:fldCharType="begin"/>
            </w:r>
            <w:r>
              <w:rPr>
                <w:color w:val="000000" w:themeColor="text1"/>
              </w:rPr>
              <w:instrText xml:space="preserve">= 3 \* GB3</w:instrText>
            </w:r>
            <w:r>
              <w:rPr>
                <w:color w:val="000000" w:themeColor="text1"/>
              </w:rPr>
              <w:fldChar w:fldCharType="separate"/>
            </w:r>
            <w:r>
              <w:rPr>
                <w:rFonts w:hint="eastAsia" w:ascii="宋体" w:hAnsi="宋体" w:cs="宋体"/>
                <w:color w:val="000000" w:themeColor="text1"/>
              </w:rPr>
              <w:t>③</w:t>
            </w:r>
            <w:r>
              <w:rPr>
                <w:color w:val="000000" w:themeColor="text1"/>
              </w:rPr>
              <w:fldChar w:fldCharType="end"/>
            </w:r>
            <w:r>
              <w:rPr>
                <w:rFonts w:hint="eastAsia"/>
                <w:color w:val="000000" w:themeColor="text1"/>
              </w:rPr>
              <w:t>施工期间地面泥尘量大，进出施工现场车辆将使地面起尘，因此运输车辆进出的主干道应定期洒水清扫，保持车辆出入口路面清洁、湿润，以减少汽车轮胎与路面接触而引起的地面扬尘污染，并尽量减缓行驶车速。</w:t>
            </w:r>
          </w:p>
          <w:p>
            <w:pPr>
              <w:pStyle w:val="55"/>
              <w:jc w:val="both"/>
              <w:rPr>
                <w:color w:val="000000" w:themeColor="text1"/>
              </w:rPr>
            </w:pPr>
            <w:r>
              <w:rPr>
                <w:color w:val="000000" w:themeColor="text1"/>
              </w:rPr>
              <w:fldChar w:fldCharType="begin"/>
            </w:r>
            <w:r>
              <w:rPr>
                <w:color w:val="000000" w:themeColor="text1"/>
              </w:rPr>
              <w:instrText xml:space="preserve">= 4 \* GB3</w:instrText>
            </w:r>
            <w:r>
              <w:rPr>
                <w:color w:val="000000" w:themeColor="text1"/>
              </w:rPr>
              <w:fldChar w:fldCharType="separate"/>
            </w:r>
            <w:r>
              <w:rPr>
                <w:rFonts w:hint="eastAsia" w:ascii="宋体" w:hAnsi="宋体" w:cs="宋体"/>
                <w:color w:val="000000" w:themeColor="text1"/>
              </w:rPr>
              <w:t>④</w:t>
            </w:r>
            <w:r>
              <w:rPr>
                <w:color w:val="000000" w:themeColor="text1"/>
              </w:rPr>
              <w:fldChar w:fldCharType="end"/>
            </w:r>
            <w:r>
              <w:rPr>
                <w:rFonts w:hint="eastAsia"/>
                <w:color w:val="000000" w:themeColor="text1"/>
              </w:rPr>
              <w:t>运输沙、石、水泥、垃圾的车辆装载高度应低于车箱上沿，不得超高超载。实行封闭运输，以免车辆颠簸撒漏。坚持文明装卸，避免袋装水泥散包；运输车辆装卸完货后应清洗车厢。施工车辆及运输车辆在驶出施工区之前，需作清泥除尘处理，不得将泥土尘土带出工地。</w:t>
            </w:r>
          </w:p>
          <w:p>
            <w:pPr>
              <w:pStyle w:val="55"/>
              <w:jc w:val="both"/>
              <w:rPr>
                <w:color w:val="000000" w:themeColor="text1"/>
              </w:rPr>
            </w:pPr>
            <w:r>
              <w:rPr>
                <w:color w:val="000000" w:themeColor="text1"/>
              </w:rPr>
              <w:fldChar w:fldCharType="begin"/>
            </w:r>
            <w:r>
              <w:rPr>
                <w:color w:val="000000" w:themeColor="text1"/>
              </w:rPr>
              <w:instrText xml:space="preserve">= 5 \* GB3</w:instrText>
            </w:r>
            <w:r>
              <w:rPr>
                <w:color w:val="000000" w:themeColor="text1"/>
              </w:rPr>
              <w:fldChar w:fldCharType="separate"/>
            </w:r>
            <w:r>
              <w:rPr>
                <w:rFonts w:hint="eastAsia" w:ascii="宋体" w:hAnsi="宋体" w:cs="宋体"/>
                <w:color w:val="000000" w:themeColor="text1"/>
              </w:rPr>
              <w:t>⑤</w:t>
            </w:r>
            <w:r>
              <w:rPr>
                <w:color w:val="000000" w:themeColor="text1"/>
              </w:rPr>
              <w:fldChar w:fldCharType="end"/>
            </w:r>
            <w:r>
              <w:rPr>
                <w:rFonts w:hint="eastAsia"/>
                <w:color w:val="000000" w:themeColor="text1"/>
              </w:rPr>
              <w:t>使用商品混凝土减少施工过程扬尘。</w:t>
            </w:r>
          </w:p>
          <w:p>
            <w:pPr>
              <w:pStyle w:val="55"/>
              <w:jc w:val="both"/>
              <w:rPr>
                <w:color w:val="000000" w:themeColor="text1"/>
              </w:rPr>
            </w:pPr>
            <w:r>
              <w:rPr>
                <w:color w:val="000000" w:themeColor="text1"/>
              </w:rPr>
              <w:fldChar w:fldCharType="begin"/>
            </w:r>
            <w:r>
              <w:rPr>
                <w:color w:val="000000" w:themeColor="text1"/>
              </w:rPr>
              <w:instrText xml:space="preserve">= 6 \* GB3</w:instrText>
            </w:r>
            <w:r>
              <w:rPr>
                <w:color w:val="000000" w:themeColor="text1"/>
              </w:rPr>
              <w:fldChar w:fldCharType="separate"/>
            </w:r>
            <w:r>
              <w:rPr>
                <w:rFonts w:hint="eastAsia" w:ascii="宋体" w:hAnsi="宋体" w:cs="宋体"/>
                <w:color w:val="000000" w:themeColor="text1"/>
              </w:rPr>
              <w:t>⑥</w:t>
            </w:r>
            <w:r>
              <w:rPr>
                <w:color w:val="000000" w:themeColor="text1"/>
              </w:rPr>
              <w:fldChar w:fldCharType="end"/>
            </w:r>
            <w:r>
              <w:rPr>
                <w:rFonts w:hint="eastAsia"/>
                <w:color w:val="000000" w:themeColor="text1"/>
              </w:rPr>
              <w:t>加强对机械、车辆的维修保养，禁止以柴油为燃料的施工机械超负荷工作，减少烟度和颗粒物排放。</w:t>
            </w:r>
          </w:p>
          <w:p>
            <w:pPr>
              <w:pStyle w:val="55"/>
              <w:jc w:val="both"/>
              <w:rPr>
                <w:color w:val="000000" w:themeColor="text1"/>
              </w:rPr>
            </w:pPr>
            <w:r>
              <w:rPr>
                <w:color w:val="000000" w:themeColor="text1"/>
              </w:rPr>
              <w:fldChar w:fldCharType="begin"/>
            </w:r>
            <w:r>
              <w:rPr>
                <w:color w:val="000000" w:themeColor="text1"/>
              </w:rPr>
              <w:instrText xml:space="preserve">= 7 \* GB3</w:instrText>
            </w:r>
            <w:r>
              <w:rPr>
                <w:color w:val="000000" w:themeColor="text1"/>
              </w:rPr>
              <w:fldChar w:fldCharType="separate"/>
            </w:r>
            <w:r>
              <w:rPr>
                <w:rFonts w:hint="eastAsia" w:ascii="宋体" w:hAnsi="宋体" w:cs="宋体"/>
                <w:color w:val="000000" w:themeColor="text1"/>
              </w:rPr>
              <w:t>⑦</w:t>
            </w:r>
            <w:r>
              <w:rPr>
                <w:color w:val="000000" w:themeColor="text1"/>
              </w:rPr>
              <w:fldChar w:fldCharType="end"/>
            </w:r>
            <w:r>
              <w:rPr>
                <w:rFonts w:hint="eastAsia"/>
                <w:color w:val="000000" w:themeColor="text1"/>
              </w:rPr>
              <w:t>特殊情况下配合相关部门搞好施工期周围道路的交通组织，避免因施工而造成交通堵塞，减少因此产生的废气怠速排放。</w:t>
            </w:r>
          </w:p>
          <w:p>
            <w:pPr>
              <w:pStyle w:val="55"/>
              <w:jc w:val="both"/>
              <w:rPr>
                <w:color w:val="000000" w:themeColor="text1"/>
              </w:rPr>
            </w:pPr>
            <w:r>
              <w:rPr>
                <w:color w:val="000000" w:themeColor="text1"/>
              </w:rPr>
              <w:fldChar w:fldCharType="begin"/>
            </w:r>
            <w:r>
              <w:rPr>
                <w:color w:val="000000" w:themeColor="text1"/>
              </w:rPr>
              <w:instrText xml:space="preserve">= 8 \* GB3</w:instrText>
            </w:r>
            <w:r>
              <w:rPr>
                <w:color w:val="000000" w:themeColor="text1"/>
              </w:rPr>
              <w:fldChar w:fldCharType="separate"/>
            </w:r>
            <w:r>
              <w:rPr>
                <w:rFonts w:hint="eastAsia" w:ascii="宋体" w:hAnsi="宋体" w:cs="宋体"/>
                <w:color w:val="000000" w:themeColor="text1"/>
              </w:rPr>
              <w:t>⑧</w:t>
            </w:r>
            <w:r>
              <w:rPr>
                <w:color w:val="000000" w:themeColor="text1"/>
              </w:rPr>
              <w:fldChar w:fldCharType="end"/>
            </w:r>
            <w:r>
              <w:rPr>
                <w:rFonts w:hint="eastAsia"/>
                <w:color w:val="000000" w:themeColor="text1"/>
              </w:rPr>
              <w:t>加强对施工人员的环保教育，提高全体施工人员的环保意识，坚持文明施工、科学施工。</w:t>
            </w:r>
          </w:p>
          <w:p>
            <w:pPr>
              <w:pStyle w:val="55"/>
              <w:jc w:val="both"/>
              <w:rPr>
                <w:color w:val="000000" w:themeColor="text1"/>
              </w:rPr>
            </w:pPr>
            <w:r>
              <w:rPr>
                <w:color w:val="000000" w:themeColor="text1"/>
              </w:rPr>
              <w:fldChar w:fldCharType="begin"/>
            </w:r>
            <w:r>
              <w:rPr>
                <w:color w:val="000000" w:themeColor="text1"/>
              </w:rPr>
              <w:instrText xml:space="preserve">= 9 \* GB3</w:instrText>
            </w:r>
            <w:r>
              <w:rPr>
                <w:color w:val="000000" w:themeColor="text1"/>
              </w:rPr>
              <w:fldChar w:fldCharType="separate"/>
            </w:r>
            <w:r>
              <w:rPr>
                <w:rFonts w:hint="eastAsia" w:ascii="宋体" w:hAnsi="宋体" w:cs="宋体"/>
                <w:color w:val="000000" w:themeColor="text1"/>
              </w:rPr>
              <w:t>⑨</w:t>
            </w:r>
            <w:r>
              <w:rPr>
                <w:color w:val="000000" w:themeColor="text1"/>
              </w:rPr>
              <w:fldChar w:fldCharType="end"/>
            </w:r>
            <w:r>
              <w:rPr>
                <w:rFonts w:hint="eastAsia"/>
                <w:color w:val="000000" w:themeColor="text1"/>
              </w:rPr>
              <w:t>由于项目环境保护目标小龙白位于项目区东南面50</w:t>
            </w:r>
            <w:r>
              <w:rPr>
                <w:color w:val="000000" w:themeColor="text1"/>
              </w:rPr>
              <w:t>0m</w:t>
            </w:r>
            <w:r>
              <w:rPr>
                <w:rFonts w:hint="eastAsia"/>
                <w:color w:val="000000" w:themeColor="text1"/>
              </w:rPr>
              <w:t>处，因此应将易产生扬尘的设备、工序应远离东南侧，尽量布设在厂区北面。</w:t>
            </w:r>
          </w:p>
          <w:p>
            <w:pPr>
              <w:pStyle w:val="55"/>
              <w:jc w:val="both"/>
              <w:rPr>
                <w:rFonts w:cs="Times New Roman"/>
                <w:color w:val="000000" w:themeColor="text1"/>
              </w:rPr>
            </w:pPr>
            <w:r>
              <w:rPr>
                <w:rFonts w:hint="eastAsia" w:ascii="宋体" w:hAnsi="宋体" w:cs="宋体"/>
                <w:color w:val="000000" w:themeColor="text1"/>
              </w:rPr>
              <w:t>⑩</w:t>
            </w:r>
            <w:r>
              <w:rPr>
                <w:rFonts w:hint="eastAsia"/>
                <w:color w:val="000000" w:themeColor="text1"/>
              </w:rPr>
              <w:t>装修中尽量采用符合国家标准的室内装饰和装修材料，这是降低造成室内污染的</w:t>
            </w:r>
            <w:r>
              <w:rPr>
                <w:rFonts w:cs="Times New Roman"/>
                <w:color w:val="000000" w:themeColor="text1"/>
              </w:rPr>
              <w:t>根本。</w:t>
            </w:r>
          </w:p>
          <w:p>
            <w:pPr>
              <w:pStyle w:val="55"/>
              <w:jc w:val="both"/>
              <w:rPr>
                <w:rFonts w:cs="Times New Roman"/>
                <w:color w:val="000000" w:themeColor="text1"/>
              </w:rPr>
            </w:pPr>
            <w:r>
              <w:rPr>
                <w:rFonts w:ascii="Cambria Math" w:hAnsi="Cambria Math" w:cs="Times New Roman"/>
                <w:color w:val="000000" w:themeColor="text1"/>
              </w:rPr>
              <w:t>⑪</w:t>
            </w:r>
            <w:r>
              <w:rPr>
                <w:rFonts w:cs="Times New Roman"/>
                <w:color w:val="000000" w:themeColor="text1"/>
              </w:rPr>
              <w:t>装修后不宜立即投入使用，至少要通风换气60d。</w:t>
            </w:r>
          </w:p>
          <w:p>
            <w:pPr>
              <w:pStyle w:val="55"/>
              <w:jc w:val="both"/>
              <w:rPr>
                <w:color w:val="000000" w:themeColor="text1"/>
              </w:rPr>
            </w:pPr>
            <w:r>
              <w:rPr>
                <w:rFonts w:ascii="Cambria Math" w:hAnsi="Cambria Math" w:cs="Times New Roman"/>
                <w:color w:val="000000" w:themeColor="text1"/>
              </w:rPr>
              <w:t>⑫</w:t>
            </w:r>
            <w:r>
              <w:rPr>
                <w:rFonts w:cs="Times New Roman"/>
                <w:color w:val="000000" w:themeColor="text1"/>
              </w:rPr>
              <w:t>装修后保持室内的空气流通，选用活性炭吸附去除有机废气，可有效清除室内的有害气体。可以在室内有选择的进行养花植草，既可美化室内环境，优化购物环境，又可降低室内有害气体的浓度</w:t>
            </w:r>
            <w:r>
              <w:rPr>
                <w:rFonts w:hint="eastAsia"/>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2" w:hRule="atLeast"/>
          <w:jc w:val="center"/>
        </w:trPr>
        <w:tc>
          <w:tcPr>
            <w:tcW w:w="413"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c>
          <w:tcPr>
            <w:tcW w:w="1080"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废水</w:t>
            </w:r>
          </w:p>
        </w:tc>
        <w:tc>
          <w:tcPr>
            <w:tcW w:w="7717" w:type="dxa"/>
            <w:tcBorders>
              <w:top w:val="single" w:color="auto" w:sz="4" w:space="0"/>
              <w:left w:val="single" w:color="auto" w:sz="4" w:space="0"/>
              <w:bottom w:val="single" w:color="auto" w:sz="4" w:space="0"/>
              <w:right w:val="single" w:color="auto" w:sz="4" w:space="0"/>
            </w:tcBorders>
            <w:vAlign w:val="center"/>
          </w:tcPr>
          <w:p>
            <w:pPr>
              <w:pStyle w:val="55"/>
              <w:jc w:val="both"/>
              <w:rPr>
                <w:color w:val="000000" w:themeColor="text1"/>
                <w:kern w:val="0"/>
              </w:rPr>
            </w:pPr>
            <w:r>
              <w:rPr>
                <w:rFonts w:hint="eastAsia"/>
                <w:color w:val="000000" w:themeColor="text1"/>
                <w:kern w:val="0"/>
              </w:rPr>
              <w:t>（</w:t>
            </w:r>
            <w:r>
              <w:rPr>
                <w:color w:val="000000" w:themeColor="text1"/>
                <w:kern w:val="0"/>
              </w:rPr>
              <w:t>1</w:t>
            </w:r>
            <w:r>
              <w:rPr>
                <w:rFonts w:hint="eastAsia"/>
                <w:color w:val="000000" w:themeColor="text1"/>
                <w:kern w:val="0"/>
              </w:rPr>
              <w:t>）施工废水</w:t>
            </w:r>
          </w:p>
          <w:p>
            <w:pPr>
              <w:pStyle w:val="55"/>
              <w:jc w:val="both"/>
              <w:rPr>
                <w:color w:val="000000" w:themeColor="text1"/>
                <w:kern w:val="0"/>
              </w:rPr>
            </w:pPr>
            <w:r>
              <w:rPr>
                <w:rFonts w:hint="eastAsia"/>
                <w:color w:val="000000" w:themeColor="text1"/>
                <w:kern w:val="0"/>
              </w:rPr>
              <w:t>在施工期间产生的废水使用临时沉淀池收集后沉清处理后再利用，机械冲洗需在有导排水沟的地方进行冲洗，以便收集机械冲洗水用于非雨天的道路洒水降尘。</w:t>
            </w:r>
          </w:p>
          <w:p>
            <w:pPr>
              <w:pStyle w:val="55"/>
              <w:jc w:val="both"/>
              <w:rPr>
                <w:color w:val="000000" w:themeColor="text1"/>
              </w:rPr>
            </w:pPr>
            <w:r>
              <w:rPr>
                <w:rFonts w:hint="eastAsia"/>
                <w:color w:val="000000" w:themeColor="text1"/>
              </w:rPr>
              <w:t>（</w:t>
            </w:r>
            <w:r>
              <w:rPr>
                <w:color w:val="000000" w:themeColor="text1"/>
              </w:rPr>
              <w:t>2</w:t>
            </w:r>
            <w:r>
              <w:rPr>
                <w:rFonts w:hint="eastAsia"/>
                <w:color w:val="000000" w:themeColor="text1"/>
              </w:rPr>
              <w:t>）生活污水</w:t>
            </w:r>
          </w:p>
          <w:p>
            <w:pPr>
              <w:pStyle w:val="55"/>
              <w:jc w:val="both"/>
              <w:rPr>
                <w:color w:val="000000" w:themeColor="text1"/>
                <w:kern w:val="0"/>
              </w:rPr>
            </w:pPr>
            <w:r>
              <w:rPr>
                <w:rFonts w:hint="eastAsia"/>
                <w:color w:val="000000" w:themeColor="text1"/>
              </w:rPr>
              <w:t>粪便污水</w:t>
            </w:r>
            <w:r>
              <w:rPr>
                <w:rFonts w:hint="eastAsia"/>
                <w:color w:val="000000" w:themeColor="text1"/>
                <w:kern w:val="0"/>
              </w:rPr>
              <w:t>经临时旱厕收集后委托周边农户清掏用作农肥，其他较清洁的生活污水经统一收集沉清处理后用于施工场地洒水降尘不外排。可有效防治项目施工对水环境的影响</w:t>
            </w:r>
            <w:r>
              <w:rPr>
                <w:rFonts w:hint="eastAsia"/>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13"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c>
          <w:tcPr>
            <w:tcW w:w="1080"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噪声</w:t>
            </w:r>
          </w:p>
        </w:tc>
        <w:tc>
          <w:tcPr>
            <w:tcW w:w="7717" w:type="dxa"/>
            <w:tcBorders>
              <w:top w:val="single" w:color="auto" w:sz="4" w:space="0"/>
              <w:left w:val="single" w:color="auto" w:sz="4" w:space="0"/>
              <w:bottom w:val="single" w:color="auto" w:sz="4" w:space="0"/>
              <w:right w:val="single" w:color="auto" w:sz="4" w:space="0"/>
            </w:tcBorders>
            <w:vAlign w:val="center"/>
          </w:tcPr>
          <w:p>
            <w:pPr>
              <w:pStyle w:val="55"/>
              <w:jc w:val="both"/>
              <w:rPr>
                <w:color w:val="000000" w:themeColor="text1"/>
              </w:rPr>
            </w:pPr>
            <w:r>
              <w:rPr>
                <w:rFonts w:hint="eastAsia" w:ascii="宋体" w:hAnsi="宋体" w:cs="宋体"/>
                <w:color w:val="000000" w:themeColor="text1"/>
              </w:rPr>
              <w:t>①</w:t>
            </w:r>
            <w:r>
              <w:rPr>
                <w:rFonts w:hint="eastAsia"/>
                <w:color w:val="000000" w:themeColor="text1"/>
              </w:rPr>
              <w:t>在施工阶段，须合理安排施工时间，制定施工计划，施工作业应避开人群休息时间，即：昼间</w:t>
            </w:r>
            <w:r>
              <w:rPr>
                <w:color w:val="000000" w:themeColor="text1"/>
              </w:rPr>
              <w:t>12:00-14:00</w:t>
            </w:r>
            <w:r>
              <w:rPr>
                <w:rFonts w:hint="eastAsia"/>
                <w:color w:val="000000" w:themeColor="text1"/>
              </w:rPr>
              <w:t>，夜间</w:t>
            </w:r>
            <w:r>
              <w:rPr>
                <w:color w:val="000000" w:themeColor="text1"/>
              </w:rPr>
              <w:t>22:00-</w:t>
            </w:r>
            <w:r>
              <w:rPr>
                <w:rFonts w:hint="eastAsia"/>
                <w:color w:val="000000" w:themeColor="text1"/>
              </w:rPr>
              <w:t>次日</w:t>
            </w:r>
            <w:r>
              <w:rPr>
                <w:color w:val="000000" w:themeColor="text1"/>
              </w:rPr>
              <w:t>6:00</w:t>
            </w:r>
            <w:r>
              <w:rPr>
                <w:rFonts w:hint="eastAsia"/>
                <w:color w:val="000000" w:themeColor="text1"/>
              </w:rPr>
              <w:t>禁止施工。</w:t>
            </w:r>
          </w:p>
          <w:p>
            <w:pPr>
              <w:pStyle w:val="55"/>
              <w:jc w:val="both"/>
              <w:rPr>
                <w:color w:val="000000" w:themeColor="text1"/>
              </w:rPr>
            </w:pPr>
            <w:r>
              <w:rPr>
                <w:rFonts w:hint="eastAsia" w:ascii="宋体" w:hAnsi="宋体" w:cs="宋体"/>
                <w:color w:val="000000" w:themeColor="text1"/>
              </w:rPr>
              <w:t>②</w:t>
            </w:r>
            <w:r>
              <w:rPr>
                <w:rFonts w:hint="eastAsia"/>
                <w:color w:val="000000" w:themeColor="text1"/>
              </w:rPr>
              <w:t>合理布局施工场地，施工时尽量将高噪声设备布置在施工工地中部的位置。</w:t>
            </w:r>
          </w:p>
          <w:p>
            <w:pPr>
              <w:pStyle w:val="55"/>
              <w:jc w:val="both"/>
              <w:rPr>
                <w:color w:val="000000" w:themeColor="text1"/>
              </w:rPr>
            </w:pPr>
            <w:r>
              <w:rPr>
                <w:rFonts w:hint="eastAsia" w:ascii="宋体" w:hAnsi="宋体" w:cs="宋体"/>
                <w:color w:val="000000" w:themeColor="text1"/>
              </w:rPr>
              <w:t>③</w:t>
            </w:r>
            <w:r>
              <w:rPr>
                <w:rFonts w:hint="eastAsia"/>
                <w:color w:val="000000" w:themeColor="text1"/>
              </w:rPr>
              <w:t>降低机械设备噪声声源级，尽量选用低噪声设备，另外，运输车辆进入现场应减速、禁鸣</w:t>
            </w:r>
            <w:r>
              <w:rPr>
                <w:rFonts w:hint="eastAsia"/>
                <w:color w:val="000000" w:themeColor="text1"/>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413"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c>
          <w:tcPr>
            <w:tcW w:w="1080" w:type="dxa"/>
            <w:gridSpan w:val="3"/>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固废</w:t>
            </w:r>
          </w:p>
        </w:tc>
        <w:tc>
          <w:tcPr>
            <w:tcW w:w="7717" w:type="dxa"/>
            <w:tcBorders>
              <w:top w:val="single" w:color="auto" w:sz="4" w:space="0"/>
              <w:left w:val="single" w:color="auto" w:sz="4" w:space="0"/>
              <w:bottom w:val="single" w:color="auto" w:sz="4" w:space="0"/>
              <w:right w:val="single" w:color="auto" w:sz="4" w:space="0"/>
            </w:tcBorders>
            <w:vAlign w:val="center"/>
          </w:tcPr>
          <w:p>
            <w:pPr>
              <w:pStyle w:val="55"/>
              <w:jc w:val="both"/>
              <w:rPr>
                <w:color w:val="000000" w:themeColor="text1"/>
                <w:lang w:val="zh-CN"/>
              </w:rPr>
            </w:pPr>
            <w:r>
              <w:rPr>
                <w:rFonts w:hint="eastAsia"/>
                <w:color w:val="000000" w:themeColor="text1"/>
                <w:kern w:val="0"/>
              </w:rPr>
              <w:t>（</w:t>
            </w:r>
            <w:r>
              <w:rPr>
                <w:rFonts w:hint="eastAsia"/>
                <w:color w:val="000000" w:themeColor="text1"/>
                <w:lang w:val="zh-CN"/>
              </w:rPr>
              <w:t>（1）土石方</w:t>
            </w:r>
          </w:p>
          <w:p>
            <w:pPr>
              <w:pStyle w:val="55"/>
              <w:jc w:val="both"/>
              <w:rPr>
                <w:color w:val="000000" w:themeColor="text1"/>
              </w:rPr>
            </w:pPr>
            <w:r>
              <w:rPr>
                <w:rFonts w:hint="eastAsia"/>
                <w:color w:val="000000" w:themeColor="text1"/>
                <w:lang w:val="zh-CN"/>
              </w:rPr>
              <w:t>本项目</w:t>
            </w:r>
            <w:r>
              <w:rPr>
                <w:rFonts w:hint="eastAsia"/>
                <w:color w:val="000000" w:themeColor="text1"/>
              </w:rPr>
              <w:t>土方在施工期进行平整场地及回填使用，剥离表土在施工场区设置表土堆场，剥离表土临时堆存于表土堆场，作为后期绿化覆土。</w:t>
            </w:r>
          </w:p>
          <w:p>
            <w:pPr>
              <w:pStyle w:val="55"/>
              <w:jc w:val="both"/>
              <w:rPr>
                <w:color w:val="000000" w:themeColor="text1"/>
                <w:lang w:val="zh-CN"/>
              </w:rPr>
            </w:pPr>
            <w:r>
              <w:rPr>
                <w:rFonts w:hint="eastAsia"/>
                <w:color w:val="000000" w:themeColor="text1"/>
                <w:lang w:val="zh-CN"/>
              </w:rPr>
              <w:t>（</w:t>
            </w:r>
            <w:r>
              <w:rPr>
                <w:color w:val="000000" w:themeColor="text1"/>
                <w:lang w:val="zh-CN"/>
              </w:rPr>
              <w:t>2</w:t>
            </w:r>
            <w:r>
              <w:rPr>
                <w:rFonts w:hint="eastAsia"/>
                <w:color w:val="000000" w:themeColor="text1"/>
                <w:lang w:val="zh-CN"/>
              </w:rPr>
              <w:t>）建筑垃圾</w:t>
            </w:r>
          </w:p>
          <w:p>
            <w:pPr>
              <w:pStyle w:val="55"/>
              <w:jc w:val="both"/>
              <w:rPr>
                <w:color w:val="000000" w:themeColor="text1"/>
              </w:rPr>
            </w:pPr>
            <w:r>
              <w:rPr>
                <w:rFonts w:hint="eastAsia"/>
                <w:color w:val="000000" w:themeColor="text1"/>
              </w:rPr>
              <w:t>施工期的建筑垃圾实行加强收集和管理，将建筑垃圾和能回收的废材料、废包装袋分别分类收集堆放，根据具体性质综合利用或者出售，不可回用部分按照要求由施工方合理清运处置。做到无建筑垃圾外排，</w:t>
            </w:r>
            <w:r>
              <w:rPr>
                <w:rFonts w:hint="eastAsia"/>
                <w:color w:val="000000" w:themeColor="text1"/>
                <w:lang w:val="zh-CN"/>
              </w:rPr>
              <w:t>对周围环境的</w:t>
            </w:r>
            <w:r>
              <w:rPr>
                <w:rFonts w:hint="eastAsia"/>
                <w:color w:val="000000" w:themeColor="text1"/>
              </w:rPr>
              <w:t>影响可以接受。</w:t>
            </w:r>
          </w:p>
          <w:p>
            <w:pPr>
              <w:pStyle w:val="55"/>
              <w:jc w:val="both"/>
              <w:rPr>
                <w:color w:val="000000" w:themeColor="text1"/>
                <w:lang w:val="zh-CN"/>
              </w:rPr>
            </w:pPr>
            <w:r>
              <w:rPr>
                <w:rFonts w:hint="eastAsia"/>
                <w:color w:val="000000" w:themeColor="text1"/>
                <w:lang w:val="zh-CN"/>
              </w:rPr>
              <w:t>（</w:t>
            </w:r>
            <w:r>
              <w:rPr>
                <w:color w:val="000000" w:themeColor="text1"/>
                <w:lang w:val="zh-CN"/>
              </w:rPr>
              <w:t>3</w:t>
            </w:r>
            <w:r>
              <w:rPr>
                <w:rFonts w:hint="eastAsia"/>
                <w:color w:val="000000" w:themeColor="text1"/>
                <w:lang w:val="zh-CN"/>
              </w:rPr>
              <w:t>）生活垃圾</w:t>
            </w:r>
          </w:p>
          <w:p>
            <w:pPr>
              <w:pStyle w:val="55"/>
              <w:jc w:val="both"/>
              <w:rPr>
                <w:color w:val="000000" w:themeColor="text1"/>
                <w:lang w:val="zh-CN"/>
              </w:rPr>
            </w:pPr>
            <w:r>
              <w:rPr>
                <w:rFonts w:hint="eastAsia"/>
                <w:color w:val="000000" w:themeColor="text1"/>
                <w:lang w:val="zh-CN"/>
              </w:rPr>
              <w:t>施工期产生的生活垃圾经统一收集后委托环卫部门统一清运处置，对周边环境的</w:t>
            </w:r>
            <w:r>
              <w:rPr>
                <w:rFonts w:hint="eastAsia"/>
                <w:color w:val="000000" w:themeColor="text1"/>
              </w:rPr>
              <w:t>影响可以接受</w:t>
            </w:r>
            <w:r>
              <w:rPr>
                <w:rFonts w:hint="eastAsia"/>
                <w:color w:val="000000" w:themeColor="text1"/>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413"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运营期</w:t>
            </w:r>
          </w:p>
        </w:tc>
        <w:tc>
          <w:tcPr>
            <w:tcW w:w="363"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大气污染物</w:t>
            </w:r>
          </w:p>
        </w:tc>
        <w:tc>
          <w:tcPr>
            <w:tcW w:w="717"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待宰、屠宰车间恶臭</w:t>
            </w:r>
          </w:p>
        </w:tc>
        <w:tc>
          <w:tcPr>
            <w:tcW w:w="7717" w:type="dxa"/>
            <w:tcBorders>
              <w:top w:val="single" w:color="auto" w:sz="4" w:space="0"/>
              <w:left w:val="single" w:color="auto" w:sz="4" w:space="0"/>
              <w:bottom w:val="single" w:color="auto" w:sz="4" w:space="0"/>
              <w:right w:val="single" w:color="auto" w:sz="4" w:space="0"/>
            </w:tcBorders>
            <w:vAlign w:val="center"/>
          </w:tcPr>
          <w:p>
            <w:pPr>
              <w:pStyle w:val="55"/>
              <w:jc w:val="both"/>
              <w:rPr>
                <w:color w:val="000000" w:themeColor="text1"/>
              </w:rPr>
            </w:pPr>
            <w:r>
              <w:rPr>
                <w:rFonts w:hint="eastAsia"/>
                <w:color w:val="000000" w:themeColor="text1"/>
              </w:rPr>
              <w:t>①项目粪便暂存间应设置为封闭式，且项目应及时清理厂区粪便，垃圾等恶臭源，做到日产日清。</w:t>
            </w:r>
          </w:p>
          <w:p>
            <w:pPr>
              <w:pStyle w:val="55"/>
              <w:jc w:val="both"/>
              <w:rPr>
                <w:color w:val="000000" w:themeColor="text1"/>
              </w:rPr>
            </w:pPr>
            <w:r>
              <w:rPr>
                <w:rFonts w:hint="eastAsia"/>
                <w:color w:val="000000" w:themeColor="text1"/>
              </w:rPr>
              <w:t>②项目生猪屠宰车间及生鸡屠宰车间都应该设有通风换气的设备，并保持每天都对车消毒、喷洒生物除臭剂等。</w:t>
            </w:r>
          </w:p>
          <w:p>
            <w:pPr>
              <w:pStyle w:val="55"/>
              <w:jc w:val="both"/>
              <w:rPr>
                <w:color w:val="000000" w:themeColor="text1"/>
              </w:rPr>
            </w:pPr>
            <w:r>
              <w:rPr>
                <w:rFonts w:hint="eastAsia"/>
                <w:color w:val="000000" w:themeColor="text1"/>
              </w:rPr>
              <w:t>③每天及时清理待宰猪舍以及待宰鸡圈内的粪便，粪便清理通过干法清扫、收集，以减少冲洗水污染负荷，每班必清，及时对待宰猪舍、屠宰车间进行冲洗；做到日产日清。</w:t>
            </w:r>
          </w:p>
          <w:p>
            <w:pPr>
              <w:pStyle w:val="55"/>
              <w:jc w:val="both"/>
              <w:rPr>
                <w:color w:val="000000" w:themeColor="text1"/>
              </w:rPr>
            </w:pPr>
            <w:r>
              <w:rPr>
                <w:rFonts w:hint="eastAsia"/>
                <w:color w:val="000000" w:themeColor="text1"/>
              </w:rPr>
              <w:t>④厂区内加强绿化，可有效减少恶臭排放。</w:t>
            </w:r>
          </w:p>
          <w:p>
            <w:pPr>
              <w:pStyle w:val="55"/>
              <w:jc w:val="both"/>
              <w:rPr>
                <w:color w:val="000000" w:themeColor="text1"/>
                <w:kern w:val="0"/>
              </w:rPr>
            </w:pPr>
            <w:r>
              <w:rPr>
                <w:rFonts w:hint="eastAsia"/>
                <w:color w:val="000000" w:themeColor="text1"/>
              </w:rPr>
              <w:t>⑤</w:t>
            </w:r>
            <w:r>
              <w:rPr>
                <w:rFonts w:hint="eastAsia" w:cs="Calibri"/>
                <w:bCs/>
                <w:color w:val="000000" w:themeColor="text1"/>
              </w:rPr>
              <w:t>本项目可使用养殖场专用植物性除臭剂，该种除臭剂主要成分为活性醛基芳香香料、樟树、桉树、柏木、香茅等天然植物提取物，无毒、无刺激、无腐蚀性，杀菌功能强。植物性除臭剂通过</w:t>
            </w:r>
            <w:r>
              <w:rPr>
                <w:rFonts w:cs="Calibri"/>
                <w:bCs/>
                <w:color w:val="000000" w:themeColor="text1"/>
              </w:rPr>
              <w:t>4</w:t>
            </w:r>
            <w:r>
              <w:rPr>
                <w:rFonts w:hint="eastAsia" w:cs="Calibri"/>
                <w:bCs/>
                <w:color w:val="000000" w:themeColor="text1"/>
              </w:rPr>
              <w:t>种物理化学作用力将臭气分子捕捉：范德华力、耦合力、化学反应力、吸附力，植物型除臭剂可以有效去除硫化氢、氨气、二氧化硫、甲硫醇、胺等多种常见的恶臭气体，也可以用于去除工业领域产生的特种恶臭气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3" w:hRule="atLeast"/>
          <w:jc w:val="center"/>
        </w:trPr>
        <w:tc>
          <w:tcPr>
            <w:tcW w:w="413"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c>
          <w:tcPr>
            <w:tcW w:w="363"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污水处理站废气</w:t>
            </w:r>
          </w:p>
        </w:tc>
        <w:tc>
          <w:tcPr>
            <w:tcW w:w="7717" w:type="dxa"/>
            <w:tcBorders>
              <w:top w:val="single" w:color="auto" w:sz="4" w:space="0"/>
              <w:left w:val="single" w:color="auto" w:sz="4" w:space="0"/>
              <w:bottom w:val="single" w:color="auto" w:sz="4" w:space="0"/>
              <w:right w:val="single" w:color="auto" w:sz="4" w:space="0"/>
            </w:tcBorders>
            <w:vAlign w:val="center"/>
          </w:tcPr>
          <w:p>
            <w:pPr>
              <w:pStyle w:val="55"/>
              <w:jc w:val="both"/>
              <w:rPr>
                <w:color w:val="000000" w:themeColor="text1"/>
              </w:rPr>
            </w:pPr>
            <w:r>
              <w:rPr>
                <w:rFonts w:hint="eastAsia" w:ascii="宋体" w:hAnsi="宋体" w:cs="宋体"/>
                <w:color w:val="000000" w:themeColor="text1"/>
              </w:rPr>
              <w:t>①</w:t>
            </w:r>
            <w:r>
              <w:rPr>
                <w:rFonts w:hint="eastAsia"/>
                <w:color w:val="000000" w:themeColor="text1"/>
              </w:rPr>
              <w:t>对污水处理站合理设计，控制曝气池的空气量，避免过量曝气造成恶臭气体排放量增加；</w:t>
            </w:r>
          </w:p>
          <w:p>
            <w:pPr>
              <w:pStyle w:val="55"/>
              <w:jc w:val="both"/>
              <w:rPr>
                <w:color w:val="000000" w:themeColor="text1"/>
              </w:rPr>
            </w:pPr>
            <w:r>
              <w:rPr>
                <w:rFonts w:hint="eastAsia" w:ascii="宋体" w:hAnsi="宋体" w:cs="宋体"/>
                <w:color w:val="000000" w:themeColor="text1"/>
              </w:rPr>
              <w:t>②</w:t>
            </w:r>
            <w:r>
              <w:rPr>
                <w:rFonts w:hint="eastAsia"/>
                <w:color w:val="000000" w:themeColor="text1"/>
              </w:rPr>
              <w:t>及时清理格栅、调节沉淀池产生的废渣、浮油等物质；</w:t>
            </w:r>
          </w:p>
          <w:p>
            <w:pPr>
              <w:pStyle w:val="55"/>
              <w:jc w:val="both"/>
              <w:rPr>
                <w:color w:val="000000" w:themeColor="text1"/>
              </w:rPr>
            </w:pPr>
            <w:r>
              <w:rPr>
                <w:rFonts w:hint="eastAsia" w:ascii="宋体" w:hAnsi="宋体" w:cs="宋体"/>
                <w:color w:val="000000" w:themeColor="text1"/>
              </w:rPr>
              <w:t>③</w:t>
            </w:r>
            <w:r>
              <w:rPr>
                <w:rFonts w:hint="eastAsia"/>
                <w:color w:val="000000" w:themeColor="text1"/>
              </w:rPr>
              <w:t>对可加盖的构筑物加盖；</w:t>
            </w:r>
          </w:p>
          <w:p>
            <w:pPr>
              <w:pStyle w:val="55"/>
              <w:jc w:val="both"/>
              <w:rPr>
                <w:color w:val="000000" w:themeColor="text1"/>
              </w:rPr>
            </w:pPr>
            <w:r>
              <w:rPr>
                <w:rFonts w:hint="eastAsia" w:ascii="宋体" w:hAnsi="宋体" w:cs="宋体"/>
                <w:color w:val="000000" w:themeColor="text1"/>
              </w:rPr>
              <w:t>④</w:t>
            </w:r>
            <w:r>
              <w:rPr>
                <w:rFonts w:hint="eastAsia"/>
                <w:color w:val="000000" w:themeColor="text1"/>
              </w:rPr>
              <w:t>污水站产生的污泥、沉淀池产生的油脂以及肠胃内容物等固体废物应尽量减少临时堆存时间，及时外运或综合利用，做到</w:t>
            </w:r>
            <w:r>
              <w:rPr>
                <w:color w:val="000000" w:themeColor="text1"/>
              </w:rPr>
              <w:t>“</w:t>
            </w:r>
            <w:r>
              <w:rPr>
                <w:rFonts w:hint="eastAsia"/>
                <w:color w:val="000000" w:themeColor="text1"/>
              </w:rPr>
              <w:t>日产日清</w:t>
            </w:r>
            <w:r>
              <w:rPr>
                <w:color w:val="000000" w:themeColor="text1"/>
              </w:rPr>
              <w:t>”</w:t>
            </w:r>
            <w:r>
              <w:rPr>
                <w:rFonts w:hint="eastAsia"/>
                <w:color w:val="000000" w:themeColor="text1"/>
              </w:rPr>
              <w:t>；</w:t>
            </w:r>
            <w:r>
              <w:rPr>
                <w:color w:val="000000" w:themeColor="text1"/>
              </w:rPr>
              <w:t xml:space="preserve"> </w:t>
            </w:r>
          </w:p>
          <w:p>
            <w:pPr>
              <w:pStyle w:val="55"/>
              <w:jc w:val="both"/>
              <w:rPr>
                <w:color w:val="000000" w:themeColor="text1"/>
              </w:rPr>
            </w:pPr>
            <w:r>
              <w:rPr>
                <w:rFonts w:hint="eastAsia" w:ascii="宋体" w:hAnsi="宋体" w:cs="宋体"/>
                <w:color w:val="000000" w:themeColor="text1"/>
              </w:rPr>
              <w:t>⑤</w:t>
            </w:r>
            <w:r>
              <w:rPr>
                <w:rFonts w:hint="eastAsia"/>
                <w:color w:val="000000" w:themeColor="text1"/>
              </w:rPr>
              <w:t>污水处理站是蚊蝇滋生的集中场所，夏季气温高时尤盛，因此，污水处理站应在保证污水处理站正常运转的情况下定期进行杀灭蚊蝇的工作；</w:t>
            </w:r>
          </w:p>
          <w:p>
            <w:pPr>
              <w:pStyle w:val="55"/>
              <w:jc w:val="both"/>
              <w:rPr>
                <w:color w:val="000000" w:themeColor="text1"/>
              </w:rPr>
            </w:pPr>
            <w:r>
              <w:rPr>
                <w:rFonts w:hint="eastAsia" w:ascii="宋体" w:hAnsi="宋体" w:cs="宋体"/>
                <w:color w:val="000000" w:themeColor="text1"/>
              </w:rPr>
              <w:t>⑥</w:t>
            </w:r>
            <w:r>
              <w:rPr>
                <w:rFonts w:hint="eastAsia"/>
                <w:color w:val="000000" w:themeColor="text1"/>
              </w:rPr>
              <w:t>加强污水处理站构筑物四周的绿化工作；</w:t>
            </w:r>
          </w:p>
          <w:p>
            <w:pPr>
              <w:pStyle w:val="55"/>
              <w:jc w:val="both"/>
              <w:rPr>
                <w:color w:val="000000" w:themeColor="text1"/>
                <w:kern w:val="0"/>
              </w:rPr>
            </w:pPr>
            <w:r>
              <w:rPr>
                <w:rFonts w:hint="eastAsia" w:ascii="宋体" w:hAnsi="宋体" w:cs="宋体"/>
                <w:color w:val="000000" w:themeColor="text1"/>
              </w:rPr>
              <w:t>⑦</w:t>
            </w:r>
            <w:r>
              <w:rPr>
                <w:rFonts w:hint="eastAsia"/>
                <w:color w:val="000000" w:themeColor="text1"/>
              </w:rPr>
              <w:t>厂界密植抗污能力强的树木，形成防护林带，以阻隔臭味向外扩散</w:t>
            </w:r>
            <w:r>
              <w:rPr>
                <w:rFonts w:hint="eastAsia"/>
                <w:bCs/>
                <w:color w:val="000000" w:themeColor="text1"/>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3"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c>
          <w:tcPr>
            <w:tcW w:w="363"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锅炉废气</w:t>
            </w:r>
          </w:p>
        </w:tc>
        <w:tc>
          <w:tcPr>
            <w:tcW w:w="7717" w:type="dxa"/>
            <w:tcBorders>
              <w:top w:val="single" w:color="auto" w:sz="4" w:space="0"/>
              <w:left w:val="single" w:color="auto" w:sz="4" w:space="0"/>
              <w:bottom w:val="single" w:color="auto" w:sz="4" w:space="0"/>
              <w:right w:val="single" w:color="auto" w:sz="4" w:space="0"/>
            </w:tcBorders>
            <w:vAlign w:val="center"/>
          </w:tcPr>
          <w:p>
            <w:pPr>
              <w:pStyle w:val="55"/>
              <w:jc w:val="both"/>
              <w:rPr>
                <w:color w:val="000000" w:themeColor="text1"/>
              </w:rPr>
            </w:pPr>
            <w:r>
              <w:rPr>
                <w:rFonts w:hint="eastAsia" w:ascii="宋体" w:hAnsi="宋体" w:cs="宋体"/>
                <w:color w:val="000000" w:themeColor="text1"/>
              </w:rPr>
              <w:t>①</w:t>
            </w:r>
            <w:r>
              <w:rPr>
                <w:rFonts w:hint="eastAsia"/>
                <w:color w:val="000000" w:themeColor="text1"/>
              </w:rPr>
              <w:t>锅炉废气经配套建设的</w:t>
            </w:r>
            <w:r>
              <w:rPr>
                <w:rFonts w:hint="eastAsia"/>
                <w:bCs/>
                <w:color w:val="000000" w:themeColor="text1"/>
              </w:rPr>
              <w:t>水膜除尘系统</w:t>
            </w:r>
            <w:r>
              <w:rPr>
                <w:rFonts w:hint="eastAsia"/>
                <w:color w:val="000000" w:themeColor="text1"/>
              </w:rPr>
              <w:t>处理后经</w:t>
            </w:r>
            <w:r>
              <w:rPr>
                <w:color w:val="000000" w:themeColor="text1"/>
              </w:rPr>
              <w:t>15m</w:t>
            </w:r>
            <w:r>
              <w:rPr>
                <w:rFonts w:hint="eastAsia"/>
                <w:color w:val="000000" w:themeColor="text1"/>
              </w:rPr>
              <w:t>高排气筒排出；</w:t>
            </w:r>
          </w:p>
          <w:p>
            <w:pPr>
              <w:pStyle w:val="55"/>
              <w:jc w:val="both"/>
              <w:rPr>
                <w:color w:val="000000" w:themeColor="text1"/>
              </w:rPr>
            </w:pPr>
            <w:r>
              <w:rPr>
                <w:rFonts w:hint="eastAsia" w:ascii="宋体" w:hAnsi="宋体" w:cs="宋体"/>
                <w:color w:val="000000" w:themeColor="text1"/>
              </w:rPr>
              <w:t>②</w:t>
            </w:r>
            <w:r>
              <w:rPr>
                <w:rFonts w:hint="eastAsia"/>
                <w:color w:val="000000" w:themeColor="text1"/>
              </w:rPr>
              <w:t>环评要求建设单位重视环保设施的维护，加强</w:t>
            </w:r>
            <w:r>
              <w:rPr>
                <w:rFonts w:hint="eastAsia"/>
                <w:bCs/>
                <w:color w:val="000000" w:themeColor="text1"/>
              </w:rPr>
              <w:t>水膜除尘系统</w:t>
            </w:r>
            <w:r>
              <w:rPr>
                <w:rFonts w:hint="eastAsia"/>
                <w:color w:val="000000" w:themeColor="text1"/>
              </w:rPr>
              <w:t>的日常维护管理，若发生非正常排放时，应及时排除故障隐患，待设备维修完善后，确保</w:t>
            </w:r>
            <w:r>
              <w:rPr>
                <w:rFonts w:hint="eastAsia"/>
                <w:bCs/>
                <w:color w:val="000000" w:themeColor="text1"/>
              </w:rPr>
              <w:t>水膜除尘系统</w:t>
            </w:r>
            <w:r>
              <w:rPr>
                <w:rFonts w:hint="eastAsia"/>
                <w:color w:val="000000" w:themeColor="text1"/>
              </w:rPr>
              <w:t>的正常运行（达标排放），杜绝发生事故排放；</w:t>
            </w:r>
          </w:p>
          <w:p>
            <w:pPr>
              <w:pStyle w:val="55"/>
              <w:jc w:val="both"/>
              <w:rPr>
                <w:color w:val="000000" w:themeColor="text1"/>
              </w:rPr>
            </w:pPr>
            <w:r>
              <w:rPr>
                <w:rFonts w:hint="eastAsia" w:ascii="宋体" w:hAnsi="宋体" w:cs="宋体"/>
                <w:color w:val="000000" w:themeColor="text1"/>
              </w:rPr>
              <w:t>③</w:t>
            </w:r>
            <w:r>
              <w:rPr>
                <w:rFonts w:hint="eastAsia"/>
                <w:color w:val="000000" w:themeColor="text1"/>
              </w:rPr>
              <w:t>排气筒排气口处应设置监测孔，定期进行年度监测，保证达标排放</w:t>
            </w:r>
            <w:r>
              <w:rPr>
                <w:rFonts w:hint="eastAsia"/>
                <w:bCs/>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3"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c>
          <w:tcPr>
            <w:tcW w:w="363"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焚烧炉尾气</w:t>
            </w:r>
          </w:p>
        </w:tc>
        <w:tc>
          <w:tcPr>
            <w:tcW w:w="7717" w:type="dxa"/>
            <w:tcBorders>
              <w:top w:val="single" w:color="auto" w:sz="4" w:space="0"/>
              <w:left w:val="single" w:color="auto" w:sz="4" w:space="0"/>
              <w:bottom w:val="single" w:color="auto" w:sz="4" w:space="0"/>
              <w:right w:val="single" w:color="auto" w:sz="4" w:space="0"/>
            </w:tcBorders>
            <w:vAlign w:val="center"/>
          </w:tcPr>
          <w:p>
            <w:pPr>
              <w:pStyle w:val="55"/>
              <w:jc w:val="both"/>
              <w:rPr>
                <w:color w:val="000000" w:themeColor="text1"/>
              </w:rPr>
            </w:pPr>
            <w:r>
              <w:rPr>
                <w:rFonts w:hint="eastAsia" w:ascii="宋体" w:hAnsi="宋体" w:cs="宋体"/>
                <w:color w:val="000000" w:themeColor="text1"/>
              </w:rPr>
              <w:t>①</w:t>
            </w:r>
            <w:r>
              <w:rPr>
                <w:rFonts w:hint="eastAsia"/>
                <w:color w:val="000000" w:themeColor="text1"/>
              </w:rPr>
              <w:t>焚烧炉烟气经设备配备的</w:t>
            </w:r>
            <w:r>
              <w:rPr>
                <w:rFonts w:hint="eastAsia"/>
                <w:bCs/>
                <w:color w:val="000000" w:themeColor="text1"/>
              </w:rPr>
              <w:t>布袋除尘器</w:t>
            </w:r>
            <w:r>
              <w:rPr>
                <w:rFonts w:hint="eastAsia"/>
                <w:color w:val="000000" w:themeColor="text1"/>
              </w:rPr>
              <w:t>处理后经2</w:t>
            </w:r>
            <w:r>
              <w:rPr>
                <w:color w:val="000000" w:themeColor="text1"/>
              </w:rPr>
              <w:t>5m</w:t>
            </w:r>
            <w:r>
              <w:rPr>
                <w:rFonts w:hint="eastAsia"/>
                <w:color w:val="000000" w:themeColor="text1"/>
              </w:rPr>
              <w:t>高排气筒排出；</w:t>
            </w:r>
          </w:p>
          <w:p>
            <w:pPr>
              <w:pStyle w:val="55"/>
              <w:jc w:val="both"/>
              <w:rPr>
                <w:color w:val="000000" w:themeColor="text1"/>
              </w:rPr>
            </w:pPr>
            <w:r>
              <w:rPr>
                <w:rFonts w:hint="eastAsia" w:ascii="宋体" w:hAnsi="宋体" w:cs="宋体"/>
                <w:color w:val="000000" w:themeColor="text1"/>
              </w:rPr>
              <w:t>②</w:t>
            </w:r>
            <w:r>
              <w:rPr>
                <w:rFonts w:hint="eastAsia"/>
                <w:color w:val="000000" w:themeColor="text1"/>
              </w:rPr>
              <w:t>环评要求建设单位重视环保设施的维护，加强</w:t>
            </w:r>
            <w:r>
              <w:rPr>
                <w:rFonts w:hint="eastAsia"/>
                <w:bCs/>
                <w:color w:val="000000" w:themeColor="text1"/>
              </w:rPr>
              <w:t>布袋除尘器</w:t>
            </w:r>
            <w:r>
              <w:rPr>
                <w:rFonts w:hint="eastAsia"/>
                <w:color w:val="000000" w:themeColor="text1"/>
              </w:rPr>
              <w:t>处理系统的日常维护管理，若发生非正常排放时，应及时排除故障隐患，待设备维修完善后，确保</w:t>
            </w:r>
            <w:r>
              <w:rPr>
                <w:rFonts w:hint="eastAsia"/>
                <w:bCs/>
                <w:color w:val="000000" w:themeColor="text1"/>
              </w:rPr>
              <w:t>布袋除尘器</w:t>
            </w:r>
            <w:r>
              <w:rPr>
                <w:rFonts w:hint="eastAsia"/>
                <w:color w:val="000000" w:themeColor="text1"/>
              </w:rPr>
              <w:t>处理系统的正常运行（达标排放），杜绝发生事故排放；</w:t>
            </w:r>
          </w:p>
          <w:p>
            <w:pPr>
              <w:pStyle w:val="55"/>
              <w:jc w:val="both"/>
              <w:rPr>
                <w:rFonts w:ascii="宋体" w:hAnsi="宋体" w:cs="宋体"/>
                <w:color w:val="000000" w:themeColor="text1"/>
              </w:rPr>
            </w:pPr>
            <w:r>
              <w:rPr>
                <w:rFonts w:hint="eastAsia" w:ascii="宋体" w:hAnsi="宋体" w:cs="宋体"/>
                <w:color w:val="000000" w:themeColor="text1"/>
              </w:rPr>
              <w:t>③设备选型时尽量选用环保型的焚烧炉；</w:t>
            </w:r>
          </w:p>
          <w:p>
            <w:pPr>
              <w:pStyle w:val="55"/>
              <w:jc w:val="both"/>
              <w:rPr>
                <w:color w:val="000000" w:themeColor="text1"/>
                <w:kern w:val="0"/>
              </w:rPr>
            </w:pPr>
            <w:r>
              <w:rPr>
                <w:rFonts w:hint="eastAsia" w:ascii="宋体" w:hAnsi="宋体" w:cs="宋体"/>
                <w:color w:val="000000" w:themeColor="text1"/>
              </w:rPr>
              <w:t>④</w:t>
            </w:r>
            <w:r>
              <w:rPr>
                <w:rFonts w:hint="eastAsia"/>
                <w:color w:val="000000" w:themeColor="text1"/>
              </w:rPr>
              <w:t>排气筒排气口处应设置监测孔，定期进行年度监测，保证达标排放。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13"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c>
          <w:tcPr>
            <w:tcW w:w="363"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汽车尾气</w:t>
            </w:r>
          </w:p>
        </w:tc>
        <w:tc>
          <w:tcPr>
            <w:tcW w:w="7717"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hint="eastAsia"/>
                <w:color w:val="000000" w:themeColor="text1"/>
              </w:rPr>
              <w:t>汽车尾气不会持续产生，且产生量较小，尾气在经过厂区绿化吸收、空气稀释扩散后影响较小</w:t>
            </w:r>
            <w:r>
              <w:rPr>
                <w:rFonts w:hint="eastAsia"/>
                <w:color w:val="000000" w:themeColor="text1"/>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13"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c>
          <w:tcPr>
            <w:tcW w:w="363"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水污染物</w:t>
            </w:r>
          </w:p>
        </w:tc>
        <w:tc>
          <w:tcPr>
            <w:tcW w:w="363"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地表水</w:t>
            </w:r>
          </w:p>
        </w:tc>
        <w:tc>
          <w:tcPr>
            <w:tcW w:w="35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雨水</w:t>
            </w:r>
          </w:p>
        </w:tc>
        <w:tc>
          <w:tcPr>
            <w:tcW w:w="77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cs="Times New Roman"/>
                <w:color w:val="000000" w:themeColor="text1"/>
              </w:rPr>
              <w:t>通过雨水沟</w:t>
            </w:r>
            <w:r>
              <w:rPr>
                <w:rFonts w:hint="eastAsia" w:cs="Times New Roman"/>
                <w:color w:val="000000" w:themeColor="text1"/>
              </w:rPr>
              <w:t>收集后直接</w:t>
            </w:r>
            <w:r>
              <w:rPr>
                <w:rFonts w:cs="Times New Roman"/>
                <w:color w:val="000000" w:themeColor="text1"/>
              </w:rPr>
              <w:t>外排</w:t>
            </w:r>
            <w:r>
              <w:rPr>
                <w:rFonts w:hint="eastAsia"/>
                <w:color w:val="000000" w:themeColor="text1"/>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3"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c>
          <w:tcPr>
            <w:tcW w:w="363"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c>
          <w:tcPr>
            <w:tcW w:w="363"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c>
          <w:tcPr>
            <w:tcW w:w="35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生产废水</w:t>
            </w:r>
          </w:p>
        </w:tc>
        <w:tc>
          <w:tcPr>
            <w:tcW w:w="7717" w:type="dxa"/>
            <w:tcBorders>
              <w:top w:val="single" w:color="auto" w:sz="4" w:space="0"/>
              <w:left w:val="single" w:color="auto" w:sz="4" w:space="0"/>
              <w:bottom w:val="single" w:color="auto" w:sz="4" w:space="0"/>
              <w:right w:val="single" w:color="auto" w:sz="4" w:space="0"/>
            </w:tcBorders>
            <w:vAlign w:val="center"/>
          </w:tcPr>
          <w:p>
            <w:pPr>
              <w:pStyle w:val="55"/>
              <w:jc w:val="both"/>
              <w:rPr>
                <w:bCs/>
                <w:color w:val="000000" w:themeColor="text1"/>
                <w:kern w:val="0"/>
                <w:szCs w:val="24"/>
              </w:rPr>
            </w:pPr>
            <w:r>
              <w:rPr>
                <w:color w:val="000000" w:themeColor="text1"/>
              </w:rPr>
              <w:t>屠宰废水</w:t>
            </w:r>
            <w:r>
              <w:rPr>
                <w:rFonts w:hint="eastAsia"/>
                <w:color w:val="000000" w:themeColor="text1"/>
              </w:rPr>
              <w:t>、</w:t>
            </w:r>
            <w:r>
              <w:rPr>
                <w:color w:val="000000" w:themeColor="text1"/>
              </w:rPr>
              <w:t>冲洗废水</w:t>
            </w:r>
            <w:r>
              <w:rPr>
                <w:rFonts w:hint="eastAsia"/>
                <w:color w:val="000000" w:themeColor="text1"/>
              </w:rPr>
              <w:t>及生活</w:t>
            </w:r>
            <w:r>
              <w:rPr>
                <w:color w:val="000000" w:themeColor="text1"/>
              </w:rPr>
              <w:t>污水</w:t>
            </w:r>
            <w:r>
              <w:rPr>
                <w:rFonts w:hint="eastAsia"/>
                <w:color w:val="000000" w:themeColor="text1"/>
              </w:rPr>
              <w:t>都</w:t>
            </w:r>
            <w:r>
              <w:rPr>
                <w:color w:val="000000" w:themeColor="text1"/>
              </w:rPr>
              <w:t>排入自建的污水处理站处理</w:t>
            </w:r>
            <w:r>
              <w:rPr>
                <w:rFonts w:hint="eastAsia"/>
                <w:color w:val="000000" w:themeColor="text1"/>
              </w:rPr>
              <w:t>，经厂内污水处理站处理达到《肉类加工工业水污染物排放标准》(GB13457-92)表 3 三级标准及《污水排入城镇下水道水质标准》(GB/T31962-2015)B等级标准后</w:t>
            </w:r>
            <w:r>
              <w:rPr>
                <w:color w:val="000000" w:themeColor="text1"/>
              </w:rPr>
              <w:t>排入砚山县城市污水管网</w:t>
            </w:r>
            <w:r>
              <w:rPr>
                <w:rFonts w:hint="eastAsia"/>
                <w:color w:val="000000" w:themeColor="text1"/>
              </w:rPr>
              <w:t>，最终进入</w:t>
            </w:r>
            <w:r>
              <w:rPr>
                <w:color w:val="000000" w:themeColor="text1"/>
              </w:rPr>
              <w:t>砚山县污水处理厂进一步处理达标后排入听湖水库</w:t>
            </w:r>
            <w:r>
              <w:rPr>
                <w:rFonts w:hint="eastAsia"/>
                <w:bCs/>
                <w:color w:val="000000" w:themeColor="text1"/>
                <w:kern w:val="0"/>
                <w:szCs w:val="24"/>
              </w:rPr>
              <w:t>。</w:t>
            </w:r>
          </w:p>
          <w:p>
            <w:pPr>
              <w:pStyle w:val="55"/>
              <w:jc w:val="both"/>
              <w:rPr>
                <w:color w:val="000000" w:themeColor="text1"/>
              </w:rPr>
            </w:pPr>
            <w:r>
              <w:rPr>
                <w:rFonts w:hint="eastAsia"/>
                <w:color w:val="000000" w:themeColor="text1"/>
                <w:kern w:val="0"/>
              </w:rPr>
              <w:t>①</w:t>
            </w:r>
            <w:r>
              <w:rPr>
                <w:rFonts w:hint="eastAsia"/>
                <w:color w:val="000000" w:themeColor="text1"/>
              </w:rPr>
              <w:t>环评要求建设单位邀请有类似污水处理设计资质的单位对污水处理系统工艺进行论证，并由有相应施工资质的单位进行施工。</w:t>
            </w:r>
          </w:p>
          <w:p>
            <w:pPr>
              <w:pStyle w:val="55"/>
              <w:jc w:val="both"/>
              <w:rPr>
                <w:color w:val="000000" w:themeColor="text1"/>
                <w:kern w:val="0"/>
              </w:rPr>
            </w:pPr>
            <w:r>
              <w:rPr>
                <w:rFonts w:hint="eastAsia"/>
                <w:color w:val="000000" w:themeColor="text1"/>
              </w:rPr>
              <w:t>②污水处理站进出口应设置规范的检测取样口，通过定期监测保证污水处理站的达标排放。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3"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c>
          <w:tcPr>
            <w:tcW w:w="363"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地下水</w:t>
            </w:r>
          </w:p>
        </w:tc>
        <w:tc>
          <w:tcPr>
            <w:tcW w:w="771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bCs/>
                <w:color w:val="000000" w:themeColor="text1"/>
                <w:kern w:val="0"/>
              </w:rPr>
              <w:t>（</w:t>
            </w:r>
            <w:r>
              <w:rPr>
                <w:bCs/>
                <w:color w:val="000000" w:themeColor="text1"/>
                <w:kern w:val="0"/>
              </w:rPr>
              <w:t>1</w:t>
            </w:r>
            <w:r>
              <w:rPr>
                <w:rFonts w:hint="eastAsia"/>
                <w:bCs/>
                <w:color w:val="000000" w:themeColor="text1"/>
                <w:kern w:val="0"/>
              </w:rPr>
              <w:t>）各单元防渗工程的设计使用年限不低于相对应设备、管道或建筑物的设计使用年限；（</w:t>
            </w:r>
            <w:r>
              <w:rPr>
                <w:bCs/>
                <w:color w:val="000000" w:themeColor="text1"/>
                <w:kern w:val="0"/>
              </w:rPr>
              <w:t>2</w:t>
            </w:r>
            <w:r>
              <w:rPr>
                <w:rFonts w:hint="eastAsia"/>
                <w:bCs/>
                <w:color w:val="000000" w:themeColor="text1"/>
                <w:kern w:val="0"/>
              </w:rPr>
              <w:t>）地面防渗方案可采用粘土防渗、混凝土防渗等，防渗性能必须满足表</w:t>
            </w:r>
            <w:r>
              <w:rPr>
                <w:bCs/>
                <w:color w:val="000000" w:themeColor="text1"/>
                <w:kern w:val="0"/>
              </w:rPr>
              <w:t>7-15</w:t>
            </w:r>
            <w:r>
              <w:rPr>
                <w:rFonts w:hint="eastAsia"/>
                <w:bCs/>
                <w:color w:val="000000" w:themeColor="text1"/>
                <w:kern w:val="0"/>
              </w:rPr>
              <w:t>的对应要求；（</w:t>
            </w:r>
            <w:r>
              <w:rPr>
                <w:bCs/>
                <w:color w:val="000000" w:themeColor="text1"/>
                <w:kern w:val="0"/>
              </w:rPr>
              <w:t>3</w:t>
            </w:r>
            <w:r>
              <w:rPr>
                <w:rFonts w:hint="eastAsia"/>
                <w:bCs/>
                <w:color w:val="000000" w:themeColor="text1"/>
                <w:kern w:val="0"/>
              </w:rPr>
              <w:t>）厂区绿化以外的用地应全部进行硬化处理，实现厂区不见黄土；（</w:t>
            </w:r>
            <w:r>
              <w:rPr>
                <w:bCs/>
                <w:color w:val="000000" w:themeColor="text1"/>
                <w:kern w:val="0"/>
              </w:rPr>
              <w:t>4</w:t>
            </w:r>
            <w:r>
              <w:rPr>
                <w:rFonts w:hint="eastAsia"/>
                <w:bCs/>
                <w:color w:val="000000" w:themeColor="text1"/>
                <w:kern w:val="0"/>
              </w:rPr>
              <w:t>）加强厂区防渗，防腐设施的检查，维修力度，确保防渗措施；（</w:t>
            </w:r>
            <w:r>
              <w:rPr>
                <w:bCs/>
                <w:color w:val="000000" w:themeColor="text1"/>
                <w:kern w:val="0"/>
              </w:rPr>
              <w:t>5</w:t>
            </w:r>
            <w:r>
              <w:rPr>
                <w:rFonts w:hint="eastAsia"/>
                <w:bCs/>
                <w:color w:val="000000" w:themeColor="text1"/>
                <w:kern w:val="0"/>
              </w:rPr>
              <w:t>）建立地下水监控系统，包括科学、合理的设置地下水污染监控井，建立完善的监测制度，配备先进的检测仪器和设备，以便及时发现，及时控制，并且监测结果应按项目有关规定及时建立档案，并抄送环境保护行政主管部门，对于常规检测数据应进行公开，满足法律中关于知情权的要求。发现污染和水质恶化时，要及时进行处理，开展系统调查，并上报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3"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c>
          <w:tcPr>
            <w:tcW w:w="36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噪声</w:t>
            </w:r>
          </w:p>
        </w:tc>
        <w:tc>
          <w:tcPr>
            <w:tcW w:w="717"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设备噪声</w:t>
            </w:r>
          </w:p>
        </w:tc>
        <w:tc>
          <w:tcPr>
            <w:tcW w:w="7717" w:type="dxa"/>
            <w:tcBorders>
              <w:top w:val="single" w:color="auto" w:sz="4" w:space="0"/>
              <w:left w:val="single" w:color="auto" w:sz="4" w:space="0"/>
              <w:bottom w:val="single" w:color="auto" w:sz="4" w:space="0"/>
              <w:right w:val="single" w:color="auto" w:sz="4" w:space="0"/>
            </w:tcBorders>
            <w:vAlign w:val="center"/>
          </w:tcPr>
          <w:p>
            <w:pPr>
              <w:pStyle w:val="55"/>
              <w:jc w:val="both"/>
              <w:rPr>
                <w:color w:val="000000" w:themeColor="text1"/>
              </w:rPr>
            </w:pPr>
            <w:r>
              <w:rPr>
                <w:rFonts w:hint="eastAsia"/>
                <w:color w:val="000000" w:themeColor="text1"/>
              </w:rPr>
              <w:t>（1）在选用和购买设备时，采用生产效率高且噪声值低的先进性设备，从源头上减小噪声；</w:t>
            </w:r>
          </w:p>
          <w:p>
            <w:pPr>
              <w:pStyle w:val="55"/>
              <w:jc w:val="both"/>
              <w:rPr>
                <w:color w:val="000000" w:themeColor="text1"/>
              </w:rPr>
            </w:pPr>
            <w:r>
              <w:rPr>
                <w:rFonts w:hint="eastAsia"/>
                <w:color w:val="000000" w:themeColor="text1"/>
              </w:rPr>
              <w:t>（2）各种风机进出口加装消声器及用软管连接，并采用减振底座，确保厂界噪声排放达标；</w:t>
            </w:r>
          </w:p>
          <w:p>
            <w:pPr>
              <w:pStyle w:val="55"/>
              <w:jc w:val="both"/>
              <w:rPr>
                <w:color w:val="000000" w:themeColor="text1"/>
              </w:rPr>
            </w:pPr>
            <w:r>
              <w:rPr>
                <w:rFonts w:hint="eastAsia"/>
                <w:color w:val="000000" w:themeColor="text1"/>
              </w:rPr>
              <w:t>（3）水泵进出口加装避震喉，基础增加橡胶减振垫；</w:t>
            </w:r>
          </w:p>
          <w:p>
            <w:pPr>
              <w:pStyle w:val="55"/>
              <w:jc w:val="both"/>
              <w:rPr>
                <w:color w:val="000000" w:themeColor="text1"/>
              </w:rPr>
            </w:pPr>
            <w:r>
              <w:rPr>
                <w:rFonts w:hint="eastAsia"/>
                <w:color w:val="000000" w:themeColor="text1"/>
              </w:rPr>
              <w:t>（4）定期检查风机等设备噪声源各零部件的联接螺栓及地脚螺栓是否松动，轴承是否异常磨损或润滑不良等，确保设备在良好状态下工作。</w:t>
            </w:r>
          </w:p>
          <w:p>
            <w:pPr>
              <w:pStyle w:val="55"/>
              <w:jc w:val="both"/>
              <w:rPr>
                <w:color w:val="000000" w:themeColor="text1"/>
              </w:rPr>
            </w:pPr>
            <w:r>
              <w:rPr>
                <w:rFonts w:hint="eastAsia"/>
                <w:color w:val="000000" w:themeColor="text1"/>
              </w:rPr>
              <w:t>（5）加强生产区的绿化工作，减缓项目生产过程噪声对厂界外的污染影响，确保厂界噪声达标。</w:t>
            </w:r>
          </w:p>
          <w:p>
            <w:pPr>
              <w:pStyle w:val="55"/>
              <w:jc w:val="both"/>
              <w:rPr>
                <w:color w:val="000000" w:themeColor="text1"/>
              </w:rPr>
            </w:pPr>
            <w:r>
              <w:rPr>
                <w:rFonts w:hint="eastAsia"/>
                <w:bCs/>
                <w:color w:val="000000" w:themeColor="text1"/>
              </w:rPr>
              <w:t>（6）</w:t>
            </w:r>
            <w:r>
              <w:rPr>
                <w:rFonts w:hint="eastAsia"/>
                <w:color w:val="000000" w:themeColor="text1"/>
              </w:rPr>
              <w:t>加强日常维护，保持设备运行状态良好，避免设备不正常运转产生高噪声的现象；</w:t>
            </w:r>
          </w:p>
          <w:p>
            <w:pPr>
              <w:pStyle w:val="55"/>
              <w:jc w:val="both"/>
              <w:rPr>
                <w:color w:val="000000" w:themeColor="text1"/>
              </w:rPr>
            </w:pPr>
            <w:r>
              <w:rPr>
                <w:rFonts w:hint="eastAsia"/>
                <w:color w:val="000000" w:themeColor="text1"/>
              </w:rPr>
              <w:t>（7）加强车辆管理，在厂区设置车辆禁鸣标志，严禁夜间车辆鸣笛；</w:t>
            </w:r>
          </w:p>
          <w:p>
            <w:pPr>
              <w:pStyle w:val="55"/>
              <w:jc w:val="both"/>
              <w:rPr>
                <w:color w:val="000000" w:themeColor="text1"/>
              </w:rPr>
            </w:pPr>
            <w:r>
              <w:rPr>
                <w:rFonts w:hint="eastAsia"/>
                <w:color w:val="000000" w:themeColor="text1"/>
              </w:rPr>
              <w:t>（8）加强人员环保意识教育，提倡文明检测，防止人为噪声。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413"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c>
          <w:tcPr>
            <w:tcW w:w="1080" w:type="dxa"/>
            <w:gridSpan w:val="3"/>
            <w:tcBorders>
              <w:top w:val="single" w:color="auto" w:sz="4" w:space="0"/>
              <w:left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固体废弃物</w:t>
            </w:r>
          </w:p>
        </w:tc>
        <w:tc>
          <w:tcPr>
            <w:tcW w:w="7717" w:type="dxa"/>
            <w:tcBorders>
              <w:top w:val="single" w:color="auto" w:sz="4" w:space="0"/>
              <w:left w:val="single" w:color="auto" w:sz="4" w:space="0"/>
              <w:right w:val="single" w:color="auto" w:sz="4" w:space="0"/>
            </w:tcBorders>
            <w:vAlign w:val="center"/>
          </w:tcPr>
          <w:p>
            <w:pPr>
              <w:pStyle w:val="55"/>
              <w:jc w:val="both"/>
              <w:rPr>
                <w:bCs/>
                <w:color w:val="000000" w:themeColor="text1"/>
                <w:kern w:val="0"/>
                <w:szCs w:val="24"/>
              </w:rPr>
            </w:pPr>
            <w:r>
              <w:rPr>
                <w:rFonts w:hint="eastAsia"/>
                <w:color w:val="000000" w:themeColor="text1"/>
                <w:kern w:val="0"/>
              </w:rPr>
              <w:t>（</w:t>
            </w:r>
            <w:r>
              <w:rPr>
                <w:color w:val="000000" w:themeColor="text1"/>
                <w:kern w:val="0"/>
              </w:rPr>
              <w:t>1</w:t>
            </w:r>
            <w:r>
              <w:rPr>
                <w:rFonts w:hint="eastAsia"/>
                <w:color w:val="000000" w:themeColor="text1"/>
                <w:kern w:val="0"/>
              </w:rPr>
              <w:t>）</w:t>
            </w:r>
            <w:r>
              <w:rPr>
                <w:rFonts w:hint="eastAsia"/>
                <w:color w:val="000000" w:themeColor="text1"/>
              </w:rPr>
              <w:t>应严格按照动物防疫法的相关规定执行，对病死猪（鸡）不准宰杀、不准食用、不准出售、不准运载；及时通过焚烧炉焚烧处理，严禁随意丢弃，严禁出售或作为饲料再利用</w:t>
            </w:r>
            <w:r>
              <w:rPr>
                <w:rFonts w:hint="eastAsia"/>
                <w:bCs/>
                <w:color w:val="000000" w:themeColor="text1"/>
                <w:kern w:val="0"/>
                <w:szCs w:val="24"/>
              </w:rPr>
              <w:t>；</w:t>
            </w:r>
          </w:p>
          <w:p>
            <w:pPr>
              <w:pStyle w:val="55"/>
              <w:jc w:val="both"/>
              <w:rPr>
                <w:color w:val="000000" w:themeColor="text1"/>
              </w:rPr>
            </w:pPr>
            <w:r>
              <w:rPr>
                <w:rFonts w:hint="eastAsia"/>
                <w:color w:val="000000" w:themeColor="text1"/>
              </w:rPr>
              <w:t>（2）粪便暂存间内暂存要求为：①对</w:t>
            </w:r>
            <w:r>
              <w:rPr>
                <w:rFonts w:hint="eastAsia"/>
                <w:bCs/>
                <w:color w:val="000000" w:themeColor="text1"/>
              </w:rPr>
              <w:t>粪便暂存间采取</w:t>
            </w:r>
            <w:r>
              <w:rPr>
                <w:rFonts w:hint="eastAsia"/>
                <w:color w:val="000000" w:themeColor="text1"/>
              </w:rPr>
              <w:t>防雨、防泄漏、防渗、防溢流、防晒等措施，防止雨季雨水进入粪便暂存间而产生渗滤废水；②在粪便暂存池四周设置围堰，防止粪便散露和外围雨水进入粪便暂存池，围堰高度不低于</w:t>
            </w:r>
            <w:r>
              <w:rPr>
                <w:color w:val="000000" w:themeColor="text1"/>
              </w:rPr>
              <w:t>50cm</w:t>
            </w:r>
            <w:r>
              <w:rPr>
                <w:rFonts w:hint="eastAsia"/>
                <w:color w:val="000000" w:themeColor="text1"/>
              </w:rPr>
              <w:t>；③对粪便暂存池设置半封闭措施，防止粪便堆放产生的恶臭对环境造成影响；④对粪便暂存池进行采取有效的防渗处理工艺，</w:t>
            </w:r>
            <w:r>
              <w:rPr>
                <w:rFonts w:hint="eastAsia"/>
                <w:bCs/>
                <w:color w:val="000000" w:themeColor="text1"/>
              </w:rPr>
              <w:t>防渗层为至少</w:t>
            </w:r>
            <w:r>
              <w:rPr>
                <w:bCs/>
                <w:color w:val="000000" w:themeColor="text1"/>
              </w:rPr>
              <w:t>2</w:t>
            </w:r>
            <w:r>
              <w:rPr>
                <w:rFonts w:hint="eastAsia"/>
                <w:bCs/>
                <w:color w:val="000000" w:themeColor="text1"/>
              </w:rPr>
              <w:t>毫米厚高密度聚乙烯，渗透系数</w:t>
            </w:r>
            <w:r>
              <w:rPr>
                <w:bCs/>
                <w:color w:val="000000" w:themeColor="text1"/>
              </w:rPr>
              <w:t>≤10</w:t>
            </w:r>
            <w:r>
              <w:rPr>
                <w:bCs/>
                <w:color w:val="000000" w:themeColor="text1"/>
                <w:vertAlign w:val="superscript"/>
              </w:rPr>
              <w:t>-7</w:t>
            </w:r>
            <w:r>
              <w:rPr>
                <w:bCs/>
                <w:color w:val="000000" w:themeColor="text1"/>
              </w:rPr>
              <w:t>cm/s</w:t>
            </w:r>
            <w:r>
              <w:rPr>
                <w:rFonts w:hint="eastAsia"/>
                <w:color w:val="000000" w:themeColor="text1"/>
              </w:rPr>
              <w:t>。</w:t>
            </w:r>
          </w:p>
          <w:p>
            <w:pPr>
              <w:pStyle w:val="55"/>
              <w:jc w:val="both"/>
              <w:rPr>
                <w:color w:val="000000" w:themeColor="text1"/>
              </w:rPr>
            </w:pPr>
            <w:r>
              <w:rPr>
                <w:rFonts w:hint="eastAsia"/>
                <w:color w:val="000000" w:themeColor="text1"/>
                <w:kern w:val="0"/>
              </w:rPr>
              <w:t>（3）</w:t>
            </w:r>
            <w:r>
              <w:rPr>
                <w:rFonts w:hint="eastAsia"/>
                <w:color w:val="000000" w:themeColor="text1"/>
              </w:rPr>
              <w:t>无害化焚烧炉残渣属于一般固体废物，</w:t>
            </w:r>
            <w:r>
              <w:rPr>
                <w:rFonts w:hint="eastAsia"/>
                <w:bCs/>
                <w:iCs/>
                <w:color w:val="000000" w:themeColor="text1"/>
                <w:szCs w:val="24"/>
              </w:rPr>
              <w:t>统一收集后送至砚山县垃圾填埋场填埋处置</w:t>
            </w:r>
            <w:r>
              <w:rPr>
                <w:rFonts w:hint="eastAsia"/>
                <w:color w:val="000000" w:themeColor="text1"/>
              </w:rPr>
              <w:t>。</w:t>
            </w:r>
          </w:p>
          <w:p>
            <w:pPr>
              <w:pStyle w:val="55"/>
              <w:jc w:val="both"/>
              <w:rPr>
                <w:bCs/>
                <w:iCs/>
                <w:color w:val="000000" w:themeColor="text1"/>
                <w:szCs w:val="24"/>
              </w:rPr>
            </w:pPr>
            <w:r>
              <w:rPr>
                <w:rFonts w:hint="eastAsia"/>
                <w:bCs/>
                <w:color w:val="000000" w:themeColor="text1"/>
                <w:kern w:val="0"/>
                <w:szCs w:val="24"/>
              </w:rPr>
              <w:t>（4）</w:t>
            </w:r>
            <w:r>
              <w:rPr>
                <w:rFonts w:hint="eastAsia"/>
                <w:color w:val="000000" w:themeColor="text1"/>
              </w:rPr>
              <w:t>项目污水处理站的栅渣及污泥应定期清掏，清掏后</w:t>
            </w:r>
            <w:r>
              <w:rPr>
                <w:rFonts w:hint="eastAsia"/>
                <w:bCs/>
                <w:iCs/>
                <w:color w:val="000000" w:themeColor="text1"/>
                <w:szCs w:val="24"/>
              </w:rPr>
              <w:t>按照环卫部门要求统一清运处置。</w:t>
            </w:r>
          </w:p>
          <w:p>
            <w:pPr>
              <w:pStyle w:val="55"/>
              <w:jc w:val="both"/>
              <w:rPr>
                <w:bCs/>
                <w:iCs/>
                <w:color w:val="000000" w:themeColor="text1"/>
                <w:szCs w:val="24"/>
              </w:rPr>
            </w:pPr>
            <w:r>
              <w:rPr>
                <w:rFonts w:hint="eastAsia"/>
                <w:bCs/>
                <w:iCs/>
                <w:color w:val="000000" w:themeColor="text1"/>
                <w:szCs w:val="24"/>
              </w:rPr>
              <w:t>（5）检疫产生的废实验盒属于危险废物，该危险废物由动物卫生监督所的检疫人员带走进行处置。</w:t>
            </w:r>
          </w:p>
          <w:p>
            <w:pPr>
              <w:pStyle w:val="55"/>
              <w:jc w:val="both"/>
              <w:rPr>
                <w:color w:val="000000" w:themeColor="text1"/>
                <w:kern w:val="0"/>
              </w:rPr>
            </w:pPr>
            <w:r>
              <w:rPr>
                <w:rFonts w:hint="eastAsia"/>
                <w:bCs/>
                <w:iCs/>
                <w:color w:val="000000" w:themeColor="text1"/>
                <w:szCs w:val="24"/>
              </w:rPr>
              <w:t>（6）生活垃圾统一收集后按照环卫部门要求统一清运处置。</w:t>
            </w:r>
          </w:p>
        </w:tc>
      </w:tr>
    </w:tbl>
    <w:p>
      <w:pPr>
        <w:pStyle w:val="3"/>
        <w:rPr>
          <w:color w:val="000000" w:themeColor="text1"/>
        </w:rPr>
      </w:pPr>
      <w:bookmarkStart w:id="302" w:name="_Toc47375905"/>
      <w:r>
        <w:rPr>
          <w:rFonts w:hint="eastAsia"/>
          <w:color w:val="000000" w:themeColor="text1"/>
        </w:rPr>
        <w:t>7.3污染物总量控制分析</w:t>
      </w:r>
      <w:bookmarkEnd w:id="302"/>
    </w:p>
    <w:p>
      <w:pPr>
        <w:pStyle w:val="38"/>
        <w:ind w:firstLine="281"/>
        <w:rPr>
          <w:color w:val="000000" w:themeColor="text1"/>
        </w:rPr>
      </w:pPr>
      <w:bookmarkStart w:id="303" w:name="_Toc47375906"/>
      <w:r>
        <w:rPr>
          <w:rFonts w:hint="eastAsia"/>
          <w:color w:val="000000" w:themeColor="text1"/>
        </w:rPr>
        <w:t>7.3.1总量控制目的</w:t>
      </w:r>
      <w:bookmarkEnd w:id="303"/>
    </w:p>
    <w:p>
      <w:pPr>
        <w:ind w:firstLine="480"/>
        <w:rPr>
          <w:color w:val="000000" w:themeColor="text1"/>
        </w:rPr>
      </w:pPr>
      <w:r>
        <w:rPr>
          <w:rFonts w:hint="eastAsia"/>
          <w:color w:val="000000" w:themeColor="text1"/>
        </w:rPr>
        <w:t>我国目前实行的是区域污染物排放总量目标控制，即区域排污量在一定时期内不得突破分配的污染物排放总量。因此，本项目的总量控制应以区域总量不突破为前提，做到所在区域内总量平衡。通过对本项目污染物排放总量及控制途径分析，最大限度地减少各类污染物进入环境，以确保砚山县环境质量目标能得到实现，达到扩建项目建设的经济效益、环境效益和社会效益的三统一和本区域经济的可持续发展。</w:t>
      </w:r>
    </w:p>
    <w:p>
      <w:pPr>
        <w:pStyle w:val="38"/>
        <w:ind w:firstLine="281"/>
        <w:rPr>
          <w:color w:val="000000" w:themeColor="text1"/>
        </w:rPr>
      </w:pPr>
      <w:bookmarkStart w:id="304" w:name="_Toc47375907"/>
      <w:r>
        <w:rPr>
          <w:rFonts w:hint="eastAsia"/>
          <w:color w:val="000000" w:themeColor="text1"/>
        </w:rPr>
        <w:t>7.3.2总量控制原则与对象</w:t>
      </w:r>
      <w:bookmarkEnd w:id="304"/>
    </w:p>
    <w:p>
      <w:pPr>
        <w:ind w:firstLine="480"/>
        <w:rPr>
          <w:color w:val="000000" w:themeColor="text1"/>
        </w:rPr>
      </w:pPr>
      <w:r>
        <w:rPr>
          <w:rFonts w:hint="eastAsia"/>
          <w:color w:val="000000" w:themeColor="text1"/>
        </w:rPr>
        <w:t>国家提出的“总量控制”是区域性的，当局部不可避免地增加污染物排放时，应对同行业或区域内进行污染物排放量削减，使区域内污染源的污染物排放负荷控制在一定的数量内，使污染物的受纳水体、空气等的环境质量可达到规定的环境目标。</w:t>
      </w:r>
    </w:p>
    <w:p>
      <w:pPr>
        <w:ind w:firstLine="480"/>
        <w:rPr>
          <w:color w:val="000000" w:themeColor="text1"/>
        </w:rPr>
      </w:pPr>
      <w:r>
        <w:rPr>
          <w:rFonts w:hint="eastAsia"/>
          <w:color w:val="000000" w:themeColor="text1"/>
        </w:rPr>
        <w:t>实施污染物总量控制是考核各级政府和企业环境保护目标责任制的重要指标，也是改善环境质量的具体措施之一。目前，国家实施污染物总量控制的基本原则是：由各级政府层层分界、下达区域控制指标，各级政府在根据辖区内企业发展状况和污染防治规划情况，给企业分解、下达具体控制指标。对扩建和技改项目，必须首先落实现有工程的“三废”达标情况，并以新带老，尽量做到增产不增污。对确需增加排污总量的新建或扩建项目，可经企业申请，由当地政府根据环境容量条件，从区域控制指标调剂解决。</w:t>
      </w:r>
    </w:p>
    <w:p>
      <w:pPr>
        <w:ind w:firstLine="480"/>
        <w:rPr>
          <w:color w:val="000000" w:themeColor="text1"/>
        </w:rPr>
      </w:pPr>
      <w:r>
        <w:rPr>
          <w:rFonts w:hint="eastAsia"/>
          <w:color w:val="000000" w:themeColor="text1"/>
        </w:rPr>
        <w:t>根据《国务院关于印发大气污染防治行动计划的通知》(国发(2013)37号)、《“十三五”生态环境保护规划》纳入总量控制指标的有：二氧化硫(SO</w:t>
      </w:r>
      <w:r>
        <w:rPr>
          <w:rFonts w:hint="eastAsia"/>
          <w:color w:val="000000" w:themeColor="text1"/>
          <w:vertAlign w:val="subscript"/>
        </w:rPr>
        <w:t>2</w:t>
      </w:r>
      <w:r>
        <w:rPr>
          <w:rFonts w:hint="eastAsia"/>
          <w:color w:val="000000" w:themeColor="text1"/>
        </w:rPr>
        <w:t>)、氮氧化物(NOx)、化学需氧量(CODcr)、氨氮(NH</w:t>
      </w:r>
      <w:r>
        <w:rPr>
          <w:rFonts w:hint="eastAsia"/>
          <w:color w:val="000000" w:themeColor="text1"/>
          <w:vertAlign w:val="subscript"/>
        </w:rPr>
        <w:t>3</w:t>
      </w:r>
      <w:r>
        <w:rPr>
          <w:rFonts w:hint="eastAsia"/>
          <w:color w:val="000000" w:themeColor="text1"/>
        </w:rPr>
        <w:t>-N)。</w:t>
      </w:r>
    </w:p>
    <w:p>
      <w:pPr>
        <w:pStyle w:val="38"/>
        <w:ind w:firstLine="281"/>
        <w:rPr>
          <w:color w:val="000000" w:themeColor="text1"/>
        </w:rPr>
      </w:pPr>
      <w:bookmarkStart w:id="305" w:name="_Toc47375908"/>
      <w:r>
        <w:rPr>
          <w:rFonts w:hint="eastAsia"/>
          <w:color w:val="000000" w:themeColor="text1"/>
        </w:rPr>
        <w:t>7.3.3总量控制指标分析</w:t>
      </w:r>
      <w:bookmarkEnd w:id="305"/>
    </w:p>
    <w:p>
      <w:pPr>
        <w:pStyle w:val="57"/>
        <w:ind w:firstLine="482"/>
        <w:rPr>
          <w:color w:val="000000" w:themeColor="text1"/>
        </w:rPr>
      </w:pPr>
      <w:r>
        <w:rPr>
          <w:rFonts w:hint="eastAsia"/>
          <w:color w:val="000000" w:themeColor="text1"/>
        </w:rPr>
        <w:t>7.3.3.1污染物排放量</w:t>
      </w:r>
    </w:p>
    <w:p>
      <w:pPr>
        <w:ind w:firstLine="480"/>
        <w:rPr>
          <w:color w:val="000000" w:themeColor="text1"/>
        </w:rPr>
      </w:pPr>
      <w:r>
        <w:rPr>
          <w:rFonts w:hint="eastAsia"/>
          <w:color w:val="000000" w:themeColor="text1"/>
        </w:rPr>
        <w:t>结合工程分析相关内容，搬迁项目建成后，现有工程生产线停用。本项目生物质锅炉、焚烧炉运行会产生颗粒物、SO</w:t>
      </w:r>
      <w:r>
        <w:rPr>
          <w:rFonts w:hint="eastAsia"/>
          <w:color w:val="000000" w:themeColor="text1"/>
          <w:vertAlign w:val="subscript"/>
        </w:rPr>
        <w:t>2</w:t>
      </w:r>
      <w:r>
        <w:rPr>
          <w:rFonts w:hint="eastAsia"/>
          <w:color w:val="000000" w:themeColor="text1"/>
        </w:rPr>
        <w:t>、NOx，屠宰废水及生活污水经厂区污水处理站处理后进入市政污水管网，最终进入砚山县污水处理厂进一步处理，达标汇入听湖水库。</w:t>
      </w:r>
    </w:p>
    <w:p>
      <w:pPr>
        <w:ind w:firstLine="480"/>
        <w:rPr>
          <w:color w:val="000000" w:themeColor="text1"/>
        </w:rPr>
      </w:pPr>
      <w:r>
        <w:rPr>
          <w:rFonts w:hint="eastAsia"/>
          <w:color w:val="000000" w:themeColor="text1"/>
        </w:rPr>
        <w:t>（1）项目废气污染物总量：废气排放量为193.479万</w:t>
      </w:r>
      <w:r>
        <w:rPr>
          <w:bCs/>
          <w:snapToGrid w:val="0"/>
          <w:color w:val="000000" w:themeColor="text1"/>
        </w:rPr>
        <w:t>m</w:t>
      </w:r>
      <w:r>
        <w:rPr>
          <w:bCs/>
          <w:snapToGrid w:val="0"/>
          <w:color w:val="000000" w:themeColor="text1"/>
          <w:vertAlign w:val="superscript"/>
        </w:rPr>
        <w:t>3</w:t>
      </w:r>
      <w:r>
        <w:rPr>
          <w:bCs/>
          <w:snapToGrid w:val="0"/>
          <w:color w:val="000000" w:themeColor="text1"/>
        </w:rPr>
        <w:t>/a</w:t>
      </w:r>
      <w:r>
        <w:rPr>
          <w:rFonts w:hint="eastAsia"/>
          <w:bCs/>
          <w:snapToGrid w:val="0"/>
          <w:color w:val="000000" w:themeColor="text1"/>
        </w:rPr>
        <w:t>；颗粒物排放量为0.0451t/a；SO</w:t>
      </w:r>
      <w:r>
        <w:rPr>
          <w:rFonts w:hint="eastAsia"/>
          <w:bCs/>
          <w:snapToGrid w:val="0"/>
          <w:color w:val="000000" w:themeColor="text1"/>
          <w:vertAlign w:val="subscript"/>
        </w:rPr>
        <w:t>2</w:t>
      </w:r>
      <w:r>
        <w:rPr>
          <w:rFonts w:hint="eastAsia"/>
          <w:bCs/>
          <w:snapToGrid w:val="0"/>
          <w:color w:val="000000" w:themeColor="text1"/>
        </w:rPr>
        <w:t>排放量为0.0455t/a；NOx排放量为0.475t/a。</w:t>
      </w:r>
    </w:p>
    <w:p>
      <w:pPr>
        <w:ind w:firstLine="480"/>
        <w:rPr>
          <w:color w:val="000000" w:themeColor="text1"/>
        </w:rPr>
      </w:pPr>
      <w:r>
        <w:rPr>
          <w:rFonts w:hint="eastAsia"/>
          <w:color w:val="000000" w:themeColor="text1"/>
        </w:rPr>
        <w:t>（2）项目废水污染物总量：废水排放量为8.518万t/a；CODcr排放量为5.098t/a；NH</w:t>
      </w:r>
      <w:r>
        <w:rPr>
          <w:rFonts w:hint="eastAsia"/>
          <w:color w:val="000000" w:themeColor="text1"/>
          <w:vertAlign w:val="subscript"/>
        </w:rPr>
        <w:t>3</w:t>
      </w:r>
      <w:r>
        <w:rPr>
          <w:rFonts w:hint="eastAsia"/>
          <w:color w:val="000000" w:themeColor="text1"/>
        </w:rPr>
        <w:t>-N排放量为0.798t/a。</w:t>
      </w:r>
    </w:p>
    <w:p>
      <w:pPr>
        <w:pStyle w:val="57"/>
        <w:ind w:firstLine="482"/>
        <w:rPr>
          <w:color w:val="000000" w:themeColor="text1"/>
        </w:rPr>
      </w:pPr>
      <w:r>
        <w:rPr>
          <w:rFonts w:hint="eastAsia"/>
          <w:color w:val="000000" w:themeColor="text1"/>
        </w:rPr>
        <w:t>7.3.3.2排污许可证要求</w:t>
      </w:r>
    </w:p>
    <w:p>
      <w:pPr>
        <w:ind w:firstLine="480"/>
        <w:rPr>
          <w:color w:val="000000" w:themeColor="text1"/>
        </w:rPr>
      </w:pPr>
      <w:r>
        <w:rPr>
          <w:rFonts w:hint="eastAsia"/>
          <w:color w:val="000000" w:themeColor="text1"/>
        </w:rPr>
        <w:t>根据生态环境部部令第11号《固定污染源排污许可分类管理名录（2019年版）》，本项目属于排污许可重点管理单位。根据国家规定，企业需进行排污许可申请。</w:t>
      </w:r>
    </w:p>
    <w:p>
      <w:pPr>
        <w:widowControl/>
        <w:spacing w:line="240" w:lineRule="auto"/>
        <w:ind w:firstLine="0" w:firstLineChars="0"/>
        <w:jc w:val="left"/>
        <w:rPr>
          <w:b/>
          <w:color w:val="000000" w:themeColor="text1"/>
          <w:sz w:val="32"/>
        </w:rPr>
      </w:pPr>
      <w:r>
        <w:rPr>
          <w:color w:val="000000" w:themeColor="text1"/>
        </w:rPr>
        <w:br w:type="page"/>
      </w:r>
    </w:p>
    <w:p>
      <w:pPr>
        <w:pStyle w:val="2"/>
        <w:spacing w:before="249" w:after="249"/>
        <w:rPr>
          <w:color w:val="000000" w:themeColor="text1"/>
        </w:rPr>
      </w:pPr>
      <w:bookmarkStart w:id="306" w:name="_Toc47375909"/>
      <w:r>
        <w:rPr>
          <w:rFonts w:hint="eastAsia"/>
          <w:color w:val="000000" w:themeColor="text1"/>
        </w:rPr>
        <w:t>8. 项目规划符合性及选址合理性分析</w:t>
      </w:r>
      <w:bookmarkEnd w:id="306"/>
    </w:p>
    <w:p>
      <w:pPr>
        <w:pStyle w:val="3"/>
        <w:rPr>
          <w:color w:val="000000" w:themeColor="text1"/>
        </w:rPr>
      </w:pPr>
      <w:bookmarkStart w:id="307" w:name="_Toc47375910"/>
      <w:r>
        <w:rPr>
          <w:rFonts w:hint="eastAsia"/>
          <w:color w:val="000000" w:themeColor="text1"/>
        </w:rPr>
        <w:t>8.1产业政策、行业相关管理办法符合性分析</w:t>
      </w:r>
      <w:bookmarkEnd w:id="307"/>
    </w:p>
    <w:p>
      <w:pPr>
        <w:pStyle w:val="38"/>
        <w:ind w:firstLine="281"/>
        <w:rPr>
          <w:color w:val="000000" w:themeColor="text1"/>
        </w:rPr>
      </w:pPr>
      <w:bookmarkStart w:id="308" w:name="_Toc47375911"/>
      <w:r>
        <w:rPr>
          <w:rFonts w:hint="eastAsia"/>
          <w:color w:val="000000" w:themeColor="text1"/>
        </w:rPr>
        <w:t>8.1.1与《产业结构调整指导目录(2019 年)》符合性分析</w:t>
      </w:r>
      <w:bookmarkEnd w:id="308"/>
    </w:p>
    <w:p>
      <w:pPr>
        <w:ind w:firstLine="480"/>
        <w:rPr>
          <w:color w:val="000000" w:themeColor="text1"/>
        </w:rPr>
      </w:pPr>
      <w:r>
        <w:rPr>
          <w:rFonts w:hint="eastAsia"/>
          <w:color w:val="000000" w:themeColor="text1"/>
        </w:rPr>
        <w:t>《产业结构调整指导目录(2019 年)》关于生猪屠宰规定如下：“十二、轻工”、“24.年屠宰生猪 15 万头以下、牛肉 1 万头以下、羊肉 15 万只及以下、活禽 1000 万只以下的屠宰建设项目”为限制类项目，本项目年屠宰生猪规模为15万头，不属于《产业结构调整指导目录(2019 年)》中的限制类项目。</w:t>
      </w:r>
    </w:p>
    <w:p>
      <w:pPr>
        <w:ind w:firstLine="480"/>
        <w:rPr>
          <w:color w:val="000000" w:themeColor="text1"/>
        </w:rPr>
      </w:pPr>
      <w:r>
        <w:rPr>
          <w:rFonts w:hint="eastAsia"/>
          <w:color w:val="000000" w:themeColor="text1"/>
        </w:rPr>
        <w:t>本项目未使用国家明令淘汰的桥式劈半锯、敞式生猪烫毛机等生猪屠宰设备，扩建项目年屠宰生猪规模为15万头，属于《产业结构调整指导目录(2019 年本)》中的第一类鼓励类项目、“一、农林业”、“26.农林牧渔产品储运、保鲜、加工及综合利用”。本项目建设符合国家产业政策要求。此外，本项目已取得了砚山县发展和改革局《投资项目备案证》（项目代码：2018-532622-05-03-013029），因此，本项目符合国家现行的有关产业政策。</w:t>
      </w:r>
    </w:p>
    <w:p>
      <w:pPr>
        <w:pStyle w:val="38"/>
        <w:ind w:firstLine="281"/>
        <w:rPr>
          <w:color w:val="000000" w:themeColor="text1"/>
        </w:rPr>
      </w:pPr>
      <w:bookmarkStart w:id="309" w:name="_Toc47375912"/>
      <w:r>
        <w:rPr>
          <w:rFonts w:hint="eastAsia"/>
          <w:color w:val="000000" w:themeColor="text1"/>
        </w:rPr>
        <w:t>8.1.2与《生猪屠宰管理条例》符合性分析</w:t>
      </w:r>
      <w:bookmarkEnd w:id="309"/>
    </w:p>
    <w:p>
      <w:pPr>
        <w:ind w:firstLine="480"/>
        <w:rPr>
          <w:color w:val="000000" w:themeColor="text1"/>
        </w:rPr>
      </w:pPr>
      <w:r>
        <w:rPr>
          <w:rFonts w:hint="eastAsia"/>
          <w:color w:val="000000" w:themeColor="text1"/>
        </w:rPr>
        <w:t>项目建设与《生猪屠宰管理条例》符合性分析情况见表 8.1.2-1。</w:t>
      </w:r>
    </w:p>
    <w:p>
      <w:pPr>
        <w:pStyle w:val="54"/>
        <w:rPr>
          <w:color w:val="000000" w:themeColor="text1"/>
        </w:rPr>
      </w:pPr>
      <w:r>
        <w:rPr>
          <w:rFonts w:hint="eastAsia"/>
          <w:color w:val="000000" w:themeColor="text1"/>
        </w:rPr>
        <w:t>表8.1.2-1  项目与《生猪屠宰管理条例》符合性分析</w:t>
      </w:r>
    </w:p>
    <w:tbl>
      <w:tblPr>
        <w:tblStyle w:val="43"/>
        <w:tblW w:w="8840"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93"/>
        <w:gridCol w:w="4111"/>
        <w:gridCol w:w="2977"/>
        <w:gridCol w:w="75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104" w:type="dxa"/>
            <w:gridSpan w:val="2"/>
            <w:vAlign w:val="center"/>
          </w:tcPr>
          <w:p>
            <w:pPr>
              <w:pStyle w:val="55"/>
              <w:rPr>
                <w:b/>
                <w:color w:val="000000" w:themeColor="text1"/>
              </w:rPr>
            </w:pPr>
            <w:r>
              <w:rPr>
                <w:rFonts w:hint="eastAsia"/>
                <w:b/>
                <w:color w:val="000000" w:themeColor="text1"/>
              </w:rPr>
              <w:t>文件要求</w:t>
            </w:r>
          </w:p>
        </w:tc>
        <w:tc>
          <w:tcPr>
            <w:tcW w:w="2977" w:type="dxa"/>
            <w:vAlign w:val="center"/>
          </w:tcPr>
          <w:p>
            <w:pPr>
              <w:pStyle w:val="55"/>
              <w:rPr>
                <w:b/>
                <w:color w:val="000000" w:themeColor="text1"/>
              </w:rPr>
            </w:pPr>
            <w:r>
              <w:rPr>
                <w:rFonts w:hint="eastAsia"/>
                <w:b/>
                <w:color w:val="000000" w:themeColor="text1"/>
              </w:rPr>
              <w:t>本项目情况</w:t>
            </w:r>
          </w:p>
        </w:tc>
        <w:tc>
          <w:tcPr>
            <w:tcW w:w="759" w:type="dxa"/>
            <w:vAlign w:val="center"/>
          </w:tcPr>
          <w:p>
            <w:pPr>
              <w:pStyle w:val="55"/>
              <w:rPr>
                <w:b/>
                <w:color w:val="000000" w:themeColor="text1"/>
              </w:rPr>
            </w:pPr>
            <w:r>
              <w:rPr>
                <w:rFonts w:hint="eastAsia"/>
                <w:b/>
                <w:color w:val="000000" w:themeColor="text1"/>
              </w:rPr>
              <w:t>符合情况</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104" w:type="dxa"/>
            <w:gridSpan w:val="2"/>
            <w:vAlign w:val="center"/>
          </w:tcPr>
          <w:p>
            <w:pPr>
              <w:pStyle w:val="55"/>
              <w:rPr>
                <w:color w:val="000000" w:themeColor="text1"/>
              </w:rPr>
            </w:pPr>
            <w:r>
              <w:rPr>
                <w:rFonts w:hint="eastAsia"/>
                <w:color w:val="000000" w:themeColor="text1"/>
              </w:rPr>
              <w:t>未经定点，任何单位和个人不得从事生猪屠宰活动，但是，农村地区个人自宰自食的除外，在边远和交通不便的农村地区，可以设置仅限于向本地市场供应生猪产品的小型生猪屠宰场，具体管理办法由省、自治区和直辖市指定</w:t>
            </w:r>
          </w:p>
        </w:tc>
        <w:tc>
          <w:tcPr>
            <w:tcW w:w="2977" w:type="dxa"/>
            <w:vAlign w:val="center"/>
          </w:tcPr>
          <w:p>
            <w:pPr>
              <w:pStyle w:val="55"/>
              <w:rPr>
                <w:color w:val="000000" w:themeColor="text1"/>
              </w:rPr>
            </w:pPr>
            <w:r>
              <w:rPr>
                <w:rFonts w:hint="eastAsia"/>
                <w:color w:val="000000" w:themeColor="text1"/>
              </w:rPr>
              <w:t>已取得生猪定点屠宰点资格</w:t>
            </w:r>
          </w:p>
        </w:tc>
        <w:tc>
          <w:tcPr>
            <w:tcW w:w="759" w:type="dxa"/>
            <w:vAlign w:val="center"/>
          </w:tcPr>
          <w:p>
            <w:pPr>
              <w:pStyle w:val="55"/>
              <w:rPr>
                <w:color w:val="000000" w:themeColor="text1"/>
              </w:rPr>
            </w:pPr>
            <w:r>
              <w:rPr>
                <w:rFonts w:hint="eastAsia"/>
                <w:color w:val="000000" w:themeColor="text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104" w:type="dxa"/>
            <w:gridSpan w:val="2"/>
            <w:vAlign w:val="center"/>
          </w:tcPr>
          <w:p>
            <w:pPr>
              <w:pStyle w:val="55"/>
              <w:rPr>
                <w:color w:val="000000" w:themeColor="text1"/>
              </w:rPr>
            </w:pPr>
            <w:r>
              <w:rPr>
                <w:rFonts w:hint="eastAsia"/>
                <w:color w:val="000000" w:themeColor="text1"/>
              </w:rPr>
              <w:t>国务院商务主管部门负责全国生猪屠宰的行业管理工作，县级以上地方人民政府商务主管</w:t>
            </w:r>
          </w:p>
        </w:tc>
        <w:tc>
          <w:tcPr>
            <w:tcW w:w="2977" w:type="dxa"/>
            <w:vAlign w:val="center"/>
          </w:tcPr>
          <w:p>
            <w:pPr>
              <w:pStyle w:val="55"/>
              <w:rPr>
                <w:color w:val="000000" w:themeColor="text1"/>
              </w:rPr>
            </w:pPr>
            <w:r>
              <w:rPr>
                <w:rFonts w:hint="eastAsia"/>
                <w:color w:val="000000" w:themeColor="text1"/>
              </w:rPr>
              <w:t>列入定点屠宰名单，由砚山县政府部门负责日常的生猪屠宰的监督管理</w:t>
            </w:r>
          </w:p>
        </w:tc>
        <w:tc>
          <w:tcPr>
            <w:tcW w:w="759" w:type="dxa"/>
            <w:vAlign w:val="center"/>
          </w:tcPr>
          <w:p>
            <w:pPr>
              <w:pStyle w:val="55"/>
              <w:rPr>
                <w:color w:val="000000" w:themeColor="text1"/>
              </w:rPr>
            </w:pPr>
            <w:r>
              <w:rPr>
                <w:rFonts w:hint="eastAsia"/>
                <w:color w:val="000000" w:themeColor="text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104" w:type="dxa"/>
            <w:gridSpan w:val="2"/>
            <w:vAlign w:val="center"/>
          </w:tcPr>
          <w:p>
            <w:pPr>
              <w:pStyle w:val="55"/>
              <w:rPr>
                <w:color w:val="000000" w:themeColor="text1"/>
              </w:rPr>
            </w:pPr>
            <w:r>
              <w:rPr>
                <w:rFonts w:hint="eastAsia"/>
                <w:color w:val="000000" w:themeColor="text1"/>
              </w:rPr>
              <w:t>生猪定点屠宰厂(场)的设置规划，由省、自治区、直辖市人民政府商务部主管部门会同畜牧兽医主管部门、环境保护主管部门以及其他有关部门，按照合理布局，适当集中，有利流通、方便群众的原则，结合本地实际情况制定，报本级人民政府批准后实施。</w:t>
            </w:r>
          </w:p>
        </w:tc>
        <w:tc>
          <w:tcPr>
            <w:tcW w:w="2977" w:type="dxa"/>
            <w:vAlign w:val="center"/>
          </w:tcPr>
          <w:p>
            <w:pPr>
              <w:pStyle w:val="55"/>
              <w:rPr>
                <w:color w:val="000000" w:themeColor="text1"/>
              </w:rPr>
            </w:pPr>
            <w:r>
              <w:rPr>
                <w:rFonts w:hint="eastAsia"/>
                <w:color w:val="000000" w:themeColor="text1"/>
              </w:rPr>
              <w:t>环评手续办理完成后报政府部门批准后满足要求</w:t>
            </w:r>
          </w:p>
        </w:tc>
        <w:tc>
          <w:tcPr>
            <w:tcW w:w="759" w:type="dxa"/>
            <w:vAlign w:val="center"/>
          </w:tcPr>
          <w:p>
            <w:pPr>
              <w:pStyle w:val="55"/>
              <w:rPr>
                <w:color w:val="000000" w:themeColor="text1"/>
              </w:rPr>
            </w:pPr>
            <w:r>
              <w:rPr>
                <w:rFonts w:hint="eastAsia"/>
                <w:color w:val="000000" w:themeColor="text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104" w:type="dxa"/>
            <w:gridSpan w:val="2"/>
            <w:vAlign w:val="center"/>
          </w:tcPr>
          <w:p>
            <w:pPr>
              <w:pStyle w:val="55"/>
              <w:rPr>
                <w:color w:val="000000" w:themeColor="text1"/>
              </w:rPr>
            </w:pPr>
            <w:r>
              <w:rPr>
                <w:rFonts w:hint="eastAsia"/>
                <w:color w:val="000000" w:themeColor="text1"/>
              </w:rPr>
              <w:t>生猪定点屠宰厂应当将生猪定点屠宰标志牌悬挂于厂区的显著位置，生猪定点屠宰证书和生猪定点屠宰标识牌不得出借、转让，任何单位和个人不得冒用或者使用伪造的生猪定点屠宰证书和生猪定点屠宰标识牌</w:t>
            </w:r>
          </w:p>
        </w:tc>
        <w:tc>
          <w:tcPr>
            <w:tcW w:w="2977" w:type="dxa"/>
            <w:vAlign w:val="center"/>
          </w:tcPr>
          <w:p>
            <w:pPr>
              <w:pStyle w:val="55"/>
              <w:rPr>
                <w:color w:val="000000" w:themeColor="text1"/>
              </w:rPr>
            </w:pPr>
            <w:r>
              <w:rPr>
                <w:rFonts w:hint="eastAsia"/>
                <w:color w:val="000000" w:themeColor="text1"/>
              </w:rPr>
              <w:t>项目建成后将生猪定点屠宰标识牌悬挂于厂区的显著位置</w:t>
            </w:r>
          </w:p>
        </w:tc>
        <w:tc>
          <w:tcPr>
            <w:tcW w:w="759" w:type="dxa"/>
            <w:vAlign w:val="center"/>
          </w:tcPr>
          <w:p>
            <w:pPr>
              <w:pStyle w:val="55"/>
              <w:rPr>
                <w:color w:val="000000" w:themeColor="text1"/>
              </w:rPr>
            </w:pPr>
            <w:r>
              <w:rPr>
                <w:rFonts w:hint="eastAsia"/>
                <w:color w:val="000000" w:themeColor="text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93" w:type="dxa"/>
            <w:vMerge w:val="restart"/>
            <w:vAlign w:val="center"/>
          </w:tcPr>
          <w:p>
            <w:pPr>
              <w:pStyle w:val="55"/>
              <w:rPr>
                <w:color w:val="000000" w:themeColor="text1"/>
              </w:rPr>
            </w:pPr>
            <w:r>
              <w:rPr>
                <w:rFonts w:hint="eastAsia"/>
                <w:color w:val="000000" w:themeColor="text1"/>
              </w:rPr>
              <w:t>生猪定点屠宰场应当具备下列条件</w:t>
            </w:r>
          </w:p>
        </w:tc>
        <w:tc>
          <w:tcPr>
            <w:tcW w:w="4111" w:type="dxa"/>
            <w:vAlign w:val="center"/>
          </w:tcPr>
          <w:p>
            <w:pPr>
              <w:pStyle w:val="55"/>
              <w:rPr>
                <w:color w:val="000000" w:themeColor="text1"/>
              </w:rPr>
            </w:pPr>
            <w:r>
              <w:rPr>
                <w:rFonts w:hint="eastAsia"/>
                <w:color w:val="000000" w:themeColor="text1"/>
              </w:rPr>
              <w:t>有与屠宰规模相适应、水质符合规定标准的水源条件</w:t>
            </w:r>
          </w:p>
        </w:tc>
        <w:tc>
          <w:tcPr>
            <w:tcW w:w="2977" w:type="dxa"/>
            <w:vAlign w:val="center"/>
          </w:tcPr>
          <w:p>
            <w:pPr>
              <w:pStyle w:val="55"/>
              <w:rPr>
                <w:color w:val="000000" w:themeColor="text1"/>
              </w:rPr>
            </w:pPr>
            <w:r>
              <w:rPr>
                <w:rFonts w:hint="eastAsia"/>
                <w:color w:val="000000" w:themeColor="text1"/>
              </w:rPr>
              <w:t>选用市政供水为水源，水质符合要求</w:t>
            </w:r>
          </w:p>
        </w:tc>
        <w:tc>
          <w:tcPr>
            <w:tcW w:w="759" w:type="dxa"/>
            <w:vAlign w:val="center"/>
          </w:tcPr>
          <w:p>
            <w:pPr>
              <w:pStyle w:val="55"/>
              <w:rPr>
                <w:color w:val="000000" w:themeColor="text1"/>
              </w:rPr>
            </w:pPr>
            <w:r>
              <w:rPr>
                <w:rFonts w:hint="eastAsia"/>
                <w:color w:val="000000" w:themeColor="text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93" w:type="dxa"/>
            <w:vMerge w:val="continue"/>
            <w:vAlign w:val="center"/>
          </w:tcPr>
          <w:p>
            <w:pPr>
              <w:pStyle w:val="55"/>
              <w:rPr>
                <w:color w:val="000000" w:themeColor="text1"/>
              </w:rPr>
            </w:pPr>
          </w:p>
        </w:tc>
        <w:tc>
          <w:tcPr>
            <w:tcW w:w="4111" w:type="dxa"/>
            <w:vAlign w:val="center"/>
          </w:tcPr>
          <w:p>
            <w:pPr>
              <w:pStyle w:val="55"/>
              <w:rPr>
                <w:color w:val="000000" w:themeColor="text1"/>
              </w:rPr>
            </w:pPr>
            <w:r>
              <w:rPr>
                <w:rFonts w:hint="eastAsia"/>
                <w:color w:val="000000" w:themeColor="text1"/>
              </w:rPr>
              <w:t>有符合国家规定的待宰间、屠宰间、急宰间以及生猪屠宰设备和运载工具</w:t>
            </w:r>
          </w:p>
        </w:tc>
        <w:tc>
          <w:tcPr>
            <w:tcW w:w="2977" w:type="dxa"/>
            <w:vAlign w:val="center"/>
          </w:tcPr>
          <w:p>
            <w:pPr>
              <w:pStyle w:val="55"/>
              <w:rPr>
                <w:color w:val="000000" w:themeColor="text1"/>
              </w:rPr>
            </w:pPr>
            <w:r>
              <w:rPr>
                <w:rFonts w:hint="eastAsia"/>
                <w:color w:val="000000" w:themeColor="text1"/>
              </w:rPr>
              <w:t>生产车间内分区设置待宰间、屠宰间以及生猪屠宰设备和运载工具</w:t>
            </w:r>
          </w:p>
        </w:tc>
        <w:tc>
          <w:tcPr>
            <w:tcW w:w="759" w:type="dxa"/>
            <w:vAlign w:val="center"/>
          </w:tcPr>
          <w:p>
            <w:pPr>
              <w:pStyle w:val="55"/>
              <w:rPr>
                <w:color w:val="000000" w:themeColor="text1"/>
              </w:rPr>
            </w:pPr>
            <w:r>
              <w:rPr>
                <w:rFonts w:hint="eastAsia"/>
                <w:color w:val="000000" w:themeColor="text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93" w:type="dxa"/>
            <w:vMerge w:val="continue"/>
            <w:vAlign w:val="center"/>
          </w:tcPr>
          <w:p>
            <w:pPr>
              <w:pStyle w:val="55"/>
              <w:rPr>
                <w:color w:val="000000" w:themeColor="text1"/>
              </w:rPr>
            </w:pPr>
          </w:p>
        </w:tc>
        <w:tc>
          <w:tcPr>
            <w:tcW w:w="4111" w:type="dxa"/>
            <w:vAlign w:val="center"/>
          </w:tcPr>
          <w:p>
            <w:pPr>
              <w:pStyle w:val="55"/>
              <w:rPr>
                <w:color w:val="000000" w:themeColor="text1"/>
              </w:rPr>
            </w:pPr>
            <w:r>
              <w:rPr>
                <w:rFonts w:hint="eastAsia"/>
                <w:color w:val="000000" w:themeColor="text1"/>
              </w:rPr>
              <w:t>有依法取得健康证明的屠宰技术人员</w:t>
            </w:r>
          </w:p>
        </w:tc>
        <w:tc>
          <w:tcPr>
            <w:tcW w:w="2977" w:type="dxa"/>
            <w:vAlign w:val="center"/>
          </w:tcPr>
          <w:p>
            <w:pPr>
              <w:pStyle w:val="55"/>
              <w:rPr>
                <w:color w:val="000000" w:themeColor="text1"/>
              </w:rPr>
            </w:pPr>
            <w:r>
              <w:rPr>
                <w:rFonts w:hint="eastAsia"/>
                <w:color w:val="000000" w:themeColor="text1"/>
              </w:rPr>
              <w:t>招聘技术人员要求均需要取得健康证明</w:t>
            </w:r>
          </w:p>
        </w:tc>
        <w:tc>
          <w:tcPr>
            <w:tcW w:w="759" w:type="dxa"/>
            <w:vAlign w:val="center"/>
          </w:tcPr>
          <w:p>
            <w:pPr>
              <w:pStyle w:val="55"/>
              <w:rPr>
                <w:color w:val="000000" w:themeColor="text1"/>
              </w:rPr>
            </w:pPr>
            <w:r>
              <w:rPr>
                <w:rFonts w:hint="eastAsia"/>
                <w:color w:val="000000" w:themeColor="text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93" w:type="dxa"/>
            <w:vMerge w:val="continue"/>
            <w:vAlign w:val="center"/>
          </w:tcPr>
          <w:p>
            <w:pPr>
              <w:pStyle w:val="55"/>
              <w:rPr>
                <w:color w:val="000000" w:themeColor="text1"/>
              </w:rPr>
            </w:pPr>
          </w:p>
        </w:tc>
        <w:tc>
          <w:tcPr>
            <w:tcW w:w="4111" w:type="dxa"/>
            <w:vAlign w:val="center"/>
          </w:tcPr>
          <w:p>
            <w:pPr>
              <w:pStyle w:val="55"/>
              <w:rPr>
                <w:color w:val="000000" w:themeColor="text1"/>
              </w:rPr>
            </w:pPr>
            <w:r>
              <w:rPr>
                <w:rFonts w:hint="eastAsia"/>
                <w:color w:val="000000" w:themeColor="text1"/>
              </w:rPr>
              <w:t>有经考核合格的肉品品质检验人员</w:t>
            </w:r>
          </w:p>
        </w:tc>
        <w:tc>
          <w:tcPr>
            <w:tcW w:w="2977" w:type="dxa"/>
            <w:vAlign w:val="center"/>
          </w:tcPr>
          <w:p>
            <w:pPr>
              <w:pStyle w:val="55"/>
              <w:rPr>
                <w:color w:val="000000" w:themeColor="text1"/>
              </w:rPr>
            </w:pPr>
            <w:r>
              <w:rPr>
                <w:rFonts w:hint="eastAsia"/>
                <w:color w:val="000000" w:themeColor="text1"/>
              </w:rPr>
              <w:t>肉品品质检验人员持证上岗</w:t>
            </w:r>
          </w:p>
        </w:tc>
        <w:tc>
          <w:tcPr>
            <w:tcW w:w="759" w:type="dxa"/>
            <w:vAlign w:val="center"/>
          </w:tcPr>
          <w:p>
            <w:pPr>
              <w:pStyle w:val="55"/>
              <w:rPr>
                <w:color w:val="000000" w:themeColor="text1"/>
              </w:rPr>
            </w:pPr>
            <w:r>
              <w:rPr>
                <w:rFonts w:hint="eastAsia"/>
                <w:color w:val="000000" w:themeColor="text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93" w:type="dxa"/>
            <w:vMerge w:val="continue"/>
            <w:vAlign w:val="center"/>
          </w:tcPr>
          <w:p>
            <w:pPr>
              <w:pStyle w:val="55"/>
              <w:rPr>
                <w:color w:val="000000" w:themeColor="text1"/>
              </w:rPr>
            </w:pPr>
          </w:p>
        </w:tc>
        <w:tc>
          <w:tcPr>
            <w:tcW w:w="4111" w:type="dxa"/>
            <w:vAlign w:val="center"/>
          </w:tcPr>
          <w:p>
            <w:pPr>
              <w:pStyle w:val="55"/>
              <w:rPr>
                <w:color w:val="000000" w:themeColor="text1"/>
              </w:rPr>
            </w:pPr>
            <w:r>
              <w:rPr>
                <w:rFonts w:hint="eastAsia"/>
                <w:color w:val="000000" w:themeColor="text1"/>
              </w:rPr>
              <w:t>有符合国家规定要求的检验设备、消毒设施以及符合环境管理要求的污染防治措施</w:t>
            </w:r>
          </w:p>
        </w:tc>
        <w:tc>
          <w:tcPr>
            <w:tcW w:w="2977" w:type="dxa"/>
            <w:vAlign w:val="center"/>
          </w:tcPr>
          <w:p>
            <w:pPr>
              <w:pStyle w:val="55"/>
              <w:rPr>
                <w:color w:val="000000" w:themeColor="text1"/>
              </w:rPr>
            </w:pPr>
            <w:r>
              <w:rPr>
                <w:rFonts w:hint="eastAsia"/>
                <w:color w:val="000000" w:themeColor="text1"/>
              </w:rPr>
              <w:t>配备有符合国家规定要求的检验设备、消毒设施以及相应的废水、废气、噪声、固废污染防治措施</w:t>
            </w:r>
          </w:p>
        </w:tc>
        <w:tc>
          <w:tcPr>
            <w:tcW w:w="759" w:type="dxa"/>
            <w:vAlign w:val="center"/>
          </w:tcPr>
          <w:p>
            <w:pPr>
              <w:pStyle w:val="55"/>
              <w:rPr>
                <w:color w:val="000000" w:themeColor="text1"/>
              </w:rPr>
            </w:pPr>
            <w:r>
              <w:rPr>
                <w:rFonts w:hint="eastAsia"/>
                <w:color w:val="000000" w:themeColor="text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93" w:type="dxa"/>
            <w:vMerge w:val="continue"/>
            <w:vAlign w:val="center"/>
          </w:tcPr>
          <w:p>
            <w:pPr>
              <w:pStyle w:val="55"/>
              <w:rPr>
                <w:color w:val="000000" w:themeColor="text1"/>
              </w:rPr>
            </w:pPr>
          </w:p>
        </w:tc>
        <w:tc>
          <w:tcPr>
            <w:tcW w:w="4111" w:type="dxa"/>
            <w:vAlign w:val="center"/>
          </w:tcPr>
          <w:p>
            <w:pPr>
              <w:pStyle w:val="55"/>
              <w:rPr>
                <w:color w:val="000000" w:themeColor="text1"/>
              </w:rPr>
            </w:pPr>
            <w:r>
              <w:rPr>
                <w:rFonts w:hint="eastAsia"/>
                <w:color w:val="000000" w:themeColor="text1"/>
              </w:rPr>
              <w:t>有病害生猪及生猪产品无害化处理设施</w:t>
            </w:r>
          </w:p>
        </w:tc>
        <w:tc>
          <w:tcPr>
            <w:tcW w:w="2977" w:type="dxa"/>
            <w:vAlign w:val="center"/>
          </w:tcPr>
          <w:p>
            <w:pPr>
              <w:pStyle w:val="55"/>
              <w:rPr>
                <w:color w:val="000000" w:themeColor="text1"/>
              </w:rPr>
            </w:pPr>
            <w:r>
              <w:rPr>
                <w:rFonts w:hint="eastAsia"/>
                <w:color w:val="000000" w:themeColor="text1"/>
              </w:rPr>
              <w:t>项目将自建环保型焚烧炉对死猪等进行无害化处理</w:t>
            </w:r>
          </w:p>
        </w:tc>
        <w:tc>
          <w:tcPr>
            <w:tcW w:w="759" w:type="dxa"/>
            <w:vAlign w:val="center"/>
          </w:tcPr>
          <w:p>
            <w:pPr>
              <w:pStyle w:val="55"/>
              <w:rPr>
                <w:color w:val="000000" w:themeColor="text1"/>
              </w:rPr>
            </w:pPr>
            <w:r>
              <w:rPr>
                <w:rFonts w:hint="eastAsia"/>
                <w:color w:val="000000" w:themeColor="text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104" w:type="dxa"/>
            <w:gridSpan w:val="2"/>
            <w:vAlign w:val="center"/>
          </w:tcPr>
          <w:p>
            <w:pPr>
              <w:pStyle w:val="55"/>
              <w:rPr>
                <w:color w:val="000000" w:themeColor="text1"/>
              </w:rPr>
            </w:pPr>
            <w:r>
              <w:rPr>
                <w:rFonts w:hint="eastAsia"/>
                <w:color w:val="000000" w:themeColor="text1"/>
              </w:rPr>
              <w:t>生猪定点屠宰厂屠宰的生猪，应当依法经动物卫生监督机构检疫合格，并附检疫证明</w:t>
            </w:r>
          </w:p>
        </w:tc>
        <w:tc>
          <w:tcPr>
            <w:tcW w:w="2977" w:type="dxa"/>
            <w:vAlign w:val="center"/>
          </w:tcPr>
          <w:p>
            <w:pPr>
              <w:pStyle w:val="55"/>
              <w:rPr>
                <w:color w:val="000000" w:themeColor="text1"/>
              </w:rPr>
            </w:pPr>
            <w:r>
              <w:rPr>
                <w:rFonts w:hint="eastAsia"/>
                <w:color w:val="000000" w:themeColor="text1"/>
              </w:rPr>
              <w:t>运营后采购的生猪均来自非疫区，且具有检疫证明</w:t>
            </w:r>
          </w:p>
        </w:tc>
        <w:tc>
          <w:tcPr>
            <w:tcW w:w="759" w:type="dxa"/>
            <w:vAlign w:val="center"/>
          </w:tcPr>
          <w:p>
            <w:pPr>
              <w:pStyle w:val="55"/>
              <w:rPr>
                <w:color w:val="000000" w:themeColor="text1"/>
              </w:rPr>
            </w:pPr>
            <w:r>
              <w:rPr>
                <w:rFonts w:hint="eastAsia"/>
                <w:color w:val="000000" w:themeColor="text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104" w:type="dxa"/>
            <w:gridSpan w:val="2"/>
            <w:vAlign w:val="center"/>
          </w:tcPr>
          <w:p>
            <w:pPr>
              <w:pStyle w:val="55"/>
              <w:rPr>
                <w:color w:val="000000" w:themeColor="text1"/>
              </w:rPr>
            </w:pPr>
            <w:r>
              <w:rPr>
                <w:rFonts w:hint="eastAsia"/>
                <w:color w:val="000000" w:themeColor="text1"/>
              </w:rPr>
              <w:t>生猪定点屠宰厂应当如实记录其屠宰的生猪来源和生猪产品流向，生猪来源和猪产品流向记录保存期限不得少于2年</w:t>
            </w:r>
          </w:p>
        </w:tc>
        <w:tc>
          <w:tcPr>
            <w:tcW w:w="2977" w:type="dxa"/>
            <w:vAlign w:val="center"/>
          </w:tcPr>
          <w:p>
            <w:pPr>
              <w:pStyle w:val="55"/>
              <w:rPr>
                <w:color w:val="000000" w:themeColor="text1"/>
              </w:rPr>
            </w:pPr>
            <w:r>
              <w:rPr>
                <w:rFonts w:hint="eastAsia"/>
                <w:color w:val="000000" w:themeColor="text1"/>
              </w:rPr>
              <w:t>建成运营后将严格记录生猪来源和产品流向，且将记录保存期限不少于2年</w:t>
            </w:r>
          </w:p>
        </w:tc>
        <w:tc>
          <w:tcPr>
            <w:tcW w:w="759" w:type="dxa"/>
            <w:vAlign w:val="center"/>
          </w:tcPr>
          <w:p>
            <w:pPr>
              <w:pStyle w:val="55"/>
              <w:rPr>
                <w:color w:val="000000" w:themeColor="text1"/>
              </w:rPr>
            </w:pPr>
            <w:r>
              <w:rPr>
                <w:rFonts w:hint="eastAsia"/>
                <w:color w:val="000000" w:themeColor="text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104" w:type="dxa"/>
            <w:gridSpan w:val="2"/>
            <w:vAlign w:val="center"/>
          </w:tcPr>
          <w:p>
            <w:pPr>
              <w:pStyle w:val="55"/>
              <w:rPr>
                <w:color w:val="000000" w:themeColor="text1"/>
              </w:rPr>
            </w:pPr>
            <w:r>
              <w:rPr>
                <w:rFonts w:hint="eastAsia"/>
                <w:color w:val="000000" w:themeColor="text1"/>
              </w:rPr>
              <w:t>生猪定点屠宰厂应当监理严格的肉制品品质检验管理制度，肉品品质检验与生猪屠宰同步进行，并如实记录检验结果，检验结果记录保存期限不得少于2年，检验合格的产品，生猪定点屠宰厂应该加盖肉品品质检验合格验讫印章或者附具肉品品质检验合格标志，经检验不合格的生猪产品，应当在肉品品质检验人员的监督下，按照国家有关规定处理，并如实记录处理情况；处理情况保存期限不得少于2年，不合格产品不得出厂</w:t>
            </w:r>
          </w:p>
        </w:tc>
        <w:tc>
          <w:tcPr>
            <w:tcW w:w="2977" w:type="dxa"/>
            <w:vAlign w:val="center"/>
          </w:tcPr>
          <w:p>
            <w:pPr>
              <w:pStyle w:val="55"/>
              <w:rPr>
                <w:color w:val="000000" w:themeColor="text1"/>
              </w:rPr>
            </w:pPr>
            <w:r>
              <w:rPr>
                <w:rFonts w:hint="eastAsia"/>
                <w:color w:val="000000" w:themeColor="text1"/>
              </w:rPr>
              <w:t>项目屠宰的过程中进行检验，运营后将如实记录检验结果，检验结果记录保存期限不少于2年，检验合格产品验讫印章，不合格产品按规定实现无害化处理</w:t>
            </w:r>
          </w:p>
        </w:tc>
        <w:tc>
          <w:tcPr>
            <w:tcW w:w="759" w:type="dxa"/>
            <w:vAlign w:val="center"/>
          </w:tcPr>
          <w:p>
            <w:pPr>
              <w:pStyle w:val="55"/>
              <w:rPr>
                <w:color w:val="000000" w:themeColor="text1"/>
              </w:rPr>
            </w:pPr>
            <w:r>
              <w:rPr>
                <w:rFonts w:hint="eastAsia"/>
                <w:color w:val="000000" w:themeColor="text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104" w:type="dxa"/>
            <w:gridSpan w:val="2"/>
            <w:vAlign w:val="center"/>
          </w:tcPr>
          <w:p>
            <w:pPr>
              <w:pStyle w:val="55"/>
              <w:rPr>
                <w:color w:val="000000" w:themeColor="text1"/>
              </w:rPr>
            </w:pPr>
            <w:r>
              <w:rPr>
                <w:rFonts w:hint="eastAsia"/>
                <w:color w:val="000000" w:themeColor="text1"/>
              </w:rPr>
              <w:t>生猪定点屠宰场不得屠宰注水或者注入其他物质</w:t>
            </w:r>
          </w:p>
        </w:tc>
        <w:tc>
          <w:tcPr>
            <w:tcW w:w="2977" w:type="dxa"/>
            <w:vAlign w:val="center"/>
          </w:tcPr>
          <w:p>
            <w:pPr>
              <w:pStyle w:val="55"/>
              <w:rPr>
                <w:color w:val="000000" w:themeColor="text1"/>
              </w:rPr>
            </w:pPr>
            <w:r>
              <w:rPr>
                <w:rFonts w:hint="eastAsia"/>
                <w:color w:val="000000" w:themeColor="text1"/>
              </w:rPr>
              <w:t>项目运营后在生产过程中严格落实此项规定，不进行屠宰注水也不注入其他物质</w:t>
            </w:r>
          </w:p>
        </w:tc>
        <w:tc>
          <w:tcPr>
            <w:tcW w:w="759" w:type="dxa"/>
            <w:vAlign w:val="center"/>
          </w:tcPr>
          <w:p>
            <w:pPr>
              <w:pStyle w:val="55"/>
              <w:rPr>
                <w:color w:val="000000" w:themeColor="text1"/>
              </w:rPr>
            </w:pPr>
            <w:r>
              <w:rPr>
                <w:rFonts w:hint="eastAsia"/>
                <w:color w:val="000000" w:themeColor="text1"/>
              </w:rPr>
              <w:t>符合</w:t>
            </w:r>
          </w:p>
        </w:tc>
      </w:tr>
    </w:tbl>
    <w:p>
      <w:pPr>
        <w:pStyle w:val="38"/>
        <w:ind w:firstLine="281"/>
        <w:rPr>
          <w:color w:val="000000" w:themeColor="text1"/>
        </w:rPr>
      </w:pPr>
      <w:bookmarkStart w:id="310" w:name="_Toc47375913"/>
      <w:r>
        <w:rPr>
          <w:rFonts w:hint="eastAsia"/>
          <w:color w:val="000000" w:themeColor="text1"/>
        </w:rPr>
        <w:t>8.1.3与水、气、土十条相关内容的符合性分析</w:t>
      </w:r>
      <w:bookmarkEnd w:id="310"/>
    </w:p>
    <w:p>
      <w:pPr>
        <w:ind w:firstLine="480"/>
        <w:rPr>
          <w:color w:val="000000" w:themeColor="text1"/>
        </w:rPr>
      </w:pPr>
      <w:r>
        <w:rPr>
          <w:rFonts w:hint="eastAsia"/>
          <w:color w:val="000000" w:themeColor="text1"/>
        </w:rPr>
        <w:t>《国务院关于印发〈大气污染防治行动计划〉的通知》（国发〔2013〕37号）、《国务院关于印发水污染防治行动计划的通知》（国发[2015]17号）、《土壤污染防治行动计划》中的水、气、土十条中与项目建设相关规定的符合性分析情况见表8.1.3-1。</w:t>
      </w:r>
    </w:p>
    <w:p>
      <w:pPr>
        <w:pStyle w:val="54"/>
        <w:rPr>
          <w:color w:val="000000" w:themeColor="text1"/>
        </w:rPr>
      </w:pPr>
    </w:p>
    <w:p>
      <w:pPr>
        <w:pStyle w:val="54"/>
        <w:rPr>
          <w:color w:val="000000" w:themeColor="text1"/>
        </w:rPr>
      </w:pPr>
      <w:r>
        <w:rPr>
          <w:rFonts w:hint="eastAsia"/>
          <w:color w:val="000000" w:themeColor="text1"/>
        </w:rPr>
        <w:t>表8.1.3-1  项目建设与水、气、土十条相关内容的符合性</w:t>
      </w:r>
    </w:p>
    <w:tbl>
      <w:tblPr>
        <w:tblStyle w:val="43"/>
        <w:tblW w:w="8789" w:type="dxa"/>
        <w:tblInd w:w="-176"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161"/>
        <w:gridCol w:w="5077"/>
        <w:gridCol w:w="1701"/>
        <w:gridCol w:w="85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61" w:type="dxa"/>
            <w:vAlign w:val="center"/>
          </w:tcPr>
          <w:p>
            <w:pPr>
              <w:pStyle w:val="55"/>
              <w:rPr>
                <w:color w:val="000000" w:themeColor="text1"/>
              </w:rPr>
            </w:pPr>
            <w:r>
              <w:rPr>
                <w:rFonts w:hint="eastAsia"/>
                <w:color w:val="000000" w:themeColor="text1"/>
              </w:rPr>
              <w:t>名称</w:t>
            </w:r>
          </w:p>
        </w:tc>
        <w:tc>
          <w:tcPr>
            <w:tcW w:w="5077" w:type="dxa"/>
            <w:vAlign w:val="center"/>
          </w:tcPr>
          <w:p>
            <w:pPr>
              <w:pStyle w:val="55"/>
              <w:rPr>
                <w:color w:val="000000" w:themeColor="text1"/>
              </w:rPr>
            </w:pPr>
            <w:r>
              <w:rPr>
                <w:rFonts w:hint="eastAsia"/>
                <w:color w:val="000000" w:themeColor="text1"/>
              </w:rPr>
              <w:t>政策要求</w:t>
            </w:r>
          </w:p>
        </w:tc>
        <w:tc>
          <w:tcPr>
            <w:tcW w:w="1701" w:type="dxa"/>
            <w:vAlign w:val="center"/>
          </w:tcPr>
          <w:p>
            <w:pPr>
              <w:pStyle w:val="55"/>
              <w:rPr>
                <w:color w:val="000000" w:themeColor="text1"/>
              </w:rPr>
            </w:pPr>
            <w:r>
              <w:rPr>
                <w:rFonts w:hint="eastAsia"/>
                <w:color w:val="000000" w:themeColor="text1"/>
              </w:rPr>
              <w:t>项目情况</w:t>
            </w:r>
          </w:p>
        </w:tc>
        <w:tc>
          <w:tcPr>
            <w:tcW w:w="850" w:type="dxa"/>
            <w:vAlign w:val="center"/>
          </w:tcPr>
          <w:p>
            <w:pPr>
              <w:pStyle w:val="55"/>
              <w:rPr>
                <w:color w:val="000000" w:themeColor="text1"/>
              </w:rPr>
            </w:pPr>
            <w:r>
              <w:rPr>
                <w:rFonts w:hint="eastAsia"/>
                <w:color w:val="000000" w:themeColor="text1"/>
              </w:rPr>
              <w:t>符合性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61" w:type="dxa"/>
            <w:vMerge w:val="restart"/>
            <w:vAlign w:val="center"/>
          </w:tcPr>
          <w:p>
            <w:pPr>
              <w:pStyle w:val="55"/>
              <w:rPr>
                <w:color w:val="000000" w:themeColor="text1"/>
              </w:rPr>
            </w:pPr>
            <w:r>
              <w:rPr>
                <w:rFonts w:hint="eastAsia"/>
                <w:color w:val="000000" w:themeColor="text1"/>
              </w:rPr>
              <w:t>《大气污染防治行动计划》（气十条）国发[2013]37号</w:t>
            </w:r>
          </w:p>
          <w:p>
            <w:pPr>
              <w:pStyle w:val="55"/>
              <w:rPr>
                <w:color w:val="000000" w:themeColor="text1"/>
              </w:rPr>
            </w:pPr>
            <w:r>
              <w:rPr>
                <w:color w:val="000000" w:themeColor="text1"/>
              </w:rPr>
              <w:t>2013.09</w:t>
            </w:r>
            <w:r>
              <w:rPr>
                <w:rFonts w:hint="eastAsia"/>
                <w:color w:val="000000" w:themeColor="text1"/>
              </w:rPr>
              <w:t>.</w:t>
            </w:r>
            <w:r>
              <w:rPr>
                <w:color w:val="000000" w:themeColor="text1"/>
              </w:rPr>
              <w:t>10</w:t>
            </w:r>
          </w:p>
        </w:tc>
        <w:tc>
          <w:tcPr>
            <w:tcW w:w="5077" w:type="dxa"/>
            <w:vAlign w:val="center"/>
          </w:tcPr>
          <w:p>
            <w:pPr>
              <w:pStyle w:val="55"/>
              <w:rPr>
                <w:color w:val="000000" w:themeColor="text1"/>
              </w:rPr>
            </w:pPr>
            <w:r>
              <w:rPr>
                <w:rFonts w:hint="eastAsia"/>
                <w:color w:val="000000" w:themeColor="text1"/>
              </w:rPr>
              <w:t>加强工业企业大气污染综合治理。全面整治燃煤小锅炉。加快推进集中供热、“煤改气”、“煤改电”工程建设，到2017年，除必要保留的以外，地级及以上城市建成区基本淘汰每小时10蒸吨及以下的燃煤锅炉，禁止新建每小时20蒸吨以下的燃煤锅炉；其他地区原则上不再新建每小时10蒸吨以下的燃煤锅炉。</w:t>
            </w:r>
          </w:p>
        </w:tc>
        <w:tc>
          <w:tcPr>
            <w:tcW w:w="1701" w:type="dxa"/>
            <w:vAlign w:val="center"/>
          </w:tcPr>
          <w:p>
            <w:pPr>
              <w:pStyle w:val="55"/>
              <w:rPr>
                <w:color w:val="000000" w:themeColor="text1"/>
              </w:rPr>
            </w:pPr>
            <w:r>
              <w:rPr>
                <w:rFonts w:hint="eastAsia"/>
                <w:color w:val="000000" w:themeColor="text1"/>
              </w:rPr>
              <w:t>项目新建供热锅炉为生物质锅炉，符合政策要求</w:t>
            </w:r>
          </w:p>
        </w:tc>
        <w:tc>
          <w:tcPr>
            <w:tcW w:w="850" w:type="dxa"/>
            <w:vAlign w:val="center"/>
          </w:tcPr>
          <w:p>
            <w:pPr>
              <w:pStyle w:val="55"/>
              <w:rPr>
                <w:color w:val="000000" w:themeColor="text1"/>
              </w:rPr>
            </w:pPr>
            <w:r>
              <w:rPr>
                <w:rFonts w:hint="eastAsia"/>
                <w:color w:val="000000" w:themeColor="text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61" w:type="dxa"/>
            <w:vMerge w:val="continue"/>
            <w:vAlign w:val="center"/>
          </w:tcPr>
          <w:p>
            <w:pPr>
              <w:pStyle w:val="55"/>
              <w:rPr>
                <w:color w:val="000000" w:themeColor="text1"/>
              </w:rPr>
            </w:pPr>
          </w:p>
        </w:tc>
        <w:tc>
          <w:tcPr>
            <w:tcW w:w="5077" w:type="dxa"/>
            <w:vAlign w:val="center"/>
          </w:tcPr>
          <w:p>
            <w:pPr>
              <w:pStyle w:val="55"/>
              <w:rPr>
                <w:color w:val="000000" w:themeColor="text1"/>
              </w:rPr>
            </w:pPr>
            <w:r>
              <w:rPr>
                <w:rFonts w:hint="eastAsia"/>
                <w:color w:val="000000" w:themeColor="text1"/>
              </w:rPr>
              <w:t>推进挥发性有机物污染治理。在石化、有机化工、表面涂装、包装印刷等行业实施挥发性有机物综合整治，在石化行业开展“泄漏检测与修复”技术改造。</w:t>
            </w:r>
          </w:p>
        </w:tc>
        <w:tc>
          <w:tcPr>
            <w:tcW w:w="1701" w:type="dxa"/>
            <w:vAlign w:val="center"/>
          </w:tcPr>
          <w:p>
            <w:pPr>
              <w:pStyle w:val="55"/>
              <w:rPr>
                <w:color w:val="000000" w:themeColor="text1"/>
              </w:rPr>
            </w:pPr>
            <w:r>
              <w:rPr>
                <w:rFonts w:hint="eastAsia"/>
                <w:color w:val="000000" w:themeColor="text1"/>
              </w:rPr>
              <w:t>不涉及挥发性有机物</w:t>
            </w:r>
          </w:p>
        </w:tc>
        <w:tc>
          <w:tcPr>
            <w:tcW w:w="850" w:type="dxa"/>
            <w:vAlign w:val="center"/>
          </w:tcPr>
          <w:p>
            <w:pPr>
              <w:pStyle w:val="55"/>
              <w:rPr>
                <w:color w:val="000000" w:themeColor="text1"/>
              </w:rPr>
            </w:pPr>
            <w:r>
              <w:rPr>
                <w:rFonts w:hint="eastAsia"/>
                <w:color w:val="000000" w:themeColor="text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61" w:type="dxa"/>
            <w:vMerge w:val="continue"/>
            <w:vAlign w:val="center"/>
          </w:tcPr>
          <w:p>
            <w:pPr>
              <w:pStyle w:val="55"/>
              <w:rPr>
                <w:color w:val="000000" w:themeColor="text1"/>
              </w:rPr>
            </w:pPr>
          </w:p>
        </w:tc>
        <w:tc>
          <w:tcPr>
            <w:tcW w:w="5077" w:type="dxa"/>
            <w:vAlign w:val="center"/>
          </w:tcPr>
          <w:p>
            <w:pPr>
              <w:pStyle w:val="55"/>
              <w:rPr>
                <w:color w:val="000000" w:themeColor="text1"/>
              </w:rPr>
            </w:pPr>
            <w:r>
              <w:rPr>
                <w:rFonts w:hint="eastAsia"/>
                <w:color w:val="000000" w:themeColor="text1"/>
              </w:rPr>
              <w:t>深化面源污染治理。综合整治城市扬尘。加强施工扬尘监管，积极推进绿色施工，建设工程施工现场应全封闭设置围挡墙，严禁敞开式作业，施工现场道路应进行地面硬化。渣土运输车辆应采取密闭措施，并逐步安装卫星定位系统。推行道路机械化清扫等低尘作业方式。大型煤堆、料堆要实现封闭储存或建设防风抑尘设施。推进城市及周边绿化和防风防沙林建设，扩大城市建成区绿地规模。</w:t>
            </w:r>
          </w:p>
        </w:tc>
        <w:tc>
          <w:tcPr>
            <w:tcW w:w="1701" w:type="dxa"/>
            <w:vAlign w:val="center"/>
          </w:tcPr>
          <w:p>
            <w:pPr>
              <w:pStyle w:val="55"/>
              <w:rPr>
                <w:color w:val="000000" w:themeColor="text1"/>
              </w:rPr>
            </w:pPr>
            <w:r>
              <w:rPr>
                <w:rFonts w:hint="eastAsia"/>
                <w:color w:val="000000" w:themeColor="text1"/>
              </w:rPr>
              <w:t>本环评要求项目施工现场设置围挡墙，渣土运输车辆应采取密闭措施</w:t>
            </w:r>
          </w:p>
        </w:tc>
        <w:tc>
          <w:tcPr>
            <w:tcW w:w="850" w:type="dxa"/>
            <w:vAlign w:val="center"/>
          </w:tcPr>
          <w:p>
            <w:pPr>
              <w:pStyle w:val="55"/>
              <w:rPr>
                <w:color w:val="000000" w:themeColor="text1"/>
              </w:rPr>
            </w:pPr>
            <w:r>
              <w:rPr>
                <w:rFonts w:hint="eastAsia"/>
                <w:color w:val="000000" w:themeColor="text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61" w:type="dxa"/>
            <w:vMerge w:val="continue"/>
            <w:vAlign w:val="center"/>
          </w:tcPr>
          <w:p>
            <w:pPr>
              <w:pStyle w:val="55"/>
              <w:rPr>
                <w:color w:val="000000" w:themeColor="text1"/>
              </w:rPr>
            </w:pPr>
          </w:p>
        </w:tc>
        <w:tc>
          <w:tcPr>
            <w:tcW w:w="5077" w:type="dxa"/>
            <w:vAlign w:val="center"/>
          </w:tcPr>
          <w:p>
            <w:pPr>
              <w:pStyle w:val="55"/>
              <w:rPr>
                <w:color w:val="000000" w:themeColor="text1"/>
              </w:rPr>
            </w:pPr>
            <w:r>
              <w:rPr>
                <w:rFonts w:hint="eastAsia"/>
                <w:color w:val="000000" w:themeColor="text1"/>
              </w:rPr>
              <w:t>开展餐饮油烟污染治理。城区餐饮服务经营场所应安装高效油烟净化设施，推广使用高效净化型家用吸油烟机。</w:t>
            </w:r>
          </w:p>
        </w:tc>
        <w:tc>
          <w:tcPr>
            <w:tcW w:w="1701" w:type="dxa"/>
            <w:vAlign w:val="center"/>
          </w:tcPr>
          <w:p>
            <w:pPr>
              <w:pStyle w:val="55"/>
              <w:rPr>
                <w:color w:val="000000" w:themeColor="text1"/>
              </w:rPr>
            </w:pPr>
            <w:r>
              <w:rPr>
                <w:rFonts w:hint="eastAsia"/>
                <w:color w:val="000000" w:themeColor="text1"/>
              </w:rPr>
              <w:t>本项目不设置食堂，员工用餐为外部订餐</w:t>
            </w:r>
          </w:p>
        </w:tc>
        <w:tc>
          <w:tcPr>
            <w:tcW w:w="850" w:type="dxa"/>
            <w:vAlign w:val="center"/>
          </w:tcPr>
          <w:p>
            <w:pPr>
              <w:pStyle w:val="55"/>
              <w:rPr>
                <w:color w:val="000000" w:themeColor="text1"/>
              </w:rPr>
            </w:pPr>
            <w:r>
              <w:rPr>
                <w:rFonts w:hint="eastAsia"/>
                <w:color w:val="000000" w:themeColor="text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61" w:type="dxa"/>
            <w:vMerge w:val="continue"/>
            <w:vAlign w:val="center"/>
          </w:tcPr>
          <w:p>
            <w:pPr>
              <w:pStyle w:val="55"/>
              <w:rPr>
                <w:color w:val="000000" w:themeColor="text1"/>
              </w:rPr>
            </w:pPr>
          </w:p>
        </w:tc>
        <w:tc>
          <w:tcPr>
            <w:tcW w:w="5077" w:type="dxa"/>
            <w:vAlign w:val="center"/>
          </w:tcPr>
          <w:p>
            <w:pPr>
              <w:pStyle w:val="55"/>
              <w:rPr>
                <w:color w:val="000000" w:themeColor="text1"/>
              </w:rPr>
            </w:pPr>
            <w:r>
              <w:rPr>
                <w:rFonts w:hint="eastAsia"/>
                <w:color w:val="000000" w:themeColor="text1"/>
              </w:rPr>
              <w:t>严禁核准产能严重过剩行业新增产能项目。坚决停建产能严重过剩行业违规在建项目。认真清理产能严重过剩行业违规在建项目，对未批先建、边批边建、越权核准的违规项目，尚未开工建设的，不准开工；正在建设的，要停止建设。地方人民政府要加强组织领导和监督检查，坚决遏制产能严重过剩行业盲目扩张。</w:t>
            </w:r>
          </w:p>
        </w:tc>
        <w:tc>
          <w:tcPr>
            <w:tcW w:w="1701" w:type="dxa"/>
            <w:vAlign w:val="center"/>
          </w:tcPr>
          <w:p>
            <w:pPr>
              <w:pStyle w:val="55"/>
              <w:rPr>
                <w:color w:val="000000" w:themeColor="text1"/>
              </w:rPr>
            </w:pPr>
            <w:r>
              <w:rPr>
                <w:rFonts w:hint="eastAsia"/>
                <w:color w:val="000000" w:themeColor="text1"/>
              </w:rPr>
              <w:t>不属于产能过剩行业，属于新建项目</w:t>
            </w:r>
          </w:p>
        </w:tc>
        <w:tc>
          <w:tcPr>
            <w:tcW w:w="850" w:type="dxa"/>
            <w:vAlign w:val="center"/>
          </w:tcPr>
          <w:p>
            <w:pPr>
              <w:pStyle w:val="55"/>
              <w:rPr>
                <w:color w:val="000000" w:themeColor="text1"/>
              </w:rPr>
            </w:pPr>
            <w:r>
              <w:rPr>
                <w:rFonts w:hint="eastAsia"/>
                <w:color w:val="000000" w:themeColor="text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61" w:type="dxa"/>
            <w:vMerge w:val="continue"/>
            <w:vAlign w:val="center"/>
          </w:tcPr>
          <w:p>
            <w:pPr>
              <w:pStyle w:val="55"/>
              <w:rPr>
                <w:color w:val="000000" w:themeColor="text1"/>
              </w:rPr>
            </w:pPr>
          </w:p>
        </w:tc>
        <w:tc>
          <w:tcPr>
            <w:tcW w:w="5077" w:type="dxa"/>
            <w:vAlign w:val="center"/>
          </w:tcPr>
          <w:p>
            <w:pPr>
              <w:pStyle w:val="55"/>
              <w:rPr>
                <w:color w:val="000000" w:themeColor="text1"/>
              </w:rPr>
            </w:pPr>
            <w:r>
              <w:rPr>
                <w:rFonts w:hint="eastAsia"/>
                <w:color w:val="000000" w:themeColor="text1"/>
              </w:rPr>
              <w:t>严格实施污染物排放总量控制，将二氧化硫、氮氧化物、烟粉尘和挥发性有机物排放是否符合总量控制要求作为建设项目环境影响评价审批的前置条件。</w:t>
            </w:r>
          </w:p>
        </w:tc>
        <w:tc>
          <w:tcPr>
            <w:tcW w:w="1701" w:type="dxa"/>
            <w:vAlign w:val="center"/>
          </w:tcPr>
          <w:p>
            <w:pPr>
              <w:pStyle w:val="55"/>
              <w:rPr>
                <w:color w:val="000000" w:themeColor="text1"/>
              </w:rPr>
            </w:pPr>
            <w:r>
              <w:rPr>
                <w:rFonts w:hint="eastAsia"/>
                <w:color w:val="000000" w:themeColor="text1"/>
              </w:rPr>
              <w:t>不涉及污染物总量申请</w:t>
            </w:r>
          </w:p>
        </w:tc>
        <w:tc>
          <w:tcPr>
            <w:tcW w:w="850" w:type="dxa"/>
            <w:vAlign w:val="center"/>
          </w:tcPr>
          <w:p>
            <w:pPr>
              <w:pStyle w:val="55"/>
              <w:rPr>
                <w:color w:val="000000" w:themeColor="text1"/>
              </w:rPr>
            </w:pPr>
            <w:r>
              <w:rPr>
                <w:rFonts w:hint="eastAsia"/>
                <w:color w:val="000000" w:themeColor="text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61" w:type="dxa"/>
            <w:vMerge w:val="restart"/>
            <w:vAlign w:val="center"/>
          </w:tcPr>
          <w:p>
            <w:pPr>
              <w:pStyle w:val="55"/>
              <w:rPr>
                <w:color w:val="000000" w:themeColor="text1"/>
              </w:rPr>
            </w:pPr>
            <w:r>
              <w:rPr>
                <w:rFonts w:hint="eastAsia"/>
                <w:color w:val="000000" w:themeColor="text1"/>
              </w:rPr>
              <w:t>《水污染防治行动计划》（水十条）国发[2015]17号</w:t>
            </w:r>
          </w:p>
          <w:p>
            <w:pPr>
              <w:pStyle w:val="55"/>
              <w:rPr>
                <w:color w:val="000000" w:themeColor="text1"/>
              </w:rPr>
            </w:pPr>
            <w:r>
              <w:rPr>
                <w:color w:val="000000" w:themeColor="text1"/>
              </w:rPr>
              <w:t>2015.04.16</w:t>
            </w:r>
          </w:p>
        </w:tc>
        <w:tc>
          <w:tcPr>
            <w:tcW w:w="5077" w:type="dxa"/>
            <w:vAlign w:val="center"/>
          </w:tcPr>
          <w:p>
            <w:pPr>
              <w:pStyle w:val="55"/>
              <w:rPr>
                <w:color w:val="000000" w:themeColor="text1"/>
              </w:rPr>
            </w:pPr>
            <w:r>
              <w:rPr>
                <w:rFonts w:hint="eastAsia"/>
                <w:color w:val="000000" w:themeColor="text1"/>
              </w:rPr>
              <w:t>推进循环发展。加强工业水循环利用。推进矿井水综合利用，煤炭矿区的补充用水、周边地区生产和生态用水应优先使用矿井水，加强洗煤废水循环利用。鼓励钢铁、纺织印染、造纸、石油石化、化工、制革等高耗水企业废水深度处理回用。</w:t>
            </w:r>
          </w:p>
        </w:tc>
        <w:tc>
          <w:tcPr>
            <w:tcW w:w="1701" w:type="dxa"/>
            <w:vAlign w:val="center"/>
          </w:tcPr>
          <w:p>
            <w:pPr>
              <w:pStyle w:val="55"/>
              <w:rPr>
                <w:color w:val="000000" w:themeColor="text1"/>
              </w:rPr>
            </w:pPr>
            <w:r>
              <w:rPr>
                <w:rFonts w:hint="eastAsia"/>
                <w:color w:val="000000" w:themeColor="text1"/>
              </w:rPr>
              <w:t>不属于高耗水企业</w:t>
            </w:r>
          </w:p>
        </w:tc>
        <w:tc>
          <w:tcPr>
            <w:tcW w:w="850" w:type="dxa"/>
            <w:vAlign w:val="center"/>
          </w:tcPr>
          <w:p>
            <w:pPr>
              <w:pStyle w:val="55"/>
              <w:rPr>
                <w:color w:val="000000" w:themeColor="text1"/>
              </w:rPr>
            </w:pPr>
            <w:r>
              <w:rPr>
                <w:rFonts w:hint="eastAsia"/>
                <w:color w:val="000000" w:themeColor="text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61" w:type="dxa"/>
            <w:vMerge w:val="continue"/>
            <w:vAlign w:val="center"/>
          </w:tcPr>
          <w:p>
            <w:pPr>
              <w:pStyle w:val="55"/>
              <w:rPr>
                <w:color w:val="000000" w:themeColor="text1"/>
              </w:rPr>
            </w:pPr>
          </w:p>
        </w:tc>
        <w:tc>
          <w:tcPr>
            <w:tcW w:w="5077" w:type="dxa"/>
            <w:vAlign w:val="center"/>
          </w:tcPr>
          <w:p>
            <w:pPr>
              <w:pStyle w:val="55"/>
              <w:rPr>
                <w:color w:val="000000" w:themeColor="text1"/>
              </w:rPr>
            </w:pPr>
            <w:r>
              <w:rPr>
                <w:rFonts w:hint="eastAsia"/>
                <w:color w:val="000000" w:themeColor="text1"/>
              </w:rPr>
              <w:t>严控地下水超采。在地面沉降、地裂缝、岩溶塌陷等地质灾害易发区开发利用地下水，应进行地质灾害危险性评估。严格控制开采深层承压水，地热水、矿泉水开发应严格实行取水许可和采矿许可。依法规范机井建设管理，排查登记已建机井，未经批准的和公共供水管网覆盖范围内的自备水井，一律予以关闭。开展华北地下水超采区综合治理，超采区内禁止工农业生产及服务业新增取用地下水。京津</w:t>
            </w:r>
          </w:p>
          <w:p>
            <w:pPr>
              <w:pStyle w:val="55"/>
              <w:rPr>
                <w:color w:val="000000" w:themeColor="text1"/>
              </w:rPr>
            </w:pPr>
            <w:r>
              <w:rPr>
                <w:rFonts w:hint="eastAsia"/>
                <w:color w:val="000000" w:themeColor="text1"/>
              </w:rPr>
              <w:t>冀区域实施土地整治、农业开发、扶贫等农业基础设施项目，不得以配套打井为条件。</w:t>
            </w:r>
          </w:p>
        </w:tc>
        <w:tc>
          <w:tcPr>
            <w:tcW w:w="1701" w:type="dxa"/>
            <w:vAlign w:val="center"/>
          </w:tcPr>
          <w:p>
            <w:pPr>
              <w:pStyle w:val="55"/>
              <w:rPr>
                <w:color w:val="000000" w:themeColor="text1"/>
              </w:rPr>
            </w:pPr>
            <w:r>
              <w:rPr>
                <w:rFonts w:hint="eastAsia"/>
                <w:color w:val="000000" w:themeColor="text1"/>
              </w:rPr>
              <w:t>用水由砚山县干河乡现有供水管网自来水供给，此外项目拟在厂区开挖一眼井水，在停水时也可满足生产、生活所需，项目所在地不属于地下水超采区</w:t>
            </w:r>
          </w:p>
        </w:tc>
        <w:tc>
          <w:tcPr>
            <w:tcW w:w="850" w:type="dxa"/>
            <w:vAlign w:val="center"/>
          </w:tcPr>
          <w:p>
            <w:pPr>
              <w:pStyle w:val="55"/>
              <w:rPr>
                <w:color w:val="000000" w:themeColor="text1"/>
              </w:rPr>
            </w:pPr>
            <w:r>
              <w:rPr>
                <w:rFonts w:hint="eastAsia"/>
                <w:color w:val="000000" w:themeColor="text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61" w:type="dxa"/>
            <w:vMerge w:val="restart"/>
            <w:vAlign w:val="center"/>
          </w:tcPr>
          <w:p>
            <w:pPr>
              <w:pStyle w:val="55"/>
              <w:rPr>
                <w:color w:val="000000" w:themeColor="text1"/>
              </w:rPr>
            </w:pPr>
            <w:r>
              <w:rPr>
                <w:rFonts w:hint="eastAsia"/>
                <w:color w:val="000000" w:themeColor="text1"/>
              </w:rPr>
              <w:t>《土壤污染防治行动计划》（土十条）国发[2016]31号</w:t>
            </w:r>
          </w:p>
          <w:p>
            <w:pPr>
              <w:pStyle w:val="55"/>
              <w:rPr>
                <w:color w:val="000000" w:themeColor="text1"/>
              </w:rPr>
            </w:pPr>
            <w:r>
              <w:rPr>
                <w:color w:val="000000" w:themeColor="text1"/>
              </w:rPr>
              <w:t>2016.05.31</w:t>
            </w:r>
          </w:p>
        </w:tc>
        <w:tc>
          <w:tcPr>
            <w:tcW w:w="5077" w:type="dxa"/>
            <w:vAlign w:val="center"/>
          </w:tcPr>
          <w:p>
            <w:pPr>
              <w:pStyle w:val="55"/>
              <w:rPr>
                <w:color w:val="000000" w:themeColor="text1"/>
              </w:rPr>
            </w:pPr>
            <w:r>
              <w:rPr>
                <w:rFonts w:hint="eastAsia"/>
                <w:color w:val="000000" w:themeColor="text1"/>
              </w:rPr>
              <w:t>严厉打击非法排放有毒有害污染物、违法违规存放危险化学品、非法处置危险废物、不正常使用污染治理设施、监测数据弄虚作假等环境违法行为。</w:t>
            </w:r>
          </w:p>
        </w:tc>
        <w:tc>
          <w:tcPr>
            <w:tcW w:w="1701" w:type="dxa"/>
            <w:vAlign w:val="center"/>
          </w:tcPr>
          <w:p>
            <w:pPr>
              <w:pStyle w:val="55"/>
              <w:rPr>
                <w:color w:val="000000" w:themeColor="text1"/>
              </w:rPr>
            </w:pPr>
            <w:r>
              <w:rPr>
                <w:rFonts w:hint="eastAsia"/>
                <w:color w:val="000000" w:themeColor="text1"/>
              </w:rPr>
              <w:t>为新建项目，企业无左栏违法行为</w:t>
            </w:r>
          </w:p>
        </w:tc>
        <w:tc>
          <w:tcPr>
            <w:tcW w:w="850" w:type="dxa"/>
            <w:vAlign w:val="center"/>
          </w:tcPr>
          <w:p>
            <w:pPr>
              <w:pStyle w:val="55"/>
              <w:rPr>
                <w:color w:val="000000" w:themeColor="text1"/>
              </w:rPr>
            </w:pPr>
            <w:r>
              <w:rPr>
                <w:rFonts w:hint="eastAsia"/>
                <w:color w:val="000000" w:themeColor="text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61" w:type="dxa"/>
            <w:vMerge w:val="continue"/>
            <w:vAlign w:val="center"/>
          </w:tcPr>
          <w:p>
            <w:pPr>
              <w:pStyle w:val="55"/>
              <w:rPr>
                <w:color w:val="000000" w:themeColor="text1"/>
              </w:rPr>
            </w:pPr>
          </w:p>
        </w:tc>
        <w:tc>
          <w:tcPr>
            <w:tcW w:w="5077" w:type="dxa"/>
            <w:vAlign w:val="center"/>
          </w:tcPr>
          <w:p>
            <w:pPr>
              <w:pStyle w:val="55"/>
              <w:rPr>
                <w:color w:val="000000" w:themeColor="text1"/>
              </w:rPr>
            </w:pPr>
            <w:r>
              <w:rPr>
                <w:rFonts w:hint="eastAsia"/>
                <w:color w:val="000000" w:themeColor="text1"/>
              </w:rPr>
              <w:t>各地要将符合条件的优先保护类耕地划为永久基本农田，实行严格保护，确保其面积不减少、土壤环境质量不下降，除法律规定的重点建设项目选址确实无法避让外，其他任何建设不得占用。</w:t>
            </w:r>
          </w:p>
        </w:tc>
        <w:tc>
          <w:tcPr>
            <w:tcW w:w="1701" w:type="dxa"/>
            <w:vAlign w:val="center"/>
          </w:tcPr>
          <w:p>
            <w:pPr>
              <w:pStyle w:val="55"/>
              <w:rPr>
                <w:color w:val="000000" w:themeColor="text1"/>
              </w:rPr>
            </w:pPr>
            <w:r>
              <w:rPr>
                <w:rFonts w:hint="eastAsia"/>
                <w:color w:val="000000" w:themeColor="text1"/>
              </w:rPr>
              <w:t>用地均为建设用地，不涉及农田占用</w:t>
            </w:r>
          </w:p>
        </w:tc>
        <w:tc>
          <w:tcPr>
            <w:tcW w:w="850" w:type="dxa"/>
            <w:vAlign w:val="center"/>
          </w:tcPr>
          <w:p>
            <w:pPr>
              <w:pStyle w:val="55"/>
              <w:rPr>
                <w:color w:val="000000" w:themeColor="text1"/>
              </w:rPr>
            </w:pPr>
            <w:r>
              <w:rPr>
                <w:rFonts w:hint="eastAsia"/>
                <w:color w:val="000000" w:themeColor="text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61" w:type="dxa"/>
            <w:vMerge w:val="continue"/>
            <w:vAlign w:val="center"/>
          </w:tcPr>
          <w:p>
            <w:pPr>
              <w:pStyle w:val="55"/>
              <w:rPr>
                <w:color w:val="000000" w:themeColor="text1"/>
              </w:rPr>
            </w:pPr>
          </w:p>
        </w:tc>
        <w:tc>
          <w:tcPr>
            <w:tcW w:w="5077" w:type="dxa"/>
            <w:vAlign w:val="center"/>
          </w:tcPr>
          <w:p>
            <w:pPr>
              <w:pStyle w:val="55"/>
              <w:rPr>
                <w:color w:val="000000" w:themeColor="text1"/>
              </w:rPr>
            </w:pPr>
            <w:r>
              <w:rPr>
                <w:rFonts w:hint="eastAsia"/>
                <w:color w:val="000000" w:themeColor="text1"/>
              </w:rPr>
              <w:t>排放重点污染物的建设项目，在开展环境影响评价时，要增加对土壤环境影响的评价内容，并提出防范土壤污染的具体措施；需要建设的土壤污染防治设施，要与主体工程同时设计、同时施工、同时投产使用；有关环境保护部门要做好有关措施落实情况的监督管理工作。</w:t>
            </w:r>
          </w:p>
        </w:tc>
        <w:tc>
          <w:tcPr>
            <w:tcW w:w="1701" w:type="dxa"/>
            <w:vAlign w:val="center"/>
          </w:tcPr>
          <w:p>
            <w:pPr>
              <w:pStyle w:val="55"/>
              <w:rPr>
                <w:color w:val="000000" w:themeColor="text1"/>
              </w:rPr>
            </w:pPr>
            <w:r>
              <w:rPr>
                <w:rFonts w:hint="eastAsia"/>
                <w:color w:val="000000" w:themeColor="text1"/>
              </w:rPr>
              <w:t>建设及生产不涉及重点污染物的排放</w:t>
            </w:r>
          </w:p>
        </w:tc>
        <w:tc>
          <w:tcPr>
            <w:tcW w:w="850" w:type="dxa"/>
            <w:vAlign w:val="center"/>
          </w:tcPr>
          <w:p>
            <w:pPr>
              <w:pStyle w:val="55"/>
              <w:rPr>
                <w:color w:val="000000" w:themeColor="text1"/>
              </w:rPr>
            </w:pPr>
            <w:r>
              <w:rPr>
                <w:rFonts w:hint="eastAsia"/>
                <w:color w:val="000000" w:themeColor="text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61" w:type="dxa"/>
            <w:vMerge w:val="continue"/>
            <w:vAlign w:val="center"/>
          </w:tcPr>
          <w:p>
            <w:pPr>
              <w:pStyle w:val="55"/>
              <w:rPr>
                <w:color w:val="000000" w:themeColor="text1"/>
              </w:rPr>
            </w:pPr>
          </w:p>
        </w:tc>
        <w:tc>
          <w:tcPr>
            <w:tcW w:w="5077" w:type="dxa"/>
            <w:vAlign w:val="center"/>
          </w:tcPr>
          <w:p>
            <w:pPr>
              <w:pStyle w:val="55"/>
              <w:rPr>
                <w:color w:val="000000" w:themeColor="text1"/>
              </w:rPr>
            </w:pPr>
            <w:r>
              <w:rPr>
                <w:rFonts w:hint="eastAsia"/>
                <w:color w:val="000000" w:themeColor="text1"/>
              </w:rPr>
              <w:t>严格执行相关行业企业布局选址要求，禁止在居民区、学校、医疗和养老机构等周边新建有色金属冶炼、焦化等行业企业；结合推进新型城镇化、产业结构调整和化解过剩产能等，有序搬迁或依法关闭对土壤造成严重污染的现有企业。</w:t>
            </w:r>
          </w:p>
        </w:tc>
        <w:tc>
          <w:tcPr>
            <w:tcW w:w="1701" w:type="dxa"/>
            <w:vAlign w:val="center"/>
          </w:tcPr>
          <w:p>
            <w:pPr>
              <w:pStyle w:val="55"/>
              <w:rPr>
                <w:color w:val="000000" w:themeColor="text1"/>
              </w:rPr>
            </w:pPr>
            <w:r>
              <w:rPr>
                <w:rFonts w:hint="eastAsia"/>
                <w:color w:val="000000" w:themeColor="text1"/>
              </w:rPr>
              <w:t>为新建项目，不属于有色金属冶炼、焦化等产业</w:t>
            </w:r>
          </w:p>
        </w:tc>
        <w:tc>
          <w:tcPr>
            <w:tcW w:w="850" w:type="dxa"/>
            <w:vAlign w:val="center"/>
          </w:tcPr>
          <w:p>
            <w:pPr>
              <w:pStyle w:val="55"/>
              <w:rPr>
                <w:color w:val="000000" w:themeColor="text1"/>
              </w:rPr>
            </w:pPr>
            <w:r>
              <w:rPr>
                <w:rFonts w:hint="eastAsia"/>
                <w:color w:val="000000" w:themeColor="text1"/>
              </w:rPr>
              <w:t>符合</w:t>
            </w:r>
          </w:p>
        </w:tc>
      </w:tr>
    </w:tbl>
    <w:p>
      <w:pPr>
        <w:pStyle w:val="3"/>
        <w:rPr>
          <w:color w:val="000000" w:themeColor="text1"/>
        </w:rPr>
      </w:pPr>
      <w:bookmarkStart w:id="311" w:name="_Toc47375914"/>
      <w:r>
        <w:rPr>
          <w:rFonts w:hint="eastAsia"/>
          <w:color w:val="000000" w:themeColor="text1"/>
        </w:rPr>
        <w:t>8.2规划符合性分析</w:t>
      </w:r>
      <w:bookmarkEnd w:id="311"/>
    </w:p>
    <w:p>
      <w:pPr>
        <w:ind w:firstLine="482"/>
        <w:rPr>
          <w:b/>
          <w:color w:val="000000" w:themeColor="text1"/>
        </w:rPr>
      </w:pPr>
      <w:r>
        <w:rPr>
          <w:rFonts w:hint="eastAsia"/>
          <w:b/>
          <w:color w:val="000000" w:themeColor="text1"/>
        </w:rPr>
        <w:t>1、与《云南省环境保护“十三五”规划纲要》的符合性分析</w:t>
      </w:r>
    </w:p>
    <w:p>
      <w:pPr>
        <w:ind w:firstLine="480"/>
        <w:rPr>
          <w:color w:val="000000" w:themeColor="text1"/>
        </w:rPr>
      </w:pPr>
      <w:r>
        <w:rPr>
          <w:color w:val="000000" w:themeColor="text1"/>
        </w:rPr>
        <w:t>本项目与《云南省环境保护“十三五”规划纲要》（云环发[2016]68 号）的符合性分析详见表</w:t>
      </w:r>
      <w:r>
        <w:rPr>
          <w:rFonts w:hint="eastAsia"/>
          <w:color w:val="000000" w:themeColor="text1"/>
        </w:rPr>
        <w:t>8.2-1</w:t>
      </w:r>
      <w:r>
        <w:rPr>
          <w:color w:val="000000" w:themeColor="text1"/>
        </w:rPr>
        <w:t>，项目符合《云南省环境保护“十三五”规划纲要》。</w:t>
      </w:r>
    </w:p>
    <w:p>
      <w:pPr>
        <w:pStyle w:val="54"/>
        <w:rPr>
          <w:color w:val="000000" w:themeColor="text1"/>
        </w:rPr>
      </w:pPr>
      <w:r>
        <w:rPr>
          <w:rFonts w:hint="eastAsia"/>
          <w:color w:val="000000" w:themeColor="text1"/>
        </w:rPr>
        <w:t>8.2-1  项目与</w:t>
      </w:r>
      <w:r>
        <w:rPr>
          <w:color w:val="000000" w:themeColor="text1"/>
        </w:rPr>
        <w:t>《云南省环境保护“十三五”规划纲要》的符合性分析</w:t>
      </w:r>
    </w:p>
    <w:tbl>
      <w:tblPr>
        <w:tblStyle w:val="43"/>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3"/>
        <w:gridCol w:w="2835"/>
        <w:gridCol w:w="118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3" w:type="dxa"/>
            <w:vAlign w:val="center"/>
          </w:tcPr>
          <w:p>
            <w:pPr>
              <w:pStyle w:val="55"/>
              <w:rPr>
                <w:color w:val="000000" w:themeColor="text1"/>
              </w:rPr>
            </w:pPr>
            <w:r>
              <w:rPr>
                <w:color w:val="000000" w:themeColor="text1"/>
              </w:rPr>
              <w:t>《云南省环境保护“十三五”规划纲要》要求</w:t>
            </w:r>
          </w:p>
        </w:tc>
        <w:tc>
          <w:tcPr>
            <w:tcW w:w="2835" w:type="dxa"/>
            <w:vAlign w:val="center"/>
          </w:tcPr>
          <w:p>
            <w:pPr>
              <w:pStyle w:val="55"/>
              <w:rPr>
                <w:color w:val="000000" w:themeColor="text1"/>
              </w:rPr>
            </w:pPr>
            <w:r>
              <w:rPr>
                <w:color w:val="000000" w:themeColor="text1"/>
              </w:rPr>
              <w:t>本项目情况</w:t>
            </w:r>
          </w:p>
        </w:tc>
        <w:tc>
          <w:tcPr>
            <w:tcW w:w="1184" w:type="dxa"/>
            <w:vAlign w:val="center"/>
          </w:tcPr>
          <w:p>
            <w:pPr>
              <w:pStyle w:val="55"/>
              <w:rPr>
                <w:color w:val="000000" w:themeColor="text1"/>
              </w:rPr>
            </w:pPr>
            <w:r>
              <w:rPr>
                <w:color w:val="000000" w:themeColor="text1"/>
              </w:rPr>
              <w:t>符合性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3" w:type="dxa"/>
            <w:vAlign w:val="center"/>
          </w:tcPr>
          <w:p>
            <w:pPr>
              <w:pStyle w:val="55"/>
              <w:rPr>
                <w:color w:val="000000" w:themeColor="text1"/>
              </w:rPr>
            </w:pPr>
            <w:r>
              <w:rPr>
                <w:rFonts w:hint="eastAsia"/>
                <w:color w:val="000000" w:themeColor="text1"/>
              </w:rPr>
              <w:t>加快淘汰高污染、高环境风险的工艺、设备与产品，对不符合产业政策、环境污染重、不能实现稳定达标排放的落后产能、企业实施强制淘汰，对产能过剩行业和高污染、高排放行业实行新上项目产能减量置换。强化噪声污染防治，对重点噪声源限期治理，对噪声严重污染企业实施关停搬迁。</w:t>
            </w:r>
          </w:p>
        </w:tc>
        <w:tc>
          <w:tcPr>
            <w:tcW w:w="2835" w:type="dxa"/>
            <w:vAlign w:val="center"/>
          </w:tcPr>
          <w:p>
            <w:pPr>
              <w:pStyle w:val="55"/>
              <w:rPr>
                <w:color w:val="000000" w:themeColor="text1"/>
              </w:rPr>
            </w:pPr>
            <w:r>
              <w:rPr>
                <w:color w:val="000000" w:themeColor="text1"/>
              </w:rPr>
              <w:t>本项目不属于</w:t>
            </w:r>
            <w:r>
              <w:rPr>
                <w:rFonts w:hint="eastAsia"/>
                <w:color w:val="000000" w:themeColor="text1"/>
              </w:rPr>
              <w:t>高污染、高环境风险的工艺，本项目设备采用最新的安全设备，且本项目符合产业政策，污染物均能实现达标排放。项目为新建搬迁项目，周边200m范围内没有声环境敏感目标存在。</w:t>
            </w:r>
          </w:p>
        </w:tc>
        <w:tc>
          <w:tcPr>
            <w:tcW w:w="1184" w:type="dxa"/>
            <w:vAlign w:val="center"/>
          </w:tcPr>
          <w:p>
            <w:pPr>
              <w:pStyle w:val="55"/>
              <w:rPr>
                <w:color w:val="000000" w:themeColor="text1"/>
              </w:rPr>
            </w:pPr>
            <w:r>
              <w:rPr>
                <w:color w:val="000000" w:themeColor="text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3" w:type="dxa"/>
            <w:vAlign w:val="center"/>
          </w:tcPr>
          <w:p>
            <w:pPr>
              <w:pStyle w:val="55"/>
              <w:rPr>
                <w:color w:val="000000" w:themeColor="text1"/>
              </w:rPr>
            </w:pPr>
            <w:r>
              <w:rPr>
                <w:rFonts w:hint="eastAsia"/>
                <w:color w:val="000000" w:themeColor="text1"/>
              </w:rPr>
              <w:t>实施重点行业企业限期达标排放改造。按照重点行业污染最佳治理技术政策指引，制定重点地区重点行业限期整治方案，升级改造环保设施，确保稳定达标。以玻璃、燃煤锅炉、造纸、印染、化工、焦化、氮肥、农副食品加工、原料药制造、制革、农药、电镀等行业为重点，推进行业达标排放改造。</w:t>
            </w:r>
          </w:p>
        </w:tc>
        <w:tc>
          <w:tcPr>
            <w:tcW w:w="2835" w:type="dxa"/>
            <w:vAlign w:val="center"/>
          </w:tcPr>
          <w:p>
            <w:pPr>
              <w:pStyle w:val="55"/>
              <w:rPr>
                <w:color w:val="000000" w:themeColor="text1"/>
              </w:rPr>
            </w:pPr>
            <w:r>
              <w:rPr>
                <w:color w:val="000000" w:themeColor="text1"/>
              </w:rPr>
              <w:t>本项目为新建项目，本项目污染物通过治理均能实现达标排放。</w:t>
            </w:r>
          </w:p>
        </w:tc>
        <w:tc>
          <w:tcPr>
            <w:tcW w:w="1184" w:type="dxa"/>
            <w:vAlign w:val="center"/>
          </w:tcPr>
          <w:p>
            <w:pPr>
              <w:pStyle w:val="55"/>
              <w:rPr>
                <w:color w:val="000000" w:themeColor="text1"/>
              </w:rPr>
            </w:pPr>
            <w:r>
              <w:rPr>
                <w:color w:val="000000" w:themeColor="text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3" w:type="dxa"/>
            <w:vAlign w:val="center"/>
          </w:tcPr>
          <w:p>
            <w:pPr>
              <w:pStyle w:val="55"/>
              <w:rPr>
                <w:color w:val="000000" w:themeColor="text1"/>
              </w:rPr>
            </w:pPr>
            <w:r>
              <w:rPr>
                <w:rFonts w:hint="eastAsia"/>
                <w:color w:val="000000" w:themeColor="text1"/>
              </w:rPr>
              <w:t>全面整治燃煤小锅炉。加快推进“煤改气”、“煤改电”工程建设，到2017年，除必要保留的以外，全省16个地级城市建成区基本淘汰每小时10蒸吨及以下的燃煤锅炉，禁止新建每小时20蒸吨以下的燃煤锅炉；其他地区原则上不再新建每小时10蒸吨以下的燃煤锅炉。</w:t>
            </w:r>
          </w:p>
        </w:tc>
        <w:tc>
          <w:tcPr>
            <w:tcW w:w="2835" w:type="dxa"/>
            <w:vAlign w:val="center"/>
          </w:tcPr>
          <w:p>
            <w:pPr>
              <w:pStyle w:val="55"/>
              <w:rPr>
                <w:color w:val="000000" w:themeColor="text1"/>
              </w:rPr>
            </w:pPr>
            <w:r>
              <w:rPr>
                <w:color w:val="000000" w:themeColor="text1"/>
              </w:rPr>
              <w:t>本项目锅炉为生物质锅炉，不属于需要整治的燃煤小锅炉。</w:t>
            </w:r>
          </w:p>
        </w:tc>
        <w:tc>
          <w:tcPr>
            <w:tcW w:w="1184" w:type="dxa"/>
            <w:vAlign w:val="center"/>
          </w:tcPr>
          <w:p>
            <w:pPr>
              <w:pStyle w:val="55"/>
              <w:rPr>
                <w:color w:val="000000" w:themeColor="text1"/>
              </w:rPr>
            </w:pPr>
            <w:r>
              <w:rPr>
                <w:color w:val="000000" w:themeColor="text1"/>
              </w:rPr>
              <w:t>符合</w:t>
            </w:r>
          </w:p>
        </w:tc>
      </w:tr>
    </w:tbl>
    <w:p>
      <w:pPr>
        <w:ind w:firstLine="482"/>
        <w:rPr>
          <w:b/>
          <w:color w:val="000000" w:themeColor="text1"/>
        </w:rPr>
      </w:pPr>
      <w:r>
        <w:rPr>
          <w:rFonts w:hint="eastAsia"/>
          <w:b/>
          <w:color w:val="000000" w:themeColor="text1"/>
        </w:rPr>
        <w:t>2、与《文山州</w:t>
      </w:r>
      <w:r>
        <w:rPr>
          <w:b/>
          <w:color w:val="000000" w:themeColor="text1"/>
        </w:rPr>
        <w:t>“</w:t>
      </w:r>
      <w:r>
        <w:rPr>
          <w:rFonts w:hint="eastAsia"/>
          <w:b/>
          <w:color w:val="000000" w:themeColor="text1"/>
        </w:rPr>
        <w:t>十三五</w:t>
      </w:r>
      <w:r>
        <w:rPr>
          <w:b/>
          <w:color w:val="000000" w:themeColor="text1"/>
        </w:rPr>
        <w:t>”</w:t>
      </w:r>
      <w:r>
        <w:rPr>
          <w:rFonts w:hint="eastAsia"/>
          <w:b/>
          <w:color w:val="000000" w:themeColor="text1"/>
        </w:rPr>
        <w:t>工业经济发展规划》的符合性分析</w:t>
      </w:r>
    </w:p>
    <w:p>
      <w:pPr>
        <w:ind w:firstLine="480"/>
        <w:rPr>
          <w:color w:val="000000" w:themeColor="text1"/>
          <w:szCs w:val="24"/>
        </w:rPr>
      </w:pPr>
      <w:r>
        <w:rPr>
          <w:rFonts w:hint="eastAsia"/>
          <w:color w:val="000000" w:themeColor="text1"/>
        </w:rPr>
        <w:t>总体思路：以邓小平理论和</w:t>
      </w:r>
      <w:r>
        <w:rPr>
          <w:color w:val="000000" w:themeColor="text1"/>
        </w:rPr>
        <w:t>“</w:t>
      </w:r>
      <w:r>
        <w:rPr>
          <w:rFonts w:hint="eastAsia"/>
          <w:color w:val="000000" w:themeColor="text1"/>
        </w:rPr>
        <w:t>三个代表</w:t>
      </w:r>
      <w:r>
        <w:rPr>
          <w:color w:val="000000" w:themeColor="text1"/>
        </w:rPr>
        <w:t>”</w:t>
      </w:r>
      <w:r>
        <w:rPr>
          <w:rFonts w:hint="eastAsia"/>
          <w:color w:val="000000" w:themeColor="text1"/>
        </w:rPr>
        <w:t>重要思想为指导，全面落实科学发展观，加快实施</w:t>
      </w:r>
      <w:r>
        <w:rPr>
          <w:color w:val="000000" w:themeColor="text1"/>
        </w:rPr>
        <w:t>“</w:t>
      </w:r>
      <w:r>
        <w:rPr>
          <w:rFonts w:hint="eastAsia"/>
          <w:color w:val="000000" w:themeColor="text1"/>
        </w:rPr>
        <w:t>工业强州</w:t>
      </w:r>
      <w:r>
        <w:rPr>
          <w:color w:val="000000" w:themeColor="text1"/>
        </w:rPr>
        <w:t>”</w:t>
      </w:r>
      <w:r>
        <w:rPr>
          <w:rFonts w:hint="eastAsia"/>
          <w:color w:val="000000" w:themeColor="text1"/>
        </w:rPr>
        <w:t>战略，坚持走新型工业化道路。</w:t>
      </w:r>
    </w:p>
    <w:p>
      <w:pPr>
        <w:ind w:firstLine="480"/>
        <w:rPr>
          <w:color w:val="000000" w:themeColor="text1"/>
        </w:rPr>
      </w:pPr>
      <w:r>
        <w:rPr>
          <w:rFonts w:hint="eastAsia"/>
          <w:color w:val="000000" w:themeColor="text1"/>
        </w:rPr>
        <w:t>发展战略重点：围绕工业</w:t>
      </w:r>
      <w:r>
        <w:rPr>
          <w:color w:val="000000" w:themeColor="text1"/>
        </w:rPr>
        <w:t>“</w:t>
      </w:r>
      <w:r>
        <w:rPr>
          <w:rFonts w:hint="eastAsia"/>
          <w:color w:val="000000" w:themeColor="text1"/>
        </w:rPr>
        <w:t>千亿工程</w:t>
      </w:r>
      <w:r>
        <w:rPr>
          <w:color w:val="000000" w:themeColor="text1"/>
        </w:rPr>
        <w:t>”</w:t>
      </w:r>
      <w:r>
        <w:rPr>
          <w:rFonts w:hint="eastAsia"/>
          <w:color w:val="000000" w:themeColor="text1"/>
        </w:rPr>
        <w:t>发展目标，创新发展思路，加强煤电油运等生产要素协调服务，强化运行保障；实施重点产业支撑、大项目带动、集群化发展战略，培育工业新的增长点；加快结构调整，优化资源配置，转变工业发展方式，轻工业重点抓三七推动，重工业重点抓铝业推动，带动文山州工业结构调整、创特色、上水平；加大省级重点园区和县级特色园区的建设力度；完善政策措施，大力发展中小企业和非公经济；大力发展循环经济，推进节能降耗；加大工业投入，推进企业技术进步，增强企业技术创新能力和核心竞争力，促进全州工业经济又好又快发展。</w:t>
      </w:r>
      <w:r>
        <w:rPr>
          <w:color w:val="000000" w:themeColor="text1"/>
        </w:rPr>
        <w:t xml:space="preserve"> </w:t>
      </w:r>
    </w:p>
    <w:p>
      <w:pPr>
        <w:ind w:firstLine="480"/>
        <w:rPr>
          <w:color w:val="000000" w:themeColor="text1"/>
        </w:rPr>
      </w:pPr>
      <w:r>
        <w:rPr>
          <w:rFonts w:hint="eastAsia"/>
          <w:color w:val="000000" w:themeColor="text1"/>
        </w:rPr>
        <w:t>综上所述，本项目的建设将推动砚山县及周边县市的养殖业的发展，带动砚山县经济发展及就业形势，总体上符合《文山州</w:t>
      </w:r>
      <w:r>
        <w:rPr>
          <w:color w:val="000000" w:themeColor="text1"/>
        </w:rPr>
        <w:t>“</w:t>
      </w:r>
      <w:r>
        <w:rPr>
          <w:rFonts w:hint="eastAsia"/>
          <w:color w:val="000000" w:themeColor="text1"/>
        </w:rPr>
        <w:t>十三五</w:t>
      </w:r>
      <w:r>
        <w:rPr>
          <w:color w:val="000000" w:themeColor="text1"/>
        </w:rPr>
        <w:t>”</w:t>
      </w:r>
      <w:r>
        <w:rPr>
          <w:rFonts w:hint="eastAsia"/>
          <w:color w:val="000000" w:themeColor="text1"/>
        </w:rPr>
        <w:t>工业经济发展规划》。</w:t>
      </w:r>
    </w:p>
    <w:p>
      <w:pPr>
        <w:ind w:firstLine="482"/>
        <w:rPr>
          <w:b/>
          <w:color w:val="000000" w:themeColor="text1"/>
        </w:rPr>
      </w:pPr>
      <w:r>
        <w:rPr>
          <w:rFonts w:hint="eastAsia"/>
          <w:b/>
          <w:color w:val="000000" w:themeColor="text1"/>
        </w:rPr>
        <w:t>3、与《砚山县城市总体规划》符合性分析</w:t>
      </w:r>
    </w:p>
    <w:p>
      <w:pPr>
        <w:ind w:firstLine="480"/>
        <w:rPr>
          <w:color w:val="000000" w:themeColor="text1"/>
        </w:rPr>
      </w:pPr>
      <w:r>
        <w:rPr>
          <w:rFonts w:hint="eastAsia"/>
          <w:color w:val="000000" w:themeColor="text1"/>
        </w:rPr>
        <w:t>本项目</w:t>
      </w:r>
      <w:r>
        <w:rPr>
          <w:color w:val="000000" w:themeColor="text1"/>
        </w:rPr>
        <w:t>选址位于砚山县北的干河乡</w:t>
      </w:r>
      <w:r>
        <w:rPr>
          <w:rFonts w:hint="eastAsia"/>
          <w:color w:val="000000" w:themeColor="text1"/>
        </w:rPr>
        <w:t>碧云村委会</w:t>
      </w:r>
      <w:r>
        <w:rPr>
          <w:color w:val="000000" w:themeColor="text1"/>
        </w:rPr>
        <w:t>小龙白村西北侧</w:t>
      </w:r>
      <w:r>
        <w:rPr>
          <w:rFonts w:hint="eastAsia"/>
          <w:color w:val="000000" w:themeColor="text1"/>
        </w:rPr>
        <w:t>500m处</w:t>
      </w:r>
      <w:r>
        <w:rPr>
          <w:color w:val="000000" w:themeColor="text1"/>
        </w:rPr>
        <w:t>，距离县城直线距离约</w:t>
      </w:r>
      <w:r>
        <w:rPr>
          <w:rFonts w:hint="eastAsia"/>
          <w:color w:val="000000" w:themeColor="text1"/>
        </w:rPr>
        <w:t>3</w:t>
      </w:r>
      <w:r>
        <w:rPr>
          <w:color w:val="000000" w:themeColor="text1"/>
        </w:rPr>
        <w:t>km，不在城市总规范围内，不属于规划禁止建设区和限制建设区，</w:t>
      </w:r>
      <w:r>
        <w:rPr>
          <w:rFonts w:hint="eastAsia"/>
          <w:color w:val="000000" w:themeColor="text1"/>
        </w:rPr>
        <w:t>本项目</w:t>
      </w:r>
      <w:r>
        <w:rPr>
          <w:color w:val="000000" w:themeColor="text1"/>
        </w:rPr>
        <w:t>符合《砚山县城市总体规划（2016－2030 年）》。</w:t>
      </w:r>
    </w:p>
    <w:p>
      <w:pPr>
        <w:pStyle w:val="3"/>
        <w:rPr>
          <w:color w:val="000000" w:themeColor="text1"/>
        </w:rPr>
      </w:pPr>
      <w:bookmarkStart w:id="312" w:name="_Toc47375915"/>
      <w:r>
        <w:rPr>
          <w:rFonts w:hint="eastAsia"/>
          <w:color w:val="000000" w:themeColor="text1"/>
        </w:rPr>
        <w:t>8.3选址合理性分析</w:t>
      </w:r>
      <w:bookmarkEnd w:id="312"/>
    </w:p>
    <w:p>
      <w:pPr>
        <w:ind w:firstLine="480"/>
        <w:rPr>
          <w:color w:val="000000" w:themeColor="text1"/>
        </w:rPr>
      </w:pPr>
      <w:r>
        <w:rPr>
          <w:rFonts w:hint="eastAsia"/>
          <w:color w:val="000000" w:themeColor="text1"/>
        </w:rPr>
        <w:t>对照《肉类加工厂卫生规范》（</w:t>
      </w:r>
      <w:r>
        <w:rPr>
          <w:color w:val="000000" w:themeColor="text1"/>
        </w:rPr>
        <w:t>GB12694-1990</w:t>
      </w:r>
      <w:r>
        <w:rPr>
          <w:rFonts w:hint="eastAsia"/>
          <w:color w:val="000000" w:themeColor="text1"/>
        </w:rPr>
        <w:t>）中屠宰场的选址要求：</w:t>
      </w:r>
      <w:r>
        <w:rPr>
          <w:color w:val="000000" w:themeColor="text1"/>
        </w:rPr>
        <w:t>“4.1.1</w:t>
      </w:r>
      <w:r>
        <w:rPr>
          <w:rFonts w:hint="eastAsia"/>
          <w:color w:val="000000" w:themeColor="text1"/>
        </w:rPr>
        <w:t>肉类联合加工厂、屠宰厂、肉制品厂应建在地势较高，干燥，水源充足，交通方便，无有害气体、灰砂及其他污染源，便于排放污水的地区。</w:t>
      </w:r>
      <w:r>
        <w:rPr>
          <w:color w:val="000000" w:themeColor="text1"/>
        </w:rPr>
        <w:t>”</w:t>
      </w:r>
      <w:r>
        <w:rPr>
          <w:rFonts w:hint="eastAsia"/>
          <w:color w:val="000000" w:themeColor="text1"/>
        </w:rPr>
        <w:t>项目所在地水源充足，交通方便，无有害气体、灰砂及其他污染源，便于排放污水，符合该规范。</w:t>
      </w:r>
    </w:p>
    <w:p>
      <w:pPr>
        <w:ind w:firstLine="480"/>
        <w:rPr>
          <w:color w:val="000000" w:themeColor="text1"/>
        </w:rPr>
      </w:pPr>
      <w:r>
        <w:rPr>
          <w:color w:val="000000" w:themeColor="text1"/>
        </w:rPr>
        <w:t>“4.1.2</w:t>
      </w:r>
      <w:r>
        <w:rPr>
          <w:rFonts w:hint="eastAsia"/>
          <w:color w:val="000000" w:themeColor="text1"/>
        </w:rPr>
        <w:t>肉类联合加工厂、屠宰厂不得建在居民稠密的地区，肉制品加工厂（车间）经当地城市规划、卫生部门批准，可建在城镇适当地点。</w:t>
      </w:r>
      <w:r>
        <w:rPr>
          <w:color w:val="000000" w:themeColor="text1"/>
        </w:rPr>
        <w:t>”</w:t>
      </w:r>
      <w:r>
        <w:rPr>
          <w:rFonts w:hint="eastAsia"/>
          <w:color w:val="000000" w:themeColor="text1"/>
        </w:rPr>
        <w:t>项目位于</w:t>
      </w:r>
      <w:r>
        <w:rPr>
          <w:rStyle w:val="52"/>
          <w:rFonts w:hint="eastAsia"/>
          <w:b w:val="0"/>
          <w:bCs w:val="0"/>
          <w:i w:val="0"/>
          <w:iCs w:val="0"/>
          <w:color w:val="000000" w:themeColor="text1"/>
          <w:szCs w:val="24"/>
        </w:rPr>
        <w:t>拟在砚山县干河乡小龙白村西北侧500m处</w:t>
      </w:r>
      <w:r>
        <w:rPr>
          <w:rFonts w:hint="eastAsia"/>
          <w:color w:val="000000" w:themeColor="text1"/>
        </w:rPr>
        <w:t>，现已取得砚山县自然资源局颁发的建设用地规划许可证（砚山县地字第202000012号），用地性质为工业用地，用地性质符合规划。</w:t>
      </w:r>
    </w:p>
    <w:p>
      <w:pPr>
        <w:ind w:firstLine="480"/>
        <w:rPr>
          <w:color w:val="000000" w:themeColor="text1"/>
        </w:rPr>
      </w:pPr>
      <w:r>
        <w:rPr>
          <w:rFonts w:hint="eastAsia"/>
          <w:color w:val="000000" w:themeColor="text1"/>
        </w:rPr>
        <w:t>《畜类屠宰加工通用技术条件》（</w:t>
      </w:r>
      <w:r>
        <w:rPr>
          <w:color w:val="000000" w:themeColor="text1"/>
        </w:rPr>
        <w:t>GB/T17237-2008</w:t>
      </w:r>
      <w:r>
        <w:rPr>
          <w:rFonts w:hint="eastAsia"/>
          <w:color w:val="000000" w:themeColor="text1"/>
        </w:rPr>
        <w:t>）中屠宰场的选址要求：</w:t>
      </w:r>
      <w:r>
        <w:rPr>
          <w:color w:val="000000" w:themeColor="text1"/>
        </w:rPr>
        <w:t>“4.1</w:t>
      </w:r>
      <w:r>
        <w:rPr>
          <w:rFonts w:hint="eastAsia"/>
          <w:color w:val="000000" w:themeColor="text1"/>
        </w:rPr>
        <w:t>畜类屠宰加工厂（场）选址除应符合</w:t>
      </w:r>
      <w:r>
        <w:rPr>
          <w:color w:val="000000" w:themeColor="text1"/>
        </w:rPr>
        <w:t>GB12694-90</w:t>
      </w:r>
      <w:r>
        <w:rPr>
          <w:rFonts w:hint="eastAsia"/>
          <w:color w:val="000000" w:themeColor="text1"/>
        </w:rPr>
        <w:t>中</w:t>
      </w:r>
      <w:r>
        <w:rPr>
          <w:color w:val="000000" w:themeColor="text1"/>
        </w:rPr>
        <w:t>4.1</w:t>
      </w:r>
      <w:r>
        <w:rPr>
          <w:rFonts w:hint="eastAsia"/>
          <w:color w:val="000000" w:themeColor="text1"/>
        </w:rPr>
        <w:t>的要求外，还应选在当地常年主导风向的下风侧，远离水源保护区和饮用水取水口，避开居民住宅区、公共场所以及畜禽饲养场。</w:t>
      </w:r>
      <w:r>
        <w:rPr>
          <w:color w:val="000000" w:themeColor="text1"/>
        </w:rPr>
        <w:t>”</w:t>
      </w:r>
      <w:r>
        <w:rPr>
          <w:rFonts w:hint="eastAsia"/>
          <w:color w:val="000000" w:themeColor="text1"/>
        </w:rPr>
        <w:t>项目区常年风向以南风为主，项目敏感点小舍克村位于西北侧，碧云村位于东北侧，小龙柏、布标、永忠位于东南侧，上舍克位于东南侧、白龙山位于南侧，均位于项目的上风向或侧风向。且项目用水选用市政供水，与周边村庄用水不冲突，且项目不在饮用水源保护区范围内，距离周边村庄的距离都在500m以上，满足该条规定。</w:t>
      </w:r>
    </w:p>
    <w:p>
      <w:pPr>
        <w:ind w:firstLine="480"/>
        <w:rPr>
          <w:color w:val="000000" w:themeColor="text1"/>
        </w:rPr>
      </w:pPr>
      <w:r>
        <w:rPr>
          <w:color w:val="000000" w:themeColor="text1"/>
        </w:rPr>
        <w:t>“4.2</w:t>
      </w:r>
      <w:r>
        <w:rPr>
          <w:rFonts w:hint="eastAsia"/>
          <w:color w:val="000000" w:themeColor="text1"/>
        </w:rPr>
        <w:t>畜类屠宰加工厂（场）应设在交通运输方便，电源稳定，水源充足，水质符合</w:t>
      </w:r>
      <w:r>
        <w:rPr>
          <w:color w:val="000000" w:themeColor="text1"/>
        </w:rPr>
        <w:t>GB5749</w:t>
      </w:r>
      <w:r>
        <w:rPr>
          <w:rFonts w:hint="eastAsia"/>
          <w:color w:val="000000" w:themeColor="text1"/>
        </w:rPr>
        <w:t>，环境卫生条件良好，无有害气体、粉尘、污浊水及其他污染源的地区。</w:t>
      </w:r>
      <w:r>
        <w:rPr>
          <w:color w:val="000000" w:themeColor="text1"/>
        </w:rPr>
        <w:t>”</w:t>
      </w:r>
      <w:r>
        <w:rPr>
          <w:rFonts w:hint="eastAsia"/>
          <w:color w:val="000000" w:themeColor="text1"/>
        </w:rPr>
        <w:t>项目所在地交通运输方便，水源电源来源于市政统一供给，环境卫生条件良好，无有害气体、粉尘、污浊水及其他污染源的地区，满足该条规定。</w:t>
      </w:r>
    </w:p>
    <w:p>
      <w:pPr>
        <w:ind w:firstLine="480"/>
        <w:rPr>
          <w:color w:val="000000" w:themeColor="text1"/>
        </w:rPr>
      </w:pPr>
      <w:r>
        <w:rPr>
          <w:rFonts w:hint="eastAsia"/>
          <w:color w:val="000000" w:themeColor="text1"/>
        </w:rPr>
        <w:t>此外，项目已取得砚山县建设项目选址并联审批表，因此认为项目选址合理。</w:t>
      </w:r>
    </w:p>
    <w:p>
      <w:pPr>
        <w:pStyle w:val="3"/>
        <w:rPr>
          <w:color w:val="000000" w:themeColor="text1"/>
        </w:rPr>
      </w:pPr>
      <w:bookmarkStart w:id="313" w:name="_Toc47375916"/>
      <w:r>
        <w:rPr>
          <w:rFonts w:hint="eastAsia"/>
          <w:color w:val="000000" w:themeColor="text1"/>
        </w:rPr>
        <w:t>8.4平面布局和理性分析</w:t>
      </w:r>
      <w:bookmarkEnd w:id="313"/>
    </w:p>
    <w:p>
      <w:pPr>
        <w:ind w:firstLine="480"/>
        <w:rPr>
          <w:color w:val="000000" w:themeColor="text1"/>
        </w:rPr>
      </w:pPr>
      <w:r>
        <w:rPr>
          <w:rFonts w:hint="eastAsia"/>
          <w:color w:val="000000" w:themeColor="text1"/>
        </w:rPr>
        <w:t>项目拟设置两个出入口，两个入口均位于县道永红公路一侧，厂区北门主要为原物料入口，南门为产品及人员出口。</w:t>
      </w:r>
    </w:p>
    <w:p>
      <w:pPr>
        <w:ind w:firstLine="480"/>
        <w:rPr>
          <w:color w:val="000000" w:themeColor="text1"/>
        </w:rPr>
      </w:pPr>
      <w:r>
        <w:rPr>
          <w:rFonts w:hint="eastAsia"/>
          <w:color w:val="000000" w:themeColor="text1"/>
        </w:rPr>
        <w:t>生产区位于厂区中西部，生产区由北向南依次为：宰鸡场、生鸡待宰圈、污水处理站、辅助用房、生猪待宰间、生猪屠宰车间、冷库。冷库靠近南门，便于运输车辆进入永红公路。为了减少对永红公路附近环境的影响，待宰圈、屠宰车间设置在厂区西部及中部较多，东部临路一侧主要设置办公生活用房、冷库、值班室、配电房等建筑。新厂区北侧、南侧、西侧周围均为绿地，有利于空气净化，东侧为永红公路及农田。项目远离居民区的布置也有利于生猪鸣叫声及屠宰噪声的衰减。</w:t>
      </w:r>
    </w:p>
    <w:p>
      <w:pPr>
        <w:ind w:firstLine="480"/>
        <w:rPr>
          <w:color w:val="000000" w:themeColor="text1"/>
        </w:rPr>
      </w:pPr>
      <w:r>
        <w:rPr>
          <w:rFonts w:hint="eastAsia"/>
          <w:color w:val="000000" w:themeColor="text1"/>
        </w:rPr>
        <w:t>污水处理站位于厂址西北部，紧邻西厂界，位于宰鸡场和生猪屠宰车间、办公生活用房之间，便于收集各部分污水，同时可利用西厂界外的山坡植被，利于空气净化。</w:t>
      </w:r>
    </w:p>
    <w:p>
      <w:pPr>
        <w:ind w:firstLine="480"/>
        <w:rPr>
          <w:color w:val="000000" w:themeColor="text1"/>
        </w:rPr>
      </w:pPr>
      <w:r>
        <w:rPr>
          <w:rFonts w:hint="eastAsia"/>
          <w:color w:val="000000" w:themeColor="text1"/>
        </w:rPr>
        <w:t>项目办公生活区和生产区在空间上相对分开，均有绿化带、道路或空地阻隔，可有效防止污水处理区和待宰圈及屠宰车间对办公区的影响。</w:t>
      </w:r>
    </w:p>
    <w:p>
      <w:pPr>
        <w:ind w:firstLine="480"/>
        <w:rPr>
          <w:color w:val="000000" w:themeColor="text1"/>
        </w:rPr>
      </w:pPr>
      <w:r>
        <w:rPr>
          <w:rFonts w:hint="eastAsia"/>
          <w:color w:val="000000" w:themeColor="text1"/>
        </w:rPr>
        <w:t>根据现场踏勘，厂址北侧、西侧、南侧目前为树林，厂区东侧紧挨永红公路。本厂址最近敏感目标为东南侧的小龙白，与项目区边界直线最近距离为500m。该村庄不在企业厂址常年主导风向的下风向上。</w:t>
      </w:r>
    </w:p>
    <w:p>
      <w:pPr>
        <w:ind w:firstLine="480"/>
        <w:rPr>
          <w:color w:val="000000" w:themeColor="text1"/>
        </w:rPr>
      </w:pPr>
      <w:r>
        <w:rPr>
          <w:rFonts w:hint="eastAsia"/>
          <w:color w:val="000000" w:themeColor="text1"/>
        </w:rPr>
        <w:t>本环评认为，项目新建厂区总平面布置功能分区清晰，工艺流程较顺畅，物流短捷，人流、物流交叉干扰较少，从环保角度考虑其平面布置合理。</w:t>
      </w:r>
    </w:p>
    <w:p>
      <w:pPr>
        <w:pStyle w:val="3"/>
        <w:rPr>
          <w:color w:val="000000" w:themeColor="text1"/>
        </w:rPr>
      </w:pPr>
      <w:bookmarkStart w:id="314" w:name="_Toc47375917"/>
      <w:r>
        <w:rPr>
          <w:rFonts w:hint="eastAsia"/>
          <w:color w:val="000000" w:themeColor="text1"/>
        </w:rPr>
        <w:t>8.5环境相容性分析</w:t>
      </w:r>
      <w:bookmarkEnd w:id="314"/>
    </w:p>
    <w:p>
      <w:pPr>
        <w:ind w:firstLine="480"/>
        <w:rPr>
          <w:color w:val="000000" w:themeColor="text1"/>
          <w:kern w:val="0"/>
        </w:rPr>
      </w:pPr>
      <w:r>
        <w:rPr>
          <w:rFonts w:hint="eastAsia"/>
          <w:color w:val="000000" w:themeColor="text1"/>
          <w:kern w:val="0"/>
        </w:rPr>
        <w:t>项目生产过程中产生的废气主要包括待宰及屠宰过程中的恶臭、污水处理站恶臭、生物质锅炉废气、焚烧炉尾气等。项目恶臭均为无组织排放，在采取每日清理粪便、对车间等进行冲洗消毒、喷洒生物除臭剂等措施后影响较小；生物质锅炉废气经过水膜除尘系统处理后达标排放；焚烧炉尾气经过布袋除尘器处理后达标排放。</w:t>
      </w:r>
    </w:p>
    <w:p>
      <w:pPr>
        <w:ind w:firstLine="480"/>
        <w:rPr>
          <w:color w:val="000000" w:themeColor="text1"/>
          <w:kern w:val="0"/>
        </w:rPr>
      </w:pPr>
      <w:r>
        <w:rPr>
          <w:rFonts w:hint="eastAsia"/>
          <w:color w:val="000000" w:themeColor="text1"/>
          <w:kern w:val="0"/>
        </w:rPr>
        <w:t>项目建设污水处理站处理屠宰废水、生活废水等，</w:t>
      </w:r>
      <w:r>
        <w:rPr>
          <w:rFonts w:hint="eastAsia"/>
          <w:color w:val="000000" w:themeColor="text1"/>
        </w:rPr>
        <w:t>采用“隔油沉砂</w:t>
      </w:r>
      <w:r>
        <w:rPr>
          <w:color w:val="000000" w:themeColor="text1"/>
        </w:rPr>
        <w:t>+</w:t>
      </w:r>
      <w:r>
        <w:rPr>
          <w:rFonts w:hint="eastAsia"/>
          <w:color w:val="000000" w:themeColor="text1"/>
        </w:rPr>
        <w:t>调节</w:t>
      </w:r>
      <w:r>
        <w:rPr>
          <w:color w:val="000000" w:themeColor="text1"/>
        </w:rPr>
        <w:t>+</w:t>
      </w:r>
      <w:r>
        <w:rPr>
          <w:rFonts w:hint="eastAsia"/>
          <w:color w:val="000000" w:themeColor="text1"/>
        </w:rPr>
        <w:t>气浮</w:t>
      </w:r>
      <w:r>
        <w:rPr>
          <w:color w:val="000000" w:themeColor="text1"/>
        </w:rPr>
        <w:t>+</w:t>
      </w:r>
      <w:r>
        <w:rPr>
          <w:rFonts w:hint="eastAsia"/>
          <w:color w:val="000000" w:themeColor="text1"/>
        </w:rPr>
        <w:t>厌氧</w:t>
      </w:r>
      <w:r>
        <w:rPr>
          <w:color w:val="000000" w:themeColor="text1"/>
        </w:rPr>
        <w:t>+</w:t>
      </w:r>
      <w:r>
        <w:rPr>
          <w:rFonts w:hint="eastAsia"/>
          <w:color w:val="000000" w:themeColor="text1"/>
        </w:rPr>
        <w:t>接触氧化</w:t>
      </w:r>
      <w:r>
        <w:rPr>
          <w:color w:val="000000" w:themeColor="text1"/>
        </w:rPr>
        <w:t>+</w:t>
      </w:r>
      <w:r>
        <w:rPr>
          <w:rFonts w:hint="eastAsia"/>
          <w:color w:val="000000" w:themeColor="text1"/>
        </w:rPr>
        <w:t>沉淀消毒”的工艺进行处理，废水经过污水处理站处理后出水水质可同时达到</w:t>
      </w:r>
      <w:r>
        <w:rPr>
          <w:rFonts w:hint="eastAsia"/>
          <w:bCs/>
          <w:color w:val="000000" w:themeColor="text1"/>
          <w:kern w:val="0"/>
          <w:szCs w:val="24"/>
        </w:rPr>
        <w:t>《肉类加工工业水污染物排放标准》（GB 13457-92）中较严格的禽类屠宰加工三级标准和《污水排入城镇下水道水质标准》（GB/T 31962-2015）表1中的B级标准，之后排入城镇污水管网</w:t>
      </w:r>
      <w:r>
        <w:rPr>
          <w:rFonts w:hint="eastAsia"/>
          <w:bCs/>
          <w:color w:val="000000" w:themeColor="text1"/>
          <w:kern w:val="0"/>
        </w:rPr>
        <w:t>。</w:t>
      </w:r>
    </w:p>
    <w:p>
      <w:pPr>
        <w:ind w:firstLine="480"/>
        <w:rPr>
          <w:bCs/>
          <w:color w:val="000000" w:themeColor="text1"/>
          <w:kern w:val="0"/>
        </w:rPr>
      </w:pPr>
      <w:r>
        <w:rPr>
          <w:rFonts w:hint="eastAsia"/>
          <w:bCs/>
          <w:color w:val="000000" w:themeColor="text1"/>
          <w:kern w:val="0"/>
        </w:rPr>
        <w:t>项目运营期会产生生产设备噪声，经预测可知，经设备选型、距离衰减、安装减振垫和厂界围墙阻挡后，对周围环境的影响不大。</w:t>
      </w:r>
    </w:p>
    <w:p>
      <w:pPr>
        <w:ind w:firstLine="480"/>
        <w:rPr>
          <w:color w:val="000000" w:themeColor="text1"/>
          <w:kern w:val="0"/>
        </w:rPr>
      </w:pPr>
      <w:r>
        <w:rPr>
          <w:rFonts w:hint="eastAsia"/>
          <w:color w:val="000000" w:themeColor="text1"/>
        </w:rPr>
        <w:t>项目待宰过程的死猪（鸡）、屠宰过程中的不合格产品、碎骨肉等采用项目自建的一体化无害化焚烧炉进行处理；肠胃内容物、粪便</w:t>
      </w:r>
      <w:r>
        <w:rPr>
          <w:rFonts w:hint="eastAsia"/>
          <w:bCs/>
          <w:iCs/>
          <w:color w:val="000000" w:themeColor="text1"/>
          <w:szCs w:val="24"/>
        </w:rPr>
        <w:t>由当地农户运走堆肥腐熟后作为农用肥料使用；</w:t>
      </w:r>
      <w:r>
        <w:rPr>
          <w:rFonts w:hint="eastAsia"/>
          <w:color w:val="000000" w:themeColor="text1"/>
        </w:rPr>
        <w:t>焚烧炉残渣、污水处理系统产生的栅渣和污泥以及员工日常生活产生的生活垃圾等</w:t>
      </w:r>
      <w:r>
        <w:rPr>
          <w:rFonts w:hint="eastAsia"/>
          <w:bCs/>
          <w:iCs/>
          <w:color w:val="000000" w:themeColor="text1"/>
          <w:szCs w:val="24"/>
        </w:rPr>
        <w:t>统一收集后按照环卫部门要求清运处置；危险废物</w:t>
      </w:r>
      <w:r>
        <w:rPr>
          <w:rFonts w:hint="eastAsia"/>
          <w:color w:val="000000" w:themeColor="text1"/>
        </w:rPr>
        <w:t>检疫试纸</w:t>
      </w:r>
      <w:r>
        <w:rPr>
          <w:rFonts w:hint="eastAsia"/>
          <w:bCs/>
          <w:iCs/>
          <w:color w:val="000000" w:themeColor="text1"/>
          <w:szCs w:val="24"/>
        </w:rPr>
        <w:t>由动物卫生监督所的检疫人员带走进行处置</w:t>
      </w:r>
      <w:r>
        <w:rPr>
          <w:rFonts w:hint="eastAsia"/>
          <w:bCs/>
          <w:color w:val="000000" w:themeColor="text1"/>
          <w:kern w:val="0"/>
        </w:rPr>
        <w:t>。固废</w:t>
      </w:r>
      <w:r>
        <w:rPr>
          <w:rFonts w:hint="eastAsia"/>
          <w:color w:val="000000" w:themeColor="text1"/>
          <w:kern w:val="0"/>
        </w:rPr>
        <w:t>处置率</w:t>
      </w:r>
      <w:r>
        <w:rPr>
          <w:color w:val="000000" w:themeColor="text1"/>
          <w:kern w:val="0"/>
        </w:rPr>
        <w:t>100%</w:t>
      </w:r>
      <w:r>
        <w:rPr>
          <w:rFonts w:hint="eastAsia"/>
          <w:color w:val="000000" w:themeColor="text1"/>
          <w:kern w:val="0"/>
        </w:rPr>
        <w:t>。</w:t>
      </w:r>
    </w:p>
    <w:p>
      <w:pPr>
        <w:ind w:firstLine="480"/>
        <w:rPr>
          <w:color w:val="000000" w:themeColor="text1"/>
          <w:kern w:val="0"/>
        </w:rPr>
      </w:pPr>
      <w:r>
        <w:rPr>
          <w:rFonts w:hint="eastAsia"/>
          <w:color w:val="000000" w:themeColor="text1"/>
        </w:rPr>
        <w:t>本项目评价范围内无自然保护区，无自然保护的历史文化遗迹和风景名胜等敏感目标，无珍惜动植物分布。根据环境影响分析评价结果，项目生产期对环境空气、水环境、声环境、生态环境影响较小，不会改变当地的环境功能。</w:t>
      </w:r>
      <w:bookmarkStart w:id="315" w:name="_Toc530059736"/>
    </w:p>
    <w:p>
      <w:pPr>
        <w:pStyle w:val="3"/>
        <w:rPr>
          <w:color w:val="000000" w:themeColor="text1"/>
          <w:kern w:val="0"/>
        </w:rPr>
      </w:pPr>
      <w:bookmarkStart w:id="316" w:name="_Toc47375918"/>
      <w:r>
        <w:rPr>
          <w:rFonts w:hint="eastAsia"/>
          <w:color w:val="000000" w:themeColor="text1"/>
          <w:kern w:val="0"/>
        </w:rPr>
        <w:t>8.6与“三线一单”符合性分析</w:t>
      </w:r>
      <w:bookmarkEnd w:id="316"/>
    </w:p>
    <w:p>
      <w:pPr>
        <w:ind w:firstLine="480"/>
        <w:rPr>
          <w:color w:val="000000" w:themeColor="text1"/>
        </w:rPr>
      </w:pPr>
      <w:r>
        <w:rPr>
          <w:rFonts w:hint="eastAsia"/>
          <w:color w:val="000000" w:themeColor="text1"/>
        </w:rPr>
        <w:t>（</w:t>
      </w:r>
      <w:r>
        <w:rPr>
          <w:color w:val="000000" w:themeColor="text1"/>
        </w:rPr>
        <w:t>1</w:t>
      </w:r>
      <w:r>
        <w:rPr>
          <w:rFonts w:hint="eastAsia"/>
          <w:color w:val="000000" w:themeColor="text1"/>
        </w:rPr>
        <w:t>）生态保护红线</w:t>
      </w:r>
    </w:p>
    <w:p>
      <w:pPr>
        <w:ind w:firstLine="480"/>
        <w:rPr>
          <w:rFonts w:ascii="方正仿宋_GBK" w:eastAsia="方正仿宋_GBK"/>
          <w:color w:val="000000" w:themeColor="text1"/>
        </w:rPr>
      </w:pPr>
      <w:r>
        <w:rPr>
          <w:rFonts w:hint="eastAsia"/>
          <w:color w:val="000000" w:themeColor="text1"/>
        </w:rPr>
        <w:t>根据《文山州人民政府关于发布文山州生态保护红线的通知》文政发〔</w:t>
      </w:r>
      <w:r>
        <w:rPr>
          <w:color w:val="000000" w:themeColor="text1"/>
        </w:rPr>
        <w:t>2018</w:t>
      </w:r>
      <w:r>
        <w:rPr>
          <w:rFonts w:hint="eastAsia"/>
          <w:color w:val="000000" w:themeColor="text1"/>
        </w:rPr>
        <w:t>〕</w:t>
      </w:r>
      <w:r>
        <w:rPr>
          <w:color w:val="000000" w:themeColor="text1"/>
        </w:rPr>
        <w:t>89</w:t>
      </w:r>
      <w:r>
        <w:rPr>
          <w:rFonts w:hint="eastAsia"/>
          <w:color w:val="000000" w:themeColor="text1"/>
        </w:rPr>
        <w:t>号，</w:t>
      </w:r>
      <w:r>
        <w:rPr>
          <w:rFonts w:hint="eastAsia" w:ascii="方正仿宋_GBK" w:eastAsia="方正仿宋_GBK"/>
          <w:color w:val="000000" w:themeColor="text1"/>
        </w:rPr>
        <w:t>文山州生态保护红线面积</w:t>
      </w:r>
      <w:r>
        <w:rPr>
          <w:color w:val="000000" w:themeColor="text1"/>
        </w:rPr>
        <w:t>8417.90</w:t>
      </w:r>
      <w:r>
        <w:rPr>
          <w:rFonts w:hint="eastAsia" w:ascii="方正仿宋_GBK" w:eastAsia="方正仿宋_GBK"/>
          <w:color w:val="000000" w:themeColor="text1"/>
        </w:rPr>
        <w:t>平方千米，占国土面积的</w:t>
      </w:r>
      <w:r>
        <w:rPr>
          <w:color w:val="000000" w:themeColor="text1"/>
        </w:rPr>
        <w:t>26.80%</w:t>
      </w:r>
      <w:r>
        <w:rPr>
          <w:rFonts w:hint="eastAsia"/>
          <w:color w:val="000000" w:themeColor="text1"/>
        </w:rPr>
        <w:t>，</w:t>
      </w:r>
      <w:r>
        <w:rPr>
          <w:rFonts w:hint="eastAsia" w:ascii="方正仿宋_GBK" w:eastAsia="方正仿宋_GBK"/>
          <w:color w:val="000000" w:themeColor="text1"/>
        </w:rPr>
        <w:t>包含生物多样性维护、水土保持两大红线类型</w:t>
      </w:r>
      <w:r>
        <w:rPr>
          <w:rFonts w:hint="eastAsia"/>
          <w:color w:val="000000" w:themeColor="text1"/>
        </w:rPr>
        <w:t>：</w:t>
      </w:r>
      <w:r>
        <w:rPr>
          <w:rFonts w:hint="eastAsia" w:ascii="方正楷体_GBK" w:eastAsia="方正楷体_GBK"/>
          <w:color w:val="000000" w:themeColor="text1"/>
        </w:rPr>
        <w:t>生物多样性维护生态保护红线</w:t>
      </w:r>
      <w:r>
        <w:rPr>
          <w:rFonts w:hint="eastAsia" w:ascii="方正仿宋_GBK" w:eastAsia="方正仿宋_GBK"/>
          <w:color w:val="000000" w:themeColor="text1"/>
        </w:rPr>
        <w:t>涉及文山市、西畴县、麻栗坡县、马关县、富宁县，占全州生态保护红线面积的</w:t>
      </w:r>
      <w:r>
        <w:rPr>
          <w:color w:val="000000" w:themeColor="text1"/>
        </w:rPr>
        <w:t>34.03%</w:t>
      </w:r>
      <w:r>
        <w:rPr>
          <w:rFonts w:hint="eastAsia" w:ascii="方正仿宋_GBK" w:eastAsia="方正仿宋_GBK"/>
          <w:color w:val="000000" w:themeColor="text1"/>
        </w:rPr>
        <w:t>；</w:t>
      </w:r>
      <w:r>
        <w:rPr>
          <w:rFonts w:hint="eastAsia" w:ascii="方正楷体_GBK" w:eastAsia="方正楷体_GBK"/>
          <w:color w:val="000000" w:themeColor="text1"/>
        </w:rPr>
        <w:t>水土保持生态保护红线</w:t>
      </w:r>
      <w:r>
        <w:rPr>
          <w:rFonts w:hint="eastAsia" w:ascii="方正仿宋_GBK" w:eastAsia="方正仿宋_GBK"/>
          <w:color w:val="000000" w:themeColor="text1"/>
        </w:rPr>
        <w:t>。涉及文山市、砚山县、麻栗坡县、丘北县、广南县，面积</w:t>
      </w:r>
      <w:r>
        <w:rPr>
          <w:color w:val="000000" w:themeColor="text1"/>
        </w:rPr>
        <w:t>5553.36</w:t>
      </w:r>
      <w:r>
        <w:rPr>
          <w:rFonts w:hint="eastAsia" w:ascii="方正仿宋_GBK" w:eastAsia="方正仿宋_GBK"/>
          <w:color w:val="000000" w:themeColor="text1"/>
        </w:rPr>
        <w:t>平方千米，占全州生态保护红线面积的</w:t>
      </w:r>
      <w:r>
        <w:rPr>
          <w:color w:val="000000" w:themeColor="text1"/>
        </w:rPr>
        <w:t>65.97%</w:t>
      </w:r>
      <w:r>
        <w:rPr>
          <w:rFonts w:hint="eastAsia" w:ascii="方正仿宋_GBK" w:eastAsia="方正仿宋_GBK"/>
          <w:color w:val="000000" w:themeColor="text1"/>
        </w:rPr>
        <w:t>。</w:t>
      </w:r>
    </w:p>
    <w:p>
      <w:pPr>
        <w:ind w:firstLine="480"/>
        <w:rPr>
          <w:color w:val="000000" w:themeColor="text1"/>
        </w:rPr>
      </w:pPr>
      <w:r>
        <w:rPr>
          <w:rFonts w:hint="eastAsia" w:ascii="方正仿宋_GBK" w:eastAsia="方正仿宋_GBK"/>
          <w:color w:val="000000" w:themeColor="text1"/>
        </w:rPr>
        <w:t>根据本项目生态保护红线数据查询表（详见附件）可知，</w:t>
      </w:r>
      <w:r>
        <w:rPr>
          <w:rFonts w:hint="eastAsia"/>
          <w:color w:val="000000" w:themeColor="text1"/>
        </w:rPr>
        <w:t>本项目不在生态红线范围内，符合</w:t>
      </w:r>
      <w:r>
        <w:rPr>
          <w:rFonts w:hint="eastAsia" w:ascii="方正仿宋_GBK" w:eastAsia="方正仿宋_GBK"/>
          <w:color w:val="000000" w:themeColor="text1"/>
        </w:rPr>
        <w:t>《文山州生态保护红线》的规</w:t>
      </w:r>
      <w:r>
        <w:rPr>
          <w:rFonts w:hint="eastAsia"/>
          <w:color w:val="000000" w:themeColor="text1"/>
        </w:rPr>
        <w:t>定和要求。</w:t>
      </w:r>
    </w:p>
    <w:p>
      <w:pPr>
        <w:ind w:firstLine="480"/>
        <w:rPr>
          <w:color w:val="000000" w:themeColor="text1"/>
        </w:rPr>
      </w:pPr>
      <w:r>
        <w:rPr>
          <w:rFonts w:hint="eastAsia"/>
          <w:color w:val="000000" w:themeColor="text1"/>
        </w:rPr>
        <w:t>（</w:t>
      </w:r>
      <w:r>
        <w:rPr>
          <w:color w:val="000000" w:themeColor="text1"/>
        </w:rPr>
        <w:t>2</w:t>
      </w:r>
      <w:r>
        <w:rPr>
          <w:rFonts w:hint="eastAsia"/>
          <w:color w:val="000000" w:themeColor="text1"/>
        </w:rPr>
        <w:t>）环境质量底线</w:t>
      </w:r>
    </w:p>
    <w:p>
      <w:pPr>
        <w:ind w:firstLine="480"/>
        <w:rPr>
          <w:color w:val="000000" w:themeColor="text1"/>
        </w:rPr>
      </w:pPr>
      <w:r>
        <w:rPr>
          <w:rFonts w:hint="eastAsia"/>
          <w:color w:val="000000" w:themeColor="text1"/>
        </w:rPr>
        <w:t>环境空气：根据《文山州2019年环境状况公报》数据以及</w:t>
      </w:r>
      <w:r>
        <w:rPr>
          <w:rFonts w:hint="eastAsia"/>
          <w:bCs/>
          <w:color w:val="000000" w:themeColor="text1"/>
          <w:kern w:val="0"/>
        </w:rPr>
        <w:t>云南环清环境检测技术有限公司于</w:t>
      </w:r>
      <w:r>
        <w:rPr>
          <w:bCs/>
          <w:color w:val="000000" w:themeColor="text1"/>
          <w:kern w:val="0"/>
        </w:rPr>
        <w:t>2020</w:t>
      </w:r>
      <w:r>
        <w:rPr>
          <w:rFonts w:hint="eastAsia"/>
          <w:bCs/>
          <w:color w:val="000000" w:themeColor="text1"/>
          <w:kern w:val="0"/>
        </w:rPr>
        <w:t>年5月9日</w:t>
      </w:r>
      <w:r>
        <w:rPr>
          <w:bCs/>
          <w:color w:val="000000" w:themeColor="text1"/>
          <w:kern w:val="0"/>
        </w:rPr>
        <w:t>~</w:t>
      </w:r>
      <w:r>
        <w:rPr>
          <w:rFonts w:hint="eastAsia"/>
          <w:bCs/>
          <w:color w:val="000000" w:themeColor="text1"/>
          <w:kern w:val="0"/>
        </w:rPr>
        <w:t>5月15日的补充监测数据可知</w:t>
      </w:r>
      <w:r>
        <w:rPr>
          <w:rFonts w:hint="eastAsia"/>
          <w:color w:val="000000" w:themeColor="text1"/>
        </w:rPr>
        <w:t>，区域二氧化硫、二氧化氮、可吸入颗粒物（</w:t>
      </w:r>
      <w:r>
        <w:rPr>
          <w:color w:val="000000" w:themeColor="text1"/>
        </w:rPr>
        <w:t>PM</w:t>
      </w:r>
      <w:r>
        <w:rPr>
          <w:color w:val="000000" w:themeColor="text1"/>
          <w:vertAlign w:val="subscript"/>
        </w:rPr>
        <w:t>10</w:t>
      </w:r>
      <w:r>
        <w:rPr>
          <w:rFonts w:hint="eastAsia"/>
          <w:color w:val="000000" w:themeColor="text1"/>
        </w:rPr>
        <w:t>）、细颗粒物（</w:t>
      </w:r>
      <w:r>
        <w:rPr>
          <w:color w:val="000000" w:themeColor="text1"/>
        </w:rPr>
        <w:t>PM</w:t>
      </w:r>
      <w:r>
        <w:rPr>
          <w:color w:val="000000" w:themeColor="text1"/>
          <w:vertAlign w:val="subscript"/>
        </w:rPr>
        <w:t>2.5</w:t>
      </w:r>
      <w:r>
        <w:rPr>
          <w:rFonts w:hint="eastAsia"/>
          <w:color w:val="000000" w:themeColor="text1"/>
        </w:rPr>
        <w:t>）、一氧化碳、臭氧均达到《环境空气质量标准》（</w:t>
      </w:r>
      <w:r>
        <w:rPr>
          <w:color w:val="000000" w:themeColor="text1"/>
        </w:rPr>
        <w:t>GB3095-2012</w:t>
      </w:r>
      <w:r>
        <w:rPr>
          <w:rFonts w:hint="eastAsia"/>
          <w:color w:val="000000" w:themeColor="text1"/>
        </w:rPr>
        <w:t>及</w:t>
      </w:r>
      <w:r>
        <w:rPr>
          <w:color w:val="000000" w:themeColor="text1"/>
        </w:rPr>
        <w:t>2018</w:t>
      </w:r>
      <w:r>
        <w:rPr>
          <w:rFonts w:hint="eastAsia"/>
          <w:color w:val="000000" w:themeColor="text1"/>
        </w:rPr>
        <w:t>修改单）二类区标准要求，</w:t>
      </w:r>
      <w:r>
        <w:rPr>
          <w:rFonts w:cs="Times New Roman"/>
          <w:color w:val="000000" w:themeColor="text1"/>
          <w:szCs w:val="24"/>
        </w:rPr>
        <w:t>NH</w:t>
      </w:r>
      <w:r>
        <w:rPr>
          <w:rFonts w:cs="Times New Roman"/>
          <w:color w:val="000000" w:themeColor="text1"/>
          <w:szCs w:val="24"/>
          <w:vertAlign w:val="subscript"/>
        </w:rPr>
        <w:t>3</w:t>
      </w:r>
      <w:r>
        <w:rPr>
          <w:rFonts w:hAnsi="宋体" w:cs="Times New Roman"/>
          <w:color w:val="000000" w:themeColor="text1"/>
          <w:szCs w:val="24"/>
        </w:rPr>
        <w:t>和</w:t>
      </w:r>
      <w:r>
        <w:rPr>
          <w:rFonts w:cs="Times New Roman"/>
          <w:color w:val="000000" w:themeColor="text1"/>
          <w:szCs w:val="24"/>
        </w:rPr>
        <w:t>H</w:t>
      </w:r>
      <w:r>
        <w:rPr>
          <w:rFonts w:cs="Times New Roman"/>
          <w:color w:val="000000" w:themeColor="text1"/>
          <w:szCs w:val="24"/>
          <w:vertAlign w:val="subscript"/>
        </w:rPr>
        <w:t>2</w:t>
      </w:r>
      <w:r>
        <w:rPr>
          <w:rFonts w:cs="Times New Roman"/>
          <w:color w:val="000000" w:themeColor="text1"/>
          <w:szCs w:val="24"/>
        </w:rPr>
        <w:t>S</w:t>
      </w:r>
      <w:r>
        <w:rPr>
          <w:rFonts w:hint="eastAsia" w:hAnsi="宋体" w:cs="Times New Roman"/>
          <w:color w:val="000000" w:themeColor="text1"/>
          <w:szCs w:val="24"/>
        </w:rPr>
        <w:t>可满足</w:t>
      </w:r>
      <w:r>
        <w:rPr>
          <w:rFonts w:hAnsi="宋体" w:cs="Times New Roman"/>
          <w:color w:val="000000" w:themeColor="text1"/>
          <w:szCs w:val="24"/>
        </w:rPr>
        <w:t>《环境影响评价技术导则</w:t>
      </w:r>
      <w:r>
        <w:rPr>
          <w:rFonts w:cs="Times New Roman"/>
          <w:color w:val="000000" w:themeColor="text1"/>
          <w:szCs w:val="24"/>
        </w:rPr>
        <w:t xml:space="preserve">  </w:t>
      </w:r>
      <w:r>
        <w:rPr>
          <w:rFonts w:hAnsi="宋体" w:cs="Times New Roman"/>
          <w:color w:val="000000" w:themeColor="text1"/>
          <w:szCs w:val="24"/>
        </w:rPr>
        <w:t>大气环境》（</w:t>
      </w:r>
      <w:r>
        <w:rPr>
          <w:rFonts w:cs="Times New Roman"/>
          <w:color w:val="000000" w:themeColor="text1"/>
          <w:szCs w:val="24"/>
        </w:rPr>
        <w:t>HJ2.2</w:t>
      </w:r>
      <w:r>
        <w:rPr>
          <w:rFonts w:hAnsi="宋体" w:cs="Times New Roman"/>
          <w:color w:val="000000" w:themeColor="text1"/>
          <w:szCs w:val="24"/>
        </w:rPr>
        <w:t>－</w:t>
      </w:r>
      <w:r>
        <w:rPr>
          <w:rFonts w:cs="Times New Roman"/>
          <w:color w:val="000000" w:themeColor="text1"/>
          <w:szCs w:val="24"/>
        </w:rPr>
        <w:t>2018</w:t>
      </w:r>
      <w:r>
        <w:rPr>
          <w:rFonts w:hAnsi="宋体" w:cs="Times New Roman"/>
          <w:color w:val="000000" w:themeColor="text1"/>
          <w:szCs w:val="24"/>
        </w:rPr>
        <w:t>）附录</w:t>
      </w:r>
      <w:r>
        <w:rPr>
          <w:rFonts w:cs="Times New Roman"/>
          <w:color w:val="000000" w:themeColor="text1"/>
          <w:szCs w:val="24"/>
        </w:rPr>
        <w:t>D</w:t>
      </w:r>
      <w:r>
        <w:rPr>
          <w:rFonts w:hAnsi="宋体" w:cs="Times New Roman"/>
          <w:color w:val="000000" w:themeColor="text1"/>
          <w:szCs w:val="24"/>
        </w:rPr>
        <w:t>表</w:t>
      </w:r>
      <w:r>
        <w:rPr>
          <w:rFonts w:cs="Times New Roman"/>
          <w:color w:val="000000" w:themeColor="text1"/>
          <w:szCs w:val="24"/>
        </w:rPr>
        <w:t>D.1</w:t>
      </w:r>
      <w:r>
        <w:rPr>
          <w:rFonts w:hAnsi="宋体" w:cs="Times New Roman"/>
          <w:color w:val="000000" w:themeColor="text1"/>
          <w:szCs w:val="24"/>
        </w:rPr>
        <w:t>标准</w:t>
      </w:r>
      <w:r>
        <w:rPr>
          <w:rFonts w:hint="eastAsia"/>
          <w:bCs/>
          <w:color w:val="000000" w:themeColor="text1"/>
          <w:kern w:val="0"/>
        </w:rPr>
        <w:t>，臭气浓度满足</w:t>
      </w:r>
      <w:r>
        <w:rPr>
          <w:rFonts w:hint="eastAsia"/>
          <w:color w:val="000000" w:themeColor="text1"/>
          <w:kern w:val="0"/>
          <w:szCs w:val="24"/>
        </w:rPr>
        <w:t>《恶臭污染物排放标准》表</w:t>
      </w:r>
      <w:r>
        <w:rPr>
          <w:color w:val="000000" w:themeColor="text1"/>
          <w:kern w:val="0"/>
          <w:szCs w:val="24"/>
        </w:rPr>
        <w:t>1</w:t>
      </w:r>
      <w:r>
        <w:rPr>
          <w:rFonts w:hint="eastAsia"/>
          <w:color w:val="000000" w:themeColor="text1"/>
          <w:kern w:val="0"/>
          <w:szCs w:val="24"/>
        </w:rPr>
        <w:t>中的二级标准限值</w:t>
      </w:r>
      <w:r>
        <w:rPr>
          <w:rFonts w:hint="eastAsia"/>
          <w:bCs/>
          <w:color w:val="000000" w:themeColor="text1"/>
          <w:kern w:val="0"/>
        </w:rPr>
        <w:t>。</w:t>
      </w:r>
      <w:r>
        <w:rPr>
          <w:rFonts w:hint="eastAsia"/>
          <w:color w:val="000000" w:themeColor="text1"/>
        </w:rPr>
        <w:t>项目所在评价区域为达标区。本项目废气最大落地浓度占标率为2.51%＜</w:t>
      </w:r>
      <w:r>
        <w:rPr>
          <w:color w:val="000000" w:themeColor="text1"/>
        </w:rPr>
        <w:t>10%</w:t>
      </w:r>
      <w:r>
        <w:rPr>
          <w:rFonts w:hint="eastAsia"/>
          <w:color w:val="000000" w:themeColor="text1"/>
        </w:rPr>
        <w:t>，对周边环境的影响较小，不会改变区域大气环境功能。</w:t>
      </w:r>
    </w:p>
    <w:p>
      <w:pPr>
        <w:ind w:firstLine="480"/>
        <w:rPr>
          <w:color w:val="000000" w:themeColor="text1"/>
        </w:rPr>
      </w:pPr>
      <w:r>
        <w:rPr>
          <w:rFonts w:hint="eastAsia"/>
          <w:color w:val="000000" w:themeColor="text1"/>
        </w:rPr>
        <w:t>地表水：引用监测资料表明，听湖水库水质除总磷、总氮二项指标无法满足</w:t>
      </w:r>
      <w:r>
        <w:rPr>
          <w:color w:val="000000" w:themeColor="text1"/>
        </w:rPr>
        <w:t>III</w:t>
      </w:r>
      <w:r>
        <w:rPr>
          <w:rFonts w:hint="eastAsia"/>
          <w:color w:val="000000" w:themeColor="text1"/>
        </w:rPr>
        <w:t>类标准外，其他指标均满足《地表水环境质量标准》（</w:t>
      </w:r>
      <w:r>
        <w:rPr>
          <w:color w:val="000000" w:themeColor="text1"/>
        </w:rPr>
        <w:t>GB3838-2002</w:t>
      </w:r>
      <w:r>
        <w:rPr>
          <w:rFonts w:hint="eastAsia"/>
          <w:color w:val="000000" w:themeColor="text1"/>
        </w:rPr>
        <w:t>）</w:t>
      </w:r>
      <w:r>
        <w:rPr>
          <w:color w:val="000000" w:themeColor="text1"/>
        </w:rPr>
        <w:t>III</w:t>
      </w:r>
      <w:r>
        <w:rPr>
          <w:rFonts w:hint="eastAsia"/>
          <w:color w:val="000000" w:themeColor="text1"/>
        </w:rPr>
        <w:t>类标准。听湖水库水质主要受到砚山县城区居民生活面源污染。总体分析，听湖水库地表水环境一般。本项目建成后，生产废水及生活污水利用自建污水处理站处理达标后排入砚山县城镇污水管网，不直接外排环境水体，度周边地表水体的环境质量影响较小。</w:t>
      </w:r>
    </w:p>
    <w:p>
      <w:pPr>
        <w:ind w:firstLine="480"/>
        <w:rPr>
          <w:color w:val="000000" w:themeColor="text1"/>
        </w:rPr>
      </w:pPr>
      <w:r>
        <w:rPr>
          <w:rFonts w:hint="eastAsia"/>
          <w:color w:val="000000" w:themeColor="text1"/>
        </w:rPr>
        <w:t>声环境：现状监测结果表明，项目所在区域声环境质量满足《声环境质量标准》（</w:t>
      </w:r>
      <w:r>
        <w:rPr>
          <w:color w:val="000000" w:themeColor="text1"/>
        </w:rPr>
        <w:t>GB3096-2008</w:t>
      </w:r>
      <w:r>
        <w:rPr>
          <w:rFonts w:hint="eastAsia"/>
          <w:color w:val="000000" w:themeColor="text1"/>
        </w:rPr>
        <w:t>）中的</w:t>
      </w:r>
      <w:r>
        <w:rPr>
          <w:color w:val="000000" w:themeColor="text1"/>
        </w:rPr>
        <w:t>2</w:t>
      </w:r>
      <w:r>
        <w:rPr>
          <w:rFonts w:hint="eastAsia"/>
          <w:color w:val="000000" w:themeColor="text1"/>
        </w:rPr>
        <w:t>类标准限值。本项目建成后噪声产生量小，通过预测对环境的贡献值较小，与本底值叠加后仍然满足《声环境质量标准》（</w:t>
      </w:r>
      <w:r>
        <w:rPr>
          <w:color w:val="000000" w:themeColor="text1"/>
        </w:rPr>
        <w:t>GB3096</w:t>
      </w:r>
      <w:r>
        <w:rPr>
          <w:rFonts w:hint="eastAsia"/>
          <w:color w:val="000000" w:themeColor="text1"/>
        </w:rPr>
        <w:t>－</w:t>
      </w:r>
      <w:r>
        <w:rPr>
          <w:color w:val="000000" w:themeColor="text1"/>
        </w:rPr>
        <w:t>2008</w:t>
      </w:r>
      <w:r>
        <w:rPr>
          <w:rFonts w:hint="eastAsia"/>
          <w:color w:val="000000" w:themeColor="text1"/>
        </w:rPr>
        <w:t>）中</w:t>
      </w:r>
      <w:r>
        <w:rPr>
          <w:color w:val="000000" w:themeColor="text1"/>
        </w:rPr>
        <w:t>2</w:t>
      </w:r>
      <w:r>
        <w:rPr>
          <w:rFonts w:hint="eastAsia"/>
          <w:color w:val="000000" w:themeColor="text1"/>
        </w:rPr>
        <w:t>类声环境功能区限值要求，因此项目实施不会改变项目所在区域的声环境功能。</w:t>
      </w:r>
    </w:p>
    <w:p>
      <w:pPr>
        <w:ind w:firstLine="480"/>
        <w:rPr>
          <w:color w:val="000000" w:themeColor="text1"/>
        </w:rPr>
      </w:pPr>
      <w:r>
        <w:rPr>
          <w:rFonts w:hint="eastAsia"/>
          <w:color w:val="000000" w:themeColor="text1"/>
        </w:rPr>
        <w:t>综上所述，项目所在区域环境质量良好，项目的建设对周边环境影响较小，不会触及区域环境质量底线。</w:t>
      </w:r>
    </w:p>
    <w:p>
      <w:pPr>
        <w:ind w:firstLine="480"/>
        <w:rPr>
          <w:color w:val="000000" w:themeColor="text1"/>
        </w:rPr>
      </w:pPr>
      <w:r>
        <w:rPr>
          <w:rFonts w:hint="eastAsia"/>
          <w:color w:val="000000" w:themeColor="text1"/>
        </w:rPr>
        <w:t>（</w:t>
      </w:r>
      <w:r>
        <w:rPr>
          <w:color w:val="000000" w:themeColor="text1"/>
        </w:rPr>
        <w:t>3</w:t>
      </w:r>
      <w:r>
        <w:rPr>
          <w:rFonts w:hint="eastAsia"/>
          <w:color w:val="000000" w:themeColor="text1"/>
        </w:rPr>
        <w:t>）资源利用上线</w:t>
      </w:r>
    </w:p>
    <w:p>
      <w:pPr>
        <w:ind w:firstLine="480"/>
        <w:rPr>
          <w:color w:val="000000" w:themeColor="text1"/>
        </w:rPr>
      </w:pPr>
      <w:r>
        <w:rPr>
          <w:rFonts w:hint="eastAsia"/>
          <w:color w:val="000000" w:themeColor="text1"/>
        </w:rPr>
        <w:t>本项目原辅材料及能源消耗主要为生活、生产用水、生物质燃料，供水来自于市政管网，供热主要采用太阳能，只在天气恶劣或冬季时采用生物质燃料，用量较小；本项目污水处理站处理达标后的水，一部分作为绿化用水使用，实现资源重复利用，不触及资源利用上线。</w:t>
      </w:r>
    </w:p>
    <w:p>
      <w:pPr>
        <w:ind w:firstLine="480"/>
        <w:rPr>
          <w:color w:val="000000" w:themeColor="text1"/>
        </w:rPr>
      </w:pPr>
      <w:r>
        <w:rPr>
          <w:rFonts w:hint="eastAsia"/>
          <w:color w:val="000000" w:themeColor="text1"/>
        </w:rPr>
        <w:t>（</w:t>
      </w:r>
      <w:r>
        <w:rPr>
          <w:color w:val="000000" w:themeColor="text1"/>
        </w:rPr>
        <w:t>4</w:t>
      </w:r>
      <w:r>
        <w:rPr>
          <w:rFonts w:hint="eastAsia"/>
          <w:color w:val="000000" w:themeColor="text1"/>
        </w:rPr>
        <w:t>）环境准入负面清单</w:t>
      </w:r>
    </w:p>
    <w:p>
      <w:pPr>
        <w:ind w:firstLine="480"/>
        <w:rPr>
          <w:color w:val="000000" w:themeColor="text1"/>
        </w:rPr>
      </w:pPr>
      <w:r>
        <w:rPr>
          <w:rFonts w:hint="eastAsia"/>
          <w:bCs/>
          <w:color w:val="000000" w:themeColor="text1"/>
        </w:rPr>
        <w:t>根据《关于印发云南省第一批国家重点生态功能区产业准入负面清单的通知</w:t>
      </w:r>
      <w:r>
        <w:rPr>
          <w:rFonts w:hint="eastAsia"/>
          <w:color w:val="000000" w:themeColor="text1"/>
        </w:rPr>
        <w:t>》（云发改规划﹝</w:t>
      </w:r>
      <w:r>
        <w:rPr>
          <w:color w:val="000000" w:themeColor="text1"/>
        </w:rPr>
        <w:t>2018</w:t>
      </w:r>
      <w:r>
        <w:rPr>
          <w:rFonts w:hint="eastAsia"/>
          <w:color w:val="000000" w:themeColor="text1"/>
        </w:rPr>
        <w:t>﹞</w:t>
      </w:r>
      <w:r>
        <w:rPr>
          <w:color w:val="000000" w:themeColor="text1"/>
        </w:rPr>
        <w:t>271</w:t>
      </w:r>
      <w:r>
        <w:rPr>
          <w:rFonts w:hint="eastAsia"/>
          <w:color w:val="000000" w:themeColor="text1"/>
        </w:rPr>
        <w:t>号）文件，本项目为屠宰类项目，为允许类项目，因此本项目行业不属于当地环境准入负面清单行业内容。</w:t>
      </w:r>
    </w:p>
    <w:p>
      <w:pPr>
        <w:ind w:firstLine="480"/>
        <w:rPr>
          <w:color w:val="000000" w:themeColor="text1"/>
          <w:sz w:val="32"/>
        </w:rPr>
      </w:pPr>
      <w:r>
        <w:rPr>
          <w:rFonts w:hint="eastAsia"/>
          <w:color w:val="000000" w:themeColor="text1"/>
        </w:rPr>
        <w:t>综上，本项目符合三线一单相关规划。</w:t>
      </w:r>
      <w:r>
        <w:rPr>
          <w:color w:val="000000" w:themeColor="text1"/>
        </w:rPr>
        <w:br w:type="page"/>
      </w:r>
    </w:p>
    <w:p>
      <w:pPr>
        <w:pStyle w:val="2"/>
        <w:spacing w:before="249" w:after="249"/>
        <w:rPr>
          <w:color w:val="000000" w:themeColor="text1"/>
        </w:rPr>
      </w:pPr>
      <w:bookmarkStart w:id="317" w:name="_Toc47375919"/>
      <w:r>
        <w:rPr>
          <w:rFonts w:hint="eastAsia"/>
          <w:color w:val="000000" w:themeColor="text1"/>
        </w:rPr>
        <w:t>9.环境经济损益分析</w:t>
      </w:r>
      <w:bookmarkEnd w:id="315"/>
      <w:bookmarkEnd w:id="317"/>
    </w:p>
    <w:p>
      <w:pPr>
        <w:pStyle w:val="3"/>
        <w:rPr>
          <w:color w:val="000000" w:themeColor="text1"/>
        </w:rPr>
      </w:pPr>
      <w:bookmarkStart w:id="318" w:name="_Toc387938446"/>
      <w:bookmarkStart w:id="319" w:name="_Toc388604147"/>
      <w:bookmarkStart w:id="320" w:name="_Toc47375920"/>
      <w:bookmarkStart w:id="321" w:name="_Toc530059737"/>
      <w:r>
        <w:rPr>
          <w:color w:val="000000" w:themeColor="text1"/>
        </w:rPr>
        <w:t>9.1</w:t>
      </w:r>
      <w:r>
        <w:rPr>
          <w:rFonts w:hint="eastAsia"/>
          <w:color w:val="000000" w:themeColor="text1"/>
        </w:rPr>
        <w:t>环境效益分析</w:t>
      </w:r>
      <w:bookmarkEnd w:id="318"/>
      <w:bookmarkEnd w:id="319"/>
      <w:bookmarkEnd w:id="320"/>
      <w:bookmarkEnd w:id="321"/>
    </w:p>
    <w:p>
      <w:pPr>
        <w:pStyle w:val="38"/>
        <w:ind w:firstLine="281"/>
        <w:rPr>
          <w:color w:val="000000" w:themeColor="text1"/>
        </w:rPr>
      </w:pPr>
      <w:bookmarkStart w:id="322" w:name="_Toc530059738"/>
      <w:bookmarkStart w:id="323" w:name="_Toc387938447"/>
      <w:bookmarkStart w:id="324" w:name="_Toc47375921"/>
      <w:bookmarkStart w:id="325" w:name="_Toc388604148"/>
      <w:r>
        <w:rPr>
          <w:color w:val="000000" w:themeColor="text1"/>
        </w:rPr>
        <w:t>9.1.1</w:t>
      </w:r>
      <w:r>
        <w:rPr>
          <w:rFonts w:hint="eastAsia"/>
          <w:color w:val="000000" w:themeColor="text1"/>
        </w:rPr>
        <w:t>环保投资</w:t>
      </w:r>
      <w:bookmarkEnd w:id="322"/>
      <w:bookmarkEnd w:id="323"/>
      <w:bookmarkEnd w:id="324"/>
      <w:bookmarkEnd w:id="325"/>
    </w:p>
    <w:p>
      <w:pPr>
        <w:ind w:firstLine="480"/>
        <w:rPr>
          <w:color w:val="000000" w:themeColor="text1"/>
        </w:rPr>
      </w:pPr>
      <w:bookmarkStart w:id="326" w:name="_Toc387938448"/>
      <w:bookmarkStart w:id="327" w:name="_Toc388604149"/>
      <w:r>
        <w:rPr>
          <w:rFonts w:hint="eastAsia"/>
          <w:color w:val="000000" w:themeColor="text1"/>
        </w:rPr>
        <w:t>项目总投资2000万元，其中，项目环保建设投资243.5万元，占工程总投资的12.2</w:t>
      </w:r>
      <w:r>
        <w:rPr>
          <w:color w:val="000000" w:themeColor="text1"/>
        </w:rPr>
        <w:t>%</w:t>
      </w:r>
      <w:r>
        <w:rPr>
          <w:rFonts w:hint="eastAsia"/>
          <w:color w:val="000000" w:themeColor="text1"/>
        </w:rPr>
        <w:t>，详见表</w:t>
      </w:r>
      <w:r>
        <w:rPr>
          <w:color w:val="000000" w:themeColor="text1"/>
        </w:rPr>
        <w:t>9.</w:t>
      </w:r>
      <w:r>
        <w:rPr>
          <w:rFonts w:hint="eastAsia"/>
          <w:color w:val="000000" w:themeColor="text1"/>
        </w:rPr>
        <w:t>1.</w:t>
      </w:r>
      <w:r>
        <w:rPr>
          <w:color w:val="000000" w:themeColor="text1"/>
        </w:rPr>
        <w:t>1-1</w:t>
      </w:r>
      <w:r>
        <w:rPr>
          <w:rFonts w:hint="eastAsia"/>
          <w:color w:val="000000" w:themeColor="text1"/>
        </w:rPr>
        <w:t>。</w:t>
      </w:r>
    </w:p>
    <w:p>
      <w:pPr>
        <w:pStyle w:val="54"/>
        <w:rPr>
          <w:color w:val="000000" w:themeColor="text1"/>
          <w:szCs w:val="24"/>
        </w:rPr>
      </w:pPr>
      <w:r>
        <w:rPr>
          <w:rFonts w:hint="eastAsia"/>
          <w:color w:val="000000" w:themeColor="text1"/>
        </w:rPr>
        <w:t>表</w:t>
      </w:r>
      <w:r>
        <w:rPr>
          <w:color w:val="000000" w:themeColor="text1"/>
        </w:rPr>
        <w:t>9.</w:t>
      </w:r>
      <w:r>
        <w:rPr>
          <w:rFonts w:hint="eastAsia"/>
          <w:color w:val="000000" w:themeColor="text1"/>
        </w:rPr>
        <w:t>1.</w:t>
      </w:r>
      <w:r>
        <w:rPr>
          <w:color w:val="000000" w:themeColor="text1"/>
        </w:rPr>
        <w:t xml:space="preserve">1-1   </w:t>
      </w:r>
      <w:r>
        <w:rPr>
          <w:rFonts w:hint="eastAsia"/>
          <w:color w:val="000000" w:themeColor="text1"/>
        </w:rPr>
        <w:t>本项目环保投资一览表</w:t>
      </w:r>
    </w:p>
    <w:tbl>
      <w:tblPr>
        <w:tblStyle w:val="42"/>
        <w:tblW w:w="9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716"/>
        <w:gridCol w:w="4238"/>
        <w:gridCol w:w="1085"/>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时段</w:t>
            </w:r>
          </w:p>
        </w:tc>
        <w:tc>
          <w:tcPr>
            <w:tcW w:w="17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项目</w:t>
            </w:r>
          </w:p>
        </w:tc>
        <w:tc>
          <w:tcPr>
            <w:tcW w:w="423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环保设施和措施，数量</w:t>
            </w:r>
          </w:p>
        </w:tc>
        <w:tc>
          <w:tcPr>
            <w:tcW w:w="108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投资</w:t>
            </w:r>
            <w:r>
              <w:rPr>
                <w:color w:val="000000" w:themeColor="text1"/>
              </w:rPr>
              <w:t>(</w:t>
            </w:r>
            <w:r>
              <w:rPr>
                <w:rFonts w:hint="eastAsia"/>
                <w:color w:val="000000" w:themeColor="text1"/>
              </w:rPr>
              <w:t>万元</w:t>
            </w:r>
            <w:r>
              <w:rPr>
                <w:color w:val="000000" w:themeColor="text1"/>
              </w:rPr>
              <w:t>)</w:t>
            </w:r>
          </w:p>
        </w:tc>
        <w:tc>
          <w:tcPr>
            <w:tcW w:w="151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8" w:type="dxa"/>
            <w:vMerge w:val="restart"/>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hint="eastAsia"/>
                <w:color w:val="000000" w:themeColor="text1"/>
              </w:rPr>
              <w:t>施</w:t>
            </w:r>
          </w:p>
          <w:p>
            <w:pPr>
              <w:pStyle w:val="55"/>
              <w:rPr>
                <w:color w:val="000000" w:themeColor="text1"/>
              </w:rPr>
            </w:pPr>
            <w:r>
              <w:rPr>
                <w:rFonts w:hint="eastAsia"/>
                <w:color w:val="000000" w:themeColor="text1"/>
              </w:rPr>
              <w:t>工</w:t>
            </w:r>
          </w:p>
          <w:p>
            <w:pPr>
              <w:pStyle w:val="55"/>
              <w:rPr>
                <w:color w:val="000000" w:themeColor="text1"/>
              </w:rPr>
            </w:pPr>
            <w:r>
              <w:rPr>
                <w:rFonts w:hint="eastAsia"/>
                <w:color w:val="000000" w:themeColor="text1"/>
              </w:rPr>
              <w:t>期</w:t>
            </w:r>
          </w:p>
        </w:tc>
        <w:tc>
          <w:tcPr>
            <w:tcW w:w="1716"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废气处理措施</w:t>
            </w:r>
          </w:p>
        </w:tc>
        <w:tc>
          <w:tcPr>
            <w:tcW w:w="423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降尘洒水、建筑材料加盖篷布</w:t>
            </w:r>
          </w:p>
        </w:tc>
        <w:tc>
          <w:tcPr>
            <w:tcW w:w="1085"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snapToGrid w:val="0"/>
                <w:color w:val="000000" w:themeColor="text1"/>
                <w:kern w:val="0"/>
              </w:rPr>
              <w:t>1.0</w:t>
            </w:r>
          </w:p>
        </w:tc>
        <w:tc>
          <w:tcPr>
            <w:tcW w:w="1510" w:type="dxa"/>
            <w:vMerge w:val="restart"/>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71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423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进出场地入口硬化、出场车辆轮胎冲洗设备</w:t>
            </w:r>
          </w:p>
        </w:tc>
        <w:tc>
          <w:tcPr>
            <w:tcW w:w="1085"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snapToGrid w:val="0"/>
                <w:color w:val="000000" w:themeColor="text1"/>
                <w:kern w:val="0"/>
              </w:rPr>
              <w:t>1.0</w:t>
            </w:r>
          </w:p>
        </w:tc>
        <w:tc>
          <w:tcPr>
            <w:tcW w:w="1510" w:type="dxa"/>
            <w:vMerge w:val="continue"/>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716"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废水处理措施</w:t>
            </w:r>
          </w:p>
        </w:tc>
        <w:tc>
          <w:tcPr>
            <w:tcW w:w="423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简易施工废水收集沉清池</w:t>
            </w:r>
            <w:r>
              <w:rPr>
                <w:color w:val="000000" w:themeColor="text1"/>
              </w:rPr>
              <w:t>1</w:t>
            </w:r>
            <w:r>
              <w:rPr>
                <w:rFonts w:hint="eastAsia"/>
                <w:color w:val="000000" w:themeColor="text1"/>
              </w:rPr>
              <w:t>个</w:t>
            </w:r>
          </w:p>
        </w:tc>
        <w:tc>
          <w:tcPr>
            <w:tcW w:w="1085"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snapToGrid w:val="0"/>
                <w:color w:val="000000" w:themeColor="text1"/>
                <w:kern w:val="0"/>
              </w:rPr>
              <w:t>0.3</w:t>
            </w:r>
          </w:p>
        </w:tc>
        <w:tc>
          <w:tcPr>
            <w:tcW w:w="1510" w:type="dxa"/>
            <w:vMerge w:val="continue"/>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71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423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临时旱厕</w:t>
            </w:r>
            <w:r>
              <w:rPr>
                <w:color w:val="000000" w:themeColor="text1"/>
              </w:rPr>
              <w:t>1</w:t>
            </w:r>
            <w:r>
              <w:rPr>
                <w:rFonts w:hint="eastAsia"/>
                <w:color w:val="000000" w:themeColor="text1"/>
              </w:rPr>
              <w:t>座</w:t>
            </w:r>
          </w:p>
        </w:tc>
        <w:tc>
          <w:tcPr>
            <w:tcW w:w="1085"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snapToGrid w:val="0"/>
                <w:color w:val="000000" w:themeColor="text1"/>
                <w:kern w:val="0"/>
              </w:rPr>
              <w:t>0.2</w:t>
            </w:r>
          </w:p>
        </w:tc>
        <w:tc>
          <w:tcPr>
            <w:tcW w:w="1510" w:type="dxa"/>
            <w:vMerge w:val="continue"/>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7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噪声防治措施</w:t>
            </w:r>
          </w:p>
        </w:tc>
        <w:tc>
          <w:tcPr>
            <w:tcW w:w="423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临时隔声屏障、减振垫等</w:t>
            </w:r>
          </w:p>
        </w:tc>
        <w:tc>
          <w:tcPr>
            <w:tcW w:w="1085"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snapToGrid w:val="0"/>
                <w:color w:val="000000" w:themeColor="text1"/>
                <w:kern w:val="0"/>
              </w:rPr>
              <w:t>0.5</w:t>
            </w:r>
          </w:p>
        </w:tc>
        <w:tc>
          <w:tcPr>
            <w:tcW w:w="1510" w:type="dxa"/>
            <w:vMerge w:val="continue"/>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7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固废处置措施</w:t>
            </w:r>
          </w:p>
        </w:tc>
        <w:tc>
          <w:tcPr>
            <w:tcW w:w="423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临时垃圾收集设施</w:t>
            </w:r>
          </w:p>
        </w:tc>
        <w:tc>
          <w:tcPr>
            <w:tcW w:w="1085"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snapToGrid w:val="0"/>
                <w:color w:val="000000" w:themeColor="text1"/>
                <w:kern w:val="0"/>
              </w:rPr>
              <w:t>0.8</w:t>
            </w:r>
          </w:p>
        </w:tc>
        <w:tc>
          <w:tcPr>
            <w:tcW w:w="1510" w:type="dxa"/>
            <w:vMerge w:val="continue"/>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7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水土流失防治措施</w:t>
            </w:r>
          </w:p>
        </w:tc>
        <w:tc>
          <w:tcPr>
            <w:tcW w:w="423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Style w:val="47"/>
                <w:rFonts w:hint="eastAsia"/>
                <w:color w:val="000000" w:themeColor="text1"/>
              </w:rPr>
              <w:t>覆盖篷布、修建导排水沟等</w:t>
            </w:r>
          </w:p>
        </w:tc>
        <w:tc>
          <w:tcPr>
            <w:tcW w:w="1085"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snapToGrid w:val="0"/>
                <w:color w:val="000000" w:themeColor="text1"/>
                <w:kern w:val="0"/>
              </w:rPr>
              <w:t>0.5</w:t>
            </w:r>
          </w:p>
        </w:tc>
        <w:tc>
          <w:tcPr>
            <w:tcW w:w="1510" w:type="dxa"/>
            <w:vMerge w:val="continue"/>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8" w:type="dxa"/>
            <w:vMerge w:val="restart"/>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hint="eastAsia"/>
                <w:color w:val="000000" w:themeColor="text1"/>
              </w:rPr>
              <w:t>运</w:t>
            </w:r>
          </w:p>
          <w:p>
            <w:pPr>
              <w:pStyle w:val="55"/>
              <w:rPr>
                <w:color w:val="000000" w:themeColor="text1"/>
              </w:rPr>
            </w:pPr>
            <w:r>
              <w:rPr>
                <w:rFonts w:hint="eastAsia"/>
                <w:color w:val="000000" w:themeColor="text1"/>
              </w:rPr>
              <w:t>营</w:t>
            </w:r>
          </w:p>
          <w:p>
            <w:pPr>
              <w:pStyle w:val="55"/>
              <w:rPr>
                <w:color w:val="000000" w:themeColor="text1"/>
              </w:rPr>
            </w:pPr>
            <w:r>
              <w:rPr>
                <w:rFonts w:hint="eastAsia"/>
                <w:color w:val="000000" w:themeColor="text1"/>
              </w:rPr>
              <w:t>期</w:t>
            </w:r>
          </w:p>
        </w:tc>
        <w:tc>
          <w:tcPr>
            <w:tcW w:w="1716"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废气处理措施</w:t>
            </w:r>
          </w:p>
        </w:tc>
        <w:tc>
          <w:tcPr>
            <w:tcW w:w="4238"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待宰车间和屠宰车间分别安装通风换气设备</w:t>
            </w:r>
          </w:p>
        </w:tc>
        <w:tc>
          <w:tcPr>
            <w:tcW w:w="1085"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snapToGrid w:val="0"/>
                <w:color w:val="000000" w:themeColor="text1"/>
                <w:kern w:val="0"/>
              </w:rPr>
              <w:t>5.0</w:t>
            </w:r>
          </w:p>
        </w:tc>
        <w:tc>
          <w:tcPr>
            <w:tcW w:w="1510"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716" w:type="dxa"/>
            <w:vMerge w:val="continue"/>
            <w:tcBorders>
              <w:left w:val="single" w:color="auto" w:sz="4" w:space="0"/>
              <w:right w:val="single" w:color="auto" w:sz="4" w:space="0"/>
            </w:tcBorders>
            <w:vAlign w:val="center"/>
          </w:tcPr>
          <w:p>
            <w:pPr>
              <w:pStyle w:val="55"/>
              <w:rPr>
                <w:color w:val="000000" w:themeColor="text1"/>
              </w:rPr>
            </w:pPr>
          </w:p>
        </w:tc>
        <w:tc>
          <w:tcPr>
            <w:tcW w:w="4238"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锅炉需配备</w:t>
            </w:r>
            <w:r>
              <w:rPr>
                <w:rFonts w:hint="eastAsia"/>
                <w:bCs/>
                <w:snapToGrid w:val="0"/>
                <w:color w:val="000000" w:themeColor="text1"/>
                <w:kern w:val="0"/>
              </w:rPr>
              <w:t>水膜除尘系统</w:t>
            </w:r>
            <w:r>
              <w:rPr>
                <w:rFonts w:hint="eastAsia"/>
                <w:snapToGrid w:val="0"/>
                <w:color w:val="000000" w:themeColor="text1"/>
                <w:kern w:val="0"/>
              </w:rPr>
              <w:t>、除尘循环池、引风机，配备</w:t>
            </w:r>
            <w:r>
              <w:rPr>
                <w:snapToGrid w:val="0"/>
                <w:color w:val="000000" w:themeColor="text1"/>
                <w:kern w:val="0"/>
              </w:rPr>
              <w:t>15m</w:t>
            </w:r>
            <w:r>
              <w:rPr>
                <w:rFonts w:hint="eastAsia"/>
                <w:snapToGrid w:val="0"/>
                <w:color w:val="000000" w:themeColor="text1"/>
                <w:kern w:val="0"/>
              </w:rPr>
              <w:t>高排气筒</w:t>
            </w:r>
          </w:p>
        </w:tc>
        <w:tc>
          <w:tcPr>
            <w:tcW w:w="1085"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8</w:t>
            </w:r>
            <w:r>
              <w:rPr>
                <w:snapToGrid w:val="0"/>
                <w:color w:val="000000" w:themeColor="text1"/>
                <w:kern w:val="0"/>
              </w:rPr>
              <w:t>.0</w:t>
            </w:r>
          </w:p>
        </w:tc>
        <w:tc>
          <w:tcPr>
            <w:tcW w:w="1510"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716" w:type="dxa"/>
            <w:vMerge w:val="continue"/>
            <w:tcBorders>
              <w:left w:val="single" w:color="auto" w:sz="4" w:space="0"/>
              <w:right w:val="single" w:color="auto" w:sz="4" w:space="0"/>
            </w:tcBorders>
            <w:vAlign w:val="center"/>
          </w:tcPr>
          <w:p>
            <w:pPr>
              <w:pStyle w:val="55"/>
              <w:rPr>
                <w:color w:val="000000" w:themeColor="text1"/>
              </w:rPr>
            </w:pPr>
          </w:p>
        </w:tc>
        <w:tc>
          <w:tcPr>
            <w:tcW w:w="4238"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焚烧炉需配备</w:t>
            </w:r>
            <w:r>
              <w:rPr>
                <w:rFonts w:hint="eastAsia"/>
                <w:bCs/>
                <w:snapToGrid w:val="0"/>
                <w:color w:val="000000" w:themeColor="text1"/>
                <w:kern w:val="0"/>
              </w:rPr>
              <w:t>布袋除尘器</w:t>
            </w:r>
            <w:r>
              <w:rPr>
                <w:rFonts w:hint="eastAsia"/>
                <w:snapToGrid w:val="0"/>
                <w:color w:val="000000" w:themeColor="text1"/>
                <w:kern w:val="0"/>
              </w:rPr>
              <w:t>、引风机，配备25</w:t>
            </w:r>
            <w:r>
              <w:rPr>
                <w:snapToGrid w:val="0"/>
                <w:color w:val="000000" w:themeColor="text1"/>
                <w:kern w:val="0"/>
              </w:rPr>
              <w:t>m</w:t>
            </w:r>
            <w:r>
              <w:rPr>
                <w:rFonts w:hint="eastAsia"/>
                <w:snapToGrid w:val="0"/>
                <w:color w:val="000000" w:themeColor="text1"/>
                <w:kern w:val="0"/>
              </w:rPr>
              <w:t>高排气筒</w:t>
            </w:r>
          </w:p>
        </w:tc>
        <w:tc>
          <w:tcPr>
            <w:tcW w:w="1085"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snapToGrid w:val="0"/>
                <w:color w:val="000000" w:themeColor="text1"/>
                <w:kern w:val="0"/>
              </w:rPr>
              <w:t>1</w:t>
            </w:r>
            <w:r>
              <w:rPr>
                <w:rFonts w:hint="eastAsia"/>
                <w:snapToGrid w:val="0"/>
                <w:color w:val="000000" w:themeColor="text1"/>
                <w:kern w:val="0"/>
              </w:rPr>
              <w:t>0</w:t>
            </w:r>
            <w:r>
              <w:rPr>
                <w:snapToGrid w:val="0"/>
                <w:color w:val="000000" w:themeColor="text1"/>
                <w:kern w:val="0"/>
              </w:rPr>
              <w:t>.0</w:t>
            </w:r>
          </w:p>
        </w:tc>
        <w:tc>
          <w:tcPr>
            <w:tcW w:w="1510"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716"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4238"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生物除臭剂</w:t>
            </w:r>
          </w:p>
        </w:tc>
        <w:tc>
          <w:tcPr>
            <w:tcW w:w="1085"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10</w:t>
            </w:r>
          </w:p>
        </w:tc>
        <w:tc>
          <w:tcPr>
            <w:tcW w:w="1510"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716" w:type="dxa"/>
            <w:vMerge w:val="restart"/>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color w:val="000000" w:themeColor="text1"/>
              </w:rPr>
              <w:t>废水处理措施</w:t>
            </w:r>
          </w:p>
        </w:tc>
        <w:tc>
          <w:tcPr>
            <w:tcW w:w="4238"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雨污管网建设</w:t>
            </w:r>
          </w:p>
        </w:tc>
        <w:tc>
          <w:tcPr>
            <w:tcW w:w="1085"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8</w:t>
            </w:r>
          </w:p>
        </w:tc>
        <w:tc>
          <w:tcPr>
            <w:tcW w:w="1510" w:type="dxa"/>
            <w:vMerge w:val="restart"/>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设计已有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716" w:type="dxa"/>
            <w:vMerge w:val="continue"/>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p>
        </w:tc>
        <w:tc>
          <w:tcPr>
            <w:tcW w:w="4238"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污水处理站（</w:t>
            </w:r>
            <w:r>
              <w:rPr>
                <w:rFonts w:hint="eastAsia" w:cs="Times New Roman"/>
                <w:color w:val="000000" w:themeColor="text1"/>
              </w:rPr>
              <w:t>处理规模为300m</w:t>
            </w:r>
            <w:r>
              <w:rPr>
                <w:rFonts w:hint="eastAsia" w:cs="Times New Roman"/>
                <w:color w:val="000000" w:themeColor="text1"/>
                <w:vertAlign w:val="superscript"/>
              </w:rPr>
              <w:t>3</w:t>
            </w:r>
            <w:r>
              <w:rPr>
                <w:rFonts w:hint="eastAsia" w:cs="Times New Roman"/>
                <w:color w:val="000000" w:themeColor="text1"/>
              </w:rPr>
              <w:t>/d，处理工艺采用“隔油沉砂+调节+气浮+厌氧+接触氧化+沉淀消毒”方式</w:t>
            </w:r>
            <w:r>
              <w:rPr>
                <w:rFonts w:hint="eastAsia"/>
                <w:snapToGrid w:val="0"/>
                <w:color w:val="000000" w:themeColor="text1"/>
                <w:kern w:val="0"/>
              </w:rPr>
              <w:t>）</w:t>
            </w:r>
          </w:p>
        </w:tc>
        <w:tc>
          <w:tcPr>
            <w:tcW w:w="1085"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150</w:t>
            </w:r>
          </w:p>
        </w:tc>
        <w:tc>
          <w:tcPr>
            <w:tcW w:w="1510" w:type="dxa"/>
            <w:vMerge w:val="continue"/>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716" w:type="dxa"/>
            <w:vMerge w:val="continue"/>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p>
        </w:tc>
        <w:tc>
          <w:tcPr>
            <w:tcW w:w="423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化粪池</w:t>
            </w:r>
            <w:r>
              <w:rPr>
                <w:color w:val="000000" w:themeColor="text1"/>
                <w:kern w:val="0"/>
              </w:rPr>
              <w:t>1</w:t>
            </w:r>
            <w:r>
              <w:rPr>
                <w:rFonts w:hint="eastAsia"/>
                <w:color w:val="000000" w:themeColor="text1"/>
                <w:kern w:val="0"/>
              </w:rPr>
              <w:t>个（</w:t>
            </w:r>
            <w:r>
              <w:rPr>
                <w:rFonts w:hint="eastAsia" w:cs="Times New Roman"/>
                <w:color w:val="000000" w:themeColor="text1"/>
                <w:kern w:val="0"/>
              </w:rPr>
              <w:t>3</w:t>
            </w:r>
            <w:r>
              <w:rPr>
                <w:rFonts w:cs="Times New Roman"/>
                <w:color w:val="000000" w:themeColor="text1"/>
                <w:kern w:val="0"/>
              </w:rPr>
              <w:t>m³</w:t>
            </w:r>
            <w:r>
              <w:rPr>
                <w:rFonts w:hint="eastAsia"/>
                <w:color w:val="000000" w:themeColor="text1"/>
                <w:kern w:val="0"/>
              </w:rPr>
              <w:t>）</w:t>
            </w:r>
          </w:p>
        </w:tc>
        <w:tc>
          <w:tcPr>
            <w:tcW w:w="1085"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2.0</w:t>
            </w:r>
          </w:p>
        </w:tc>
        <w:tc>
          <w:tcPr>
            <w:tcW w:w="1510" w:type="dxa"/>
            <w:vMerge w:val="continue"/>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7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噪声防治措施</w:t>
            </w:r>
          </w:p>
        </w:tc>
        <w:tc>
          <w:tcPr>
            <w:tcW w:w="4238"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高噪声设备添加减振垫</w:t>
            </w:r>
          </w:p>
        </w:tc>
        <w:tc>
          <w:tcPr>
            <w:tcW w:w="1085"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snapToGrid w:val="0"/>
                <w:color w:val="000000" w:themeColor="text1"/>
                <w:kern w:val="0"/>
              </w:rPr>
              <w:t>2.0</w:t>
            </w:r>
          </w:p>
        </w:tc>
        <w:tc>
          <w:tcPr>
            <w:tcW w:w="1510"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716"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固废处置措施</w:t>
            </w:r>
          </w:p>
        </w:tc>
        <w:tc>
          <w:tcPr>
            <w:tcW w:w="4238"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生活垃圾桶</w:t>
            </w:r>
            <w:r>
              <w:rPr>
                <w:snapToGrid w:val="0"/>
                <w:color w:val="000000" w:themeColor="text1"/>
                <w:kern w:val="0"/>
              </w:rPr>
              <w:t>5</w:t>
            </w:r>
            <w:r>
              <w:rPr>
                <w:rFonts w:hint="eastAsia"/>
                <w:snapToGrid w:val="0"/>
                <w:color w:val="000000" w:themeColor="text1"/>
                <w:kern w:val="0"/>
              </w:rPr>
              <w:t>个，生活垃圾收集箱</w:t>
            </w:r>
            <w:r>
              <w:rPr>
                <w:snapToGrid w:val="0"/>
                <w:color w:val="000000" w:themeColor="text1"/>
                <w:kern w:val="0"/>
              </w:rPr>
              <w:t>1</w:t>
            </w:r>
            <w:r>
              <w:rPr>
                <w:rFonts w:hint="eastAsia"/>
                <w:snapToGrid w:val="0"/>
                <w:color w:val="000000" w:themeColor="text1"/>
                <w:kern w:val="0"/>
              </w:rPr>
              <w:t>个</w:t>
            </w:r>
          </w:p>
        </w:tc>
        <w:tc>
          <w:tcPr>
            <w:tcW w:w="1085"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0.2</w:t>
            </w:r>
          </w:p>
        </w:tc>
        <w:tc>
          <w:tcPr>
            <w:tcW w:w="1510" w:type="dxa"/>
            <w:vMerge w:val="restart"/>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71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4238"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环保型焚烧炉</w:t>
            </w:r>
            <w:r>
              <w:rPr>
                <w:snapToGrid w:val="0"/>
                <w:color w:val="000000" w:themeColor="text1"/>
                <w:kern w:val="0"/>
              </w:rPr>
              <w:t>1</w:t>
            </w:r>
            <w:r>
              <w:rPr>
                <w:rFonts w:hint="eastAsia"/>
                <w:snapToGrid w:val="0"/>
                <w:color w:val="000000" w:themeColor="text1"/>
                <w:kern w:val="0"/>
              </w:rPr>
              <w:t>座</w:t>
            </w:r>
          </w:p>
        </w:tc>
        <w:tc>
          <w:tcPr>
            <w:tcW w:w="1085"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15</w:t>
            </w:r>
          </w:p>
        </w:tc>
        <w:tc>
          <w:tcPr>
            <w:tcW w:w="1510" w:type="dxa"/>
            <w:vMerge w:val="continue"/>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71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4238"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粪便暂存间</w:t>
            </w:r>
          </w:p>
        </w:tc>
        <w:tc>
          <w:tcPr>
            <w:tcW w:w="1085"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3.0</w:t>
            </w:r>
          </w:p>
        </w:tc>
        <w:tc>
          <w:tcPr>
            <w:tcW w:w="1510" w:type="dxa"/>
            <w:vMerge w:val="continue"/>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7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绿化</w:t>
            </w:r>
          </w:p>
        </w:tc>
        <w:tc>
          <w:tcPr>
            <w:tcW w:w="4238"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绿化面积</w:t>
            </w:r>
            <w:r>
              <w:rPr>
                <w:rFonts w:hint="eastAsia"/>
                <w:color w:val="000000" w:themeColor="text1"/>
              </w:rPr>
              <w:t>2444.71</w:t>
            </w:r>
            <w:r>
              <w:rPr>
                <w:color w:val="000000" w:themeColor="text1"/>
              </w:rPr>
              <w:t>m</w:t>
            </w:r>
            <w:r>
              <w:rPr>
                <w:color w:val="000000" w:themeColor="text1"/>
                <w:vertAlign w:val="superscript"/>
              </w:rPr>
              <w:t>2</w:t>
            </w:r>
          </w:p>
        </w:tc>
        <w:tc>
          <w:tcPr>
            <w:tcW w:w="1085"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10</w:t>
            </w:r>
          </w:p>
        </w:tc>
        <w:tc>
          <w:tcPr>
            <w:tcW w:w="1510"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设计已有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8" w:type="dxa"/>
            <w:vMerge w:val="restart"/>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hint="eastAsia"/>
                <w:color w:val="000000" w:themeColor="text1"/>
              </w:rPr>
              <w:t>其</w:t>
            </w:r>
          </w:p>
          <w:p>
            <w:pPr>
              <w:pStyle w:val="55"/>
              <w:rPr>
                <w:color w:val="000000" w:themeColor="text1"/>
              </w:rPr>
            </w:pPr>
            <w:r>
              <w:rPr>
                <w:rFonts w:hint="eastAsia"/>
                <w:color w:val="000000" w:themeColor="text1"/>
              </w:rPr>
              <w:t>他</w:t>
            </w:r>
          </w:p>
        </w:tc>
        <w:tc>
          <w:tcPr>
            <w:tcW w:w="17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环境评价费</w:t>
            </w:r>
          </w:p>
        </w:tc>
        <w:tc>
          <w:tcPr>
            <w:tcW w:w="4238"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snapToGrid w:val="0"/>
                <w:color w:val="000000" w:themeColor="text1"/>
                <w:kern w:val="0"/>
              </w:rPr>
              <w:t>-</w:t>
            </w:r>
          </w:p>
        </w:tc>
        <w:tc>
          <w:tcPr>
            <w:tcW w:w="1085"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color w:val="000000" w:themeColor="text1"/>
              </w:rPr>
              <w:t>8.0</w:t>
            </w:r>
          </w:p>
        </w:tc>
        <w:tc>
          <w:tcPr>
            <w:tcW w:w="1510"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snapToGrid w:val="0"/>
                <w:color w:val="000000" w:themeColor="text1"/>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7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项目竣工环保验收监测费用</w:t>
            </w:r>
          </w:p>
        </w:tc>
        <w:tc>
          <w:tcPr>
            <w:tcW w:w="4238"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snapToGrid w:val="0"/>
                <w:color w:val="000000" w:themeColor="text1"/>
                <w:kern w:val="0"/>
              </w:rPr>
              <w:t>-</w:t>
            </w:r>
          </w:p>
        </w:tc>
        <w:tc>
          <w:tcPr>
            <w:tcW w:w="1085"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snapToGrid w:val="0"/>
                <w:color w:val="000000" w:themeColor="text1"/>
                <w:kern w:val="0"/>
              </w:rPr>
              <w:t>8.0</w:t>
            </w:r>
          </w:p>
        </w:tc>
        <w:tc>
          <w:tcPr>
            <w:tcW w:w="1510"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环评建议预留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522" w:type="dxa"/>
            <w:gridSpan w:val="3"/>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合计</w:t>
            </w:r>
          </w:p>
        </w:tc>
        <w:tc>
          <w:tcPr>
            <w:tcW w:w="1085"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243.5</w:t>
            </w:r>
          </w:p>
        </w:tc>
        <w:tc>
          <w:tcPr>
            <w:tcW w:w="1510"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snapToGrid w:val="0"/>
                <w:color w:val="000000" w:themeColor="text1"/>
                <w:kern w:val="0"/>
              </w:rPr>
              <w:t>-</w:t>
            </w:r>
          </w:p>
        </w:tc>
      </w:tr>
    </w:tbl>
    <w:p>
      <w:pPr>
        <w:pStyle w:val="38"/>
        <w:ind w:firstLine="281"/>
        <w:rPr>
          <w:rFonts w:cs="Times New Roman"/>
          <w:color w:val="000000" w:themeColor="text1"/>
        </w:rPr>
      </w:pPr>
      <w:bookmarkStart w:id="328" w:name="_Toc47375922"/>
      <w:bookmarkStart w:id="329" w:name="_Toc530059739"/>
      <w:r>
        <w:rPr>
          <w:color w:val="000000" w:themeColor="text1"/>
        </w:rPr>
        <w:t>9.1.2</w:t>
      </w:r>
      <w:r>
        <w:rPr>
          <w:rFonts w:hint="eastAsia"/>
          <w:color w:val="000000" w:themeColor="text1"/>
        </w:rPr>
        <w:t>环境损益分析</w:t>
      </w:r>
      <w:bookmarkEnd w:id="326"/>
      <w:bookmarkEnd w:id="327"/>
      <w:bookmarkEnd w:id="328"/>
      <w:bookmarkEnd w:id="329"/>
    </w:p>
    <w:p>
      <w:pPr>
        <w:ind w:firstLine="480"/>
        <w:rPr>
          <w:color w:val="000000" w:themeColor="text1"/>
          <w:szCs w:val="24"/>
        </w:rPr>
      </w:pPr>
      <w:r>
        <w:rPr>
          <w:rFonts w:hint="eastAsia"/>
          <w:color w:val="000000" w:themeColor="text1"/>
        </w:rPr>
        <w:t>项目建成后，由于实施各种严格的环保措施，污染物排放量得到较好控制，使得项目对环境的影响可以接受。</w:t>
      </w:r>
    </w:p>
    <w:p>
      <w:pPr>
        <w:ind w:firstLine="480"/>
        <w:rPr>
          <w:color w:val="000000" w:themeColor="text1"/>
        </w:rPr>
      </w:pPr>
      <w:r>
        <w:rPr>
          <w:rFonts w:hint="eastAsia"/>
          <w:color w:val="000000" w:themeColor="text1"/>
        </w:rPr>
        <w:t>项目区拟建污水处理站，项目污水经处理后出水水质可同时达到</w:t>
      </w:r>
      <w:r>
        <w:rPr>
          <w:rFonts w:hint="eastAsia"/>
          <w:bCs/>
          <w:color w:val="000000" w:themeColor="text1"/>
          <w:kern w:val="0"/>
          <w:szCs w:val="24"/>
        </w:rPr>
        <w:t>《肉类加工工业水污染物排放标准》（GB 13457-92）中较严格的禽类屠宰加工三级标准和《污水排入城镇下水道水质标准》（GB/T 31962-2015）表1中的B级标准排入城镇污水管网</w:t>
      </w:r>
      <w:r>
        <w:rPr>
          <w:rFonts w:hint="eastAsia"/>
          <w:color w:val="000000" w:themeColor="text1"/>
        </w:rPr>
        <w:t>，有效的减轻了砚山县污水处理厂的运行负荷，控制了对周围地表水体的影响。项目为待宰间和屠宰间安装了换气设备，并定时冲洗消毒，喷洒除臭剂，有效稀释了车间产生的恶臭气体，减小恶臭环境影响；购买焚烧炉时配备</w:t>
      </w:r>
      <w:r>
        <w:rPr>
          <w:rFonts w:hint="eastAsia"/>
          <w:bCs/>
          <w:color w:val="000000" w:themeColor="text1"/>
        </w:rPr>
        <w:t>布袋除尘器</w:t>
      </w:r>
      <w:r>
        <w:rPr>
          <w:rFonts w:hint="eastAsia"/>
          <w:color w:val="000000" w:themeColor="text1"/>
        </w:rPr>
        <w:t>有效处理焚烧炉产生的废气，实现达标排放；为锅炉废气安装水膜除尘系统，可使锅炉废气处理后达标排放。建设环保型焚烧炉</w:t>
      </w:r>
      <w:r>
        <w:rPr>
          <w:color w:val="000000" w:themeColor="text1"/>
        </w:rPr>
        <w:t>1</w:t>
      </w:r>
      <w:r>
        <w:rPr>
          <w:rFonts w:hint="eastAsia"/>
          <w:color w:val="000000" w:themeColor="text1"/>
        </w:rPr>
        <w:t>个、粪便暂存间</w:t>
      </w:r>
      <w:r>
        <w:rPr>
          <w:color w:val="000000" w:themeColor="text1"/>
        </w:rPr>
        <w:t>1</w:t>
      </w:r>
      <w:r>
        <w:rPr>
          <w:rFonts w:hint="eastAsia"/>
          <w:color w:val="000000" w:themeColor="text1"/>
        </w:rPr>
        <w:t>个、生活垃圾桶</w:t>
      </w:r>
      <w:r>
        <w:rPr>
          <w:color w:val="000000" w:themeColor="text1"/>
        </w:rPr>
        <w:t>5</w:t>
      </w:r>
      <w:r>
        <w:rPr>
          <w:rFonts w:hint="eastAsia"/>
          <w:color w:val="000000" w:themeColor="text1"/>
        </w:rPr>
        <w:t>个，生活垃圾收集箱</w:t>
      </w:r>
      <w:r>
        <w:rPr>
          <w:color w:val="000000" w:themeColor="text1"/>
        </w:rPr>
        <w:t>1</w:t>
      </w:r>
      <w:r>
        <w:rPr>
          <w:rFonts w:hint="eastAsia"/>
          <w:color w:val="000000" w:themeColor="text1"/>
        </w:rPr>
        <w:t>个可使场内产生的固废得到有效收集、处理。</w:t>
      </w:r>
    </w:p>
    <w:p>
      <w:pPr>
        <w:ind w:firstLine="480"/>
        <w:rPr>
          <w:color w:val="000000" w:themeColor="text1"/>
        </w:rPr>
      </w:pPr>
      <w:r>
        <w:rPr>
          <w:rFonts w:hint="eastAsia"/>
          <w:color w:val="000000" w:themeColor="text1"/>
        </w:rPr>
        <w:t>因此，环保资金投入的环境效益明显。本项目运营过程中加强管理，保证环保设施的高效正常运转，做到达标排放，加强环保意识的宣传，认真落实各项环保措施就能把对环境的污染降低到最小程度。</w:t>
      </w:r>
    </w:p>
    <w:p>
      <w:pPr>
        <w:pStyle w:val="3"/>
        <w:rPr>
          <w:color w:val="000000" w:themeColor="text1"/>
          <w:sz w:val="32"/>
        </w:rPr>
      </w:pPr>
      <w:bookmarkStart w:id="330" w:name="_Toc47375923"/>
      <w:bookmarkStart w:id="331" w:name="_Toc388604150"/>
      <w:bookmarkStart w:id="332" w:name="_Toc530059740"/>
      <w:bookmarkStart w:id="333" w:name="_Toc387938449"/>
      <w:r>
        <w:rPr>
          <w:color w:val="000000" w:themeColor="text1"/>
        </w:rPr>
        <w:t>9.2</w:t>
      </w:r>
      <w:r>
        <w:rPr>
          <w:rFonts w:hint="eastAsia"/>
          <w:color w:val="000000" w:themeColor="text1"/>
        </w:rPr>
        <w:t>社会效益分析</w:t>
      </w:r>
      <w:bookmarkEnd w:id="330"/>
      <w:bookmarkEnd w:id="331"/>
      <w:bookmarkEnd w:id="332"/>
      <w:bookmarkEnd w:id="333"/>
    </w:p>
    <w:p>
      <w:pPr>
        <w:ind w:firstLine="480"/>
        <w:rPr>
          <w:color w:val="000000" w:themeColor="text1"/>
        </w:rPr>
      </w:pPr>
      <w:r>
        <w:rPr>
          <w:rFonts w:hint="eastAsia"/>
          <w:color w:val="000000" w:themeColor="text1"/>
        </w:rPr>
        <w:t>项目建成后，为社会提供了新的就业机会，初步预测可增加就业10人，人均月工资收入</w:t>
      </w:r>
      <w:r>
        <w:rPr>
          <w:color w:val="000000" w:themeColor="text1"/>
        </w:rPr>
        <w:t>3000</w:t>
      </w:r>
      <w:r>
        <w:rPr>
          <w:rFonts w:hint="eastAsia"/>
          <w:color w:val="000000" w:themeColor="text1"/>
        </w:rPr>
        <w:t>元以上，为家庭提供稳定的收入来源。同时将直接或间接拉动养殖业的发展。严格打造生态养殖的经济生产模式，将带动更大范围学习运用于生产，也带动砚山县农业产业可持续发展，增加农民收入，促进农村经济发展，在产业扶贫和精准扶贫中发挥作用。</w:t>
      </w:r>
    </w:p>
    <w:p>
      <w:pPr>
        <w:ind w:firstLine="480"/>
        <w:rPr>
          <w:color w:val="000000" w:themeColor="text1"/>
        </w:rPr>
      </w:pPr>
      <w:r>
        <w:rPr>
          <w:rFonts w:hint="eastAsia"/>
          <w:color w:val="000000" w:themeColor="text1"/>
        </w:rPr>
        <w:t>此外，项目严格把握生产关，可在很大程度上提高产品的质量，为广大消费者提供安全、健康的有机绿色食品。创造稳定优质的猪肉、鸡肉市场，为满足城乡人民生活、提高生活质量和水平发挥重大作用。</w:t>
      </w:r>
    </w:p>
    <w:p>
      <w:pPr>
        <w:pStyle w:val="3"/>
        <w:rPr>
          <w:color w:val="000000" w:themeColor="text1"/>
          <w:sz w:val="32"/>
        </w:rPr>
      </w:pPr>
      <w:bookmarkStart w:id="334" w:name="_Toc47375924"/>
      <w:bookmarkStart w:id="335" w:name="_Toc387938450"/>
      <w:bookmarkStart w:id="336" w:name="_Toc388604151"/>
      <w:bookmarkStart w:id="337" w:name="_Toc530059741"/>
      <w:r>
        <w:rPr>
          <w:color w:val="000000" w:themeColor="text1"/>
        </w:rPr>
        <w:t>9.3</w:t>
      </w:r>
      <w:r>
        <w:rPr>
          <w:rFonts w:hint="eastAsia"/>
          <w:color w:val="000000" w:themeColor="text1"/>
        </w:rPr>
        <w:t>经济效益分析</w:t>
      </w:r>
      <w:bookmarkEnd w:id="334"/>
      <w:bookmarkEnd w:id="335"/>
      <w:bookmarkEnd w:id="336"/>
      <w:bookmarkEnd w:id="337"/>
    </w:p>
    <w:p>
      <w:pPr>
        <w:ind w:firstLine="480"/>
        <w:rPr>
          <w:color w:val="000000" w:themeColor="text1"/>
        </w:rPr>
      </w:pPr>
      <w:r>
        <w:rPr>
          <w:rFonts w:hint="eastAsia"/>
          <w:color w:val="000000" w:themeColor="text1"/>
        </w:rPr>
        <w:t>本项目总投资2000万元，项目投产后，预计年平均销售收入约38400万元，年平均总成本费用约37800万元，包括项目成本、税额等，年平均利润总额约540万元，投资回收期3.7年，从经济指标上来看项目具有可观的经济效益。</w:t>
      </w:r>
    </w:p>
    <w:p>
      <w:pPr>
        <w:ind w:firstLine="480"/>
        <w:rPr>
          <w:color w:val="000000" w:themeColor="text1"/>
        </w:rPr>
      </w:pPr>
      <w:r>
        <w:rPr>
          <w:rFonts w:hint="eastAsia"/>
          <w:color w:val="000000" w:themeColor="text1"/>
        </w:rPr>
        <w:t>综上所述，本项目的建设，必将产生显著的环境效益、社会效益和一定的经济效益。</w:t>
      </w:r>
    </w:p>
    <w:p>
      <w:pPr>
        <w:pStyle w:val="3"/>
        <w:rPr>
          <w:color w:val="000000" w:themeColor="text1"/>
        </w:rPr>
      </w:pPr>
      <w:bookmarkStart w:id="338" w:name="_Toc47375925"/>
      <w:r>
        <w:rPr>
          <w:rFonts w:hint="eastAsia"/>
          <w:color w:val="000000" w:themeColor="text1"/>
        </w:rPr>
        <w:t>9.4小结</w:t>
      </w:r>
      <w:bookmarkEnd w:id="338"/>
    </w:p>
    <w:p>
      <w:pPr>
        <w:ind w:firstLine="480"/>
        <w:rPr>
          <w:color w:val="000000" w:themeColor="text1"/>
        </w:rPr>
      </w:pPr>
      <w:r>
        <w:rPr>
          <w:rFonts w:hint="eastAsia"/>
          <w:color w:val="000000" w:themeColor="text1"/>
        </w:rPr>
        <w:t>综上所述，项目将产生良好的社会效益和经济利益。本项目具有完善的基础设施，设定了高效可行的管理方案和治理措施，项目建设及营运过程中所产生的各项负面影响将被削弱或消除，从而使项目的建设取得较好的经济、社会效益和环境效益，实现经济、社会和环境相互协调发展的良性循环。</w:t>
      </w:r>
    </w:p>
    <w:p>
      <w:pPr>
        <w:widowControl/>
        <w:spacing w:line="240" w:lineRule="auto"/>
        <w:ind w:firstLine="0" w:firstLineChars="0"/>
        <w:jc w:val="left"/>
        <w:rPr>
          <w:b/>
          <w:color w:val="000000" w:themeColor="text1"/>
          <w:sz w:val="32"/>
        </w:rPr>
      </w:pPr>
      <w:r>
        <w:rPr>
          <w:color w:val="000000" w:themeColor="text1"/>
        </w:rPr>
        <w:br w:type="page"/>
      </w:r>
    </w:p>
    <w:p>
      <w:pPr>
        <w:pStyle w:val="2"/>
        <w:spacing w:before="249" w:after="249"/>
        <w:rPr>
          <w:color w:val="000000" w:themeColor="text1"/>
        </w:rPr>
      </w:pPr>
      <w:bookmarkStart w:id="339" w:name="_Toc47375926"/>
      <w:r>
        <w:rPr>
          <w:rFonts w:hint="eastAsia"/>
          <w:color w:val="000000" w:themeColor="text1"/>
        </w:rPr>
        <w:t>10.环境管理、环境监理及环境监测</w:t>
      </w:r>
      <w:bookmarkEnd w:id="339"/>
    </w:p>
    <w:p>
      <w:pPr>
        <w:pStyle w:val="3"/>
        <w:rPr>
          <w:color w:val="000000" w:themeColor="text1"/>
        </w:rPr>
      </w:pPr>
      <w:bookmarkStart w:id="340" w:name="_Toc387938478"/>
      <w:bookmarkStart w:id="341" w:name="_Toc530059755"/>
      <w:bookmarkStart w:id="342" w:name="_Toc229976873"/>
      <w:bookmarkStart w:id="343" w:name="_Toc388604179"/>
      <w:bookmarkStart w:id="344" w:name="_Toc143085497"/>
      <w:bookmarkStart w:id="345" w:name="_Toc47375927"/>
      <w:r>
        <w:rPr>
          <w:color w:val="000000" w:themeColor="text1"/>
        </w:rPr>
        <w:t>10.1</w:t>
      </w:r>
      <w:bookmarkStart w:id="346" w:name="_Toc60479285"/>
      <w:bookmarkStart w:id="347" w:name="_Toc496584756"/>
      <w:r>
        <w:rPr>
          <w:rFonts w:hint="eastAsia"/>
          <w:color w:val="000000" w:themeColor="text1"/>
        </w:rPr>
        <w:t>环境管理</w:t>
      </w:r>
      <w:bookmarkEnd w:id="340"/>
      <w:bookmarkEnd w:id="341"/>
      <w:bookmarkEnd w:id="342"/>
      <w:bookmarkEnd w:id="343"/>
      <w:bookmarkEnd w:id="344"/>
      <w:bookmarkEnd w:id="345"/>
    </w:p>
    <w:p>
      <w:pPr>
        <w:ind w:firstLine="480"/>
        <w:rPr>
          <w:color w:val="000000" w:themeColor="text1"/>
        </w:rPr>
      </w:pPr>
      <w:bookmarkStart w:id="348" w:name="_Toc229976874"/>
      <w:bookmarkStart w:id="349" w:name="_Toc387938479"/>
      <w:bookmarkStart w:id="350" w:name="_Toc388604180"/>
      <w:bookmarkStart w:id="351" w:name="_Toc143085498"/>
      <w:r>
        <w:rPr>
          <w:rFonts w:hint="eastAsia"/>
          <w:color w:val="000000" w:themeColor="text1"/>
        </w:rPr>
        <w:t>环境管理的目的是为了使建设项目在整个施工建设期和运营期都严格遵守国家和地方的有关环境保护法律法规，监督和检查项目施工建设及运营过程中环保措施的落实情况。为了保证环境管理正常有效进行，项目必须有常设的管理机构，确定相应的管理职责，建立健全管理制度及管理办法。</w:t>
      </w:r>
    </w:p>
    <w:p>
      <w:pPr>
        <w:ind w:firstLine="480"/>
        <w:rPr>
          <w:color w:val="000000" w:themeColor="text1"/>
        </w:rPr>
      </w:pPr>
      <w:r>
        <w:rPr>
          <w:rFonts w:hint="eastAsia"/>
          <w:color w:val="000000" w:themeColor="text1"/>
        </w:rPr>
        <w:t>根据《中华人民共和国环境保护法》，建设单位必须把环境保护工作纳入计划，建立环境保护责任制度，采取有效措施，防治生产建设或其它活动中产生的污染危害及对生态环境破坏，保持可持续发展。针对建设项目工艺特点，特提出以下管理建议。</w:t>
      </w:r>
    </w:p>
    <w:p>
      <w:pPr>
        <w:pStyle w:val="38"/>
        <w:ind w:firstLine="281"/>
        <w:rPr>
          <w:color w:val="000000" w:themeColor="text1"/>
        </w:rPr>
      </w:pPr>
      <w:bookmarkStart w:id="352" w:name="_Toc47375928"/>
      <w:bookmarkStart w:id="353" w:name="_Toc530059756"/>
      <w:r>
        <w:rPr>
          <w:color w:val="000000" w:themeColor="text1"/>
        </w:rPr>
        <w:t>10.1.1</w:t>
      </w:r>
      <w:r>
        <w:rPr>
          <w:rFonts w:hint="eastAsia"/>
          <w:color w:val="000000" w:themeColor="text1"/>
        </w:rPr>
        <w:t>环境管理机构</w:t>
      </w:r>
      <w:bookmarkEnd w:id="348"/>
      <w:bookmarkEnd w:id="349"/>
      <w:bookmarkEnd w:id="350"/>
      <w:bookmarkEnd w:id="352"/>
      <w:bookmarkEnd w:id="353"/>
    </w:p>
    <w:bookmarkEnd w:id="346"/>
    <w:bookmarkEnd w:id="347"/>
    <w:bookmarkEnd w:id="351"/>
    <w:p>
      <w:pPr>
        <w:ind w:firstLine="480"/>
        <w:rPr>
          <w:color w:val="000000" w:themeColor="text1"/>
          <w:szCs w:val="24"/>
        </w:rPr>
      </w:pPr>
      <w:bookmarkStart w:id="354" w:name="_Toc143085501"/>
      <w:r>
        <w:rPr>
          <w:rFonts w:hint="eastAsia"/>
          <w:color w:val="000000" w:themeColor="text1"/>
        </w:rPr>
        <w:t>建设单位应设立专职的环保机构，配置专业人员1</w:t>
      </w:r>
      <w:r>
        <w:rPr>
          <w:color w:val="000000" w:themeColor="text1"/>
        </w:rPr>
        <w:t>~</w:t>
      </w:r>
      <w:r>
        <w:rPr>
          <w:rFonts w:hint="eastAsia"/>
          <w:color w:val="000000" w:themeColor="text1"/>
        </w:rPr>
        <w:t>2人，其中应有一名公司领导分管此项工作，创造必要的工作条件和建立相应的工作制度，赋予执行其职能的权力。主要负责落实日常环境管理工作、处理与环境保护部门及其他社会各界的协调事宜。</w:t>
      </w:r>
    </w:p>
    <w:p>
      <w:pPr>
        <w:pStyle w:val="38"/>
        <w:ind w:firstLine="281"/>
        <w:rPr>
          <w:color w:val="000000" w:themeColor="text1"/>
        </w:rPr>
      </w:pPr>
      <w:bookmarkStart w:id="355" w:name="_Toc387938480"/>
      <w:bookmarkStart w:id="356" w:name="_Toc229976875"/>
      <w:bookmarkStart w:id="357" w:name="_Toc388604181"/>
      <w:bookmarkStart w:id="358" w:name="_Toc47375929"/>
      <w:bookmarkStart w:id="359" w:name="_Toc530059757"/>
      <w:r>
        <w:rPr>
          <w:color w:val="000000" w:themeColor="text1"/>
        </w:rPr>
        <w:t>10.1.2</w:t>
      </w:r>
      <w:r>
        <w:rPr>
          <w:rFonts w:hint="eastAsia"/>
          <w:color w:val="000000" w:themeColor="text1"/>
        </w:rPr>
        <w:t>环境管理</w:t>
      </w:r>
      <w:bookmarkEnd w:id="355"/>
      <w:bookmarkEnd w:id="356"/>
      <w:bookmarkEnd w:id="357"/>
      <w:r>
        <w:rPr>
          <w:rFonts w:hint="eastAsia"/>
          <w:color w:val="000000" w:themeColor="text1"/>
        </w:rPr>
        <w:t>内容</w:t>
      </w:r>
      <w:bookmarkEnd w:id="358"/>
      <w:bookmarkEnd w:id="359"/>
    </w:p>
    <w:bookmarkEnd w:id="354"/>
    <w:p>
      <w:pPr>
        <w:ind w:firstLine="480"/>
        <w:rPr>
          <w:color w:val="000000" w:themeColor="text1"/>
          <w:szCs w:val="24"/>
        </w:rPr>
      </w:pPr>
      <w:bookmarkStart w:id="360" w:name="_Toc388604183"/>
      <w:bookmarkStart w:id="361" w:name="_Toc229976877"/>
      <w:bookmarkStart w:id="362" w:name="_Toc387938482"/>
      <w:bookmarkStart w:id="363" w:name="_Toc143085503"/>
      <w:r>
        <w:rPr>
          <w:rFonts w:hint="eastAsia"/>
          <w:color w:val="000000" w:themeColor="text1"/>
        </w:rPr>
        <w:t>1、施工期：</w:t>
      </w:r>
    </w:p>
    <w:p>
      <w:pPr>
        <w:ind w:firstLine="480"/>
        <w:rPr>
          <w:color w:val="000000" w:themeColor="text1"/>
        </w:rPr>
      </w:pPr>
      <w:r>
        <w:rPr>
          <w:rFonts w:hint="eastAsia"/>
          <w:color w:val="000000" w:themeColor="text1"/>
        </w:rPr>
        <w:t>（</w:t>
      </w:r>
      <w:r>
        <w:rPr>
          <w:color w:val="000000" w:themeColor="text1"/>
        </w:rPr>
        <w:t>1</w:t>
      </w:r>
      <w:r>
        <w:rPr>
          <w:rFonts w:hint="eastAsia"/>
          <w:color w:val="000000" w:themeColor="text1"/>
        </w:rPr>
        <w:t>）项目建设施工期要制定和建全工程环境管理制度，对所有工程项目进行环境工程管理，保证项目环境工程质量，避免环境隐患的存在。</w:t>
      </w:r>
    </w:p>
    <w:p>
      <w:pPr>
        <w:ind w:firstLine="480"/>
        <w:rPr>
          <w:color w:val="000000" w:themeColor="text1"/>
        </w:rPr>
      </w:pPr>
      <w:r>
        <w:rPr>
          <w:rFonts w:hint="eastAsia"/>
          <w:color w:val="000000" w:themeColor="text1"/>
        </w:rPr>
        <w:t>（</w:t>
      </w:r>
      <w:r>
        <w:rPr>
          <w:color w:val="000000" w:themeColor="text1"/>
        </w:rPr>
        <w:t>2</w:t>
      </w:r>
      <w:r>
        <w:rPr>
          <w:rFonts w:hint="eastAsia"/>
          <w:color w:val="000000" w:themeColor="text1"/>
        </w:rPr>
        <w:t>）对施工单位提出要求，明确责任，督促施工单位按工程设计要求进行施工。督促施工单位施工前在场地周围设挡护、修建截排水沟，杜绝工地废水和泥沙下泄水流入地表水。监督施工单位是否按要求设置施工废水收集沉清池对施工废水进行收集处理后回用。要求土石方开挖工程避开暴雨时段，以减少施工过程中水土流失对生态环境、水环境的影响。</w:t>
      </w:r>
    </w:p>
    <w:p>
      <w:pPr>
        <w:ind w:firstLine="480"/>
        <w:rPr>
          <w:color w:val="000000" w:themeColor="text1"/>
        </w:rPr>
      </w:pPr>
      <w:r>
        <w:rPr>
          <w:rFonts w:hint="eastAsia"/>
          <w:color w:val="000000" w:themeColor="text1"/>
        </w:rPr>
        <w:t>（</w:t>
      </w:r>
      <w:r>
        <w:rPr>
          <w:color w:val="000000" w:themeColor="text1"/>
        </w:rPr>
        <w:t>3</w:t>
      </w:r>
      <w:r>
        <w:rPr>
          <w:rFonts w:hint="eastAsia"/>
          <w:color w:val="000000" w:themeColor="text1"/>
        </w:rPr>
        <w:t>）检查施工单位是否按要求及时清运建筑垃圾，对施工过程中的裸露浮土是否及时夯实、覆盖；落实、检查运输土石方是否加盖，以及洒水抑尘的工程设施建设及实施情况，减少扬尘、建筑粉尘对空气环境的污染。</w:t>
      </w:r>
    </w:p>
    <w:p>
      <w:pPr>
        <w:ind w:firstLine="480"/>
        <w:rPr>
          <w:color w:val="000000" w:themeColor="text1"/>
        </w:rPr>
      </w:pPr>
      <w:r>
        <w:rPr>
          <w:rFonts w:hint="eastAsia"/>
          <w:color w:val="000000" w:themeColor="text1"/>
        </w:rPr>
        <w:t>（</w:t>
      </w:r>
      <w:r>
        <w:rPr>
          <w:color w:val="000000" w:themeColor="text1"/>
        </w:rPr>
        <w:t>4</w:t>
      </w:r>
      <w:r>
        <w:rPr>
          <w:rFonts w:hint="eastAsia"/>
          <w:color w:val="000000" w:themeColor="text1"/>
        </w:rPr>
        <w:t>）明确施工中废水排放、处理的工程措施及要求，并定期组织检查废水排放、回用情况。</w:t>
      </w:r>
    </w:p>
    <w:p>
      <w:pPr>
        <w:ind w:firstLine="480"/>
        <w:rPr>
          <w:color w:val="000000" w:themeColor="text1"/>
        </w:rPr>
      </w:pPr>
      <w:r>
        <w:rPr>
          <w:rFonts w:hint="eastAsia"/>
          <w:color w:val="000000" w:themeColor="text1"/>
        </w:rPr>
        <w:t>（</w:t>
      </w:r>
      <w:r>
        <w:rPr>
          <w:color w:val="000000" w:themeColor="text1"/>
        </w:rPr>
        <w:t>5</w:t>
      </w:r>
      <w:r>
        <w:rPr>
          <w:rFonts w:hint="eastAsia"/>
          <w:color w:val="000000" w:themeColor="text1"/>
        </w:rPr>
        <w:t>）要求施工单位采用符合国家标准的低噪声施工设备、施工机械，并按规范施工，采取有效措施如对大噪声设备搭建操作棚等减少施工噪声对周围环境的影响，并严格控制午休、夜间施工时间。</w:t>
      </w:r>
    </w:p>
    <w:p>
      <w:pPr>
        <w:ind w:firstLine="480"/>
        <w:rPr>
          <w:color w:val="000000" w:themeColor="text1"/>
        </w:rPr>
      </w:pPr>
      <w:r>
        <w:rPr>
          <w:rFonts w:hint="eastAsia"/>
          <w:color w:val="000000" w:themeColor="text1"/>
        </w:rPr>
        <w:t>（</w:t>
      </w:r>
      <w:r>
        <w:rPr>
          <w:color w:val="000000" w:themeColor="text1"/>
        </w:rPr>
        <w:t>6</w:t>
      </w:r>
      <w:r>
        <w:rPr>
          <w:rFonts w:hint="eastAsia"/>
          <w:color w:val="000000" w:themeColor="text1"/>
        </w:rPr>
        <w:t>）定期检查，督促施工单位按要求分类处理建筑垃圾，是否对可回用部分进行回收利用，不可回用部分是否及时就地回填处理。</w:t>
      </w:r>
    </w:p>
    <w:p>
      <w:pPr>
        <w:ind w:firstLine="480"/>
        <w:rPr>
          <w:color w:val="000000" w:themeColor="text1"/>
        </w:rPr>
      </w:pPr>
      <w:r>
        <w:rPr>
          <w:rFonts w:hint="eastAsia"/>
          <w:color w:val="000000" w:themeColor="text1"/>
        </w:rPr>
        <w:t>（</w:t>
      </w:r>
      <w:r>
        <w:rPr>
          <w:color w:val="000000" w:themeColor="text1"/>
        </w:rPr>
        <w:t>7</w:t>
      </w:r>
      <w:r>
        <w:rPr>
          <w:rFonts w:hint="eastAsia"/>
          <w:color w:val="000000" w:themeColor="text1"/>
        </w:rPr>
        <w:t>）项目施工完毕后，应全面检查施工现场的环境恢复状况。督促施工单位及时撤除占用场地，拆除临时设施，按计划实施绿化工程，恢复因施工破坏的植被及设施。</w:t>
      </w:r>
    </w:p>
    <w:p>
      <w:pPr>
        <w:ind w:firstLine="480"/>
        <w:rPr>
          <w:color w:val="000000" w:themeColor="text1"/>
        </w:rPr>
      </w:pPr>
      <w:r>
        <w:rPr>
          <w:rFonts w:hint="eastAsia"/>
          <w:color w:val="000000" w:themeColor="text1"/>
        </w:rPr>
        <w:t>2、营运期：</w:t>
      </w:r>
    </w:p>
    <w:p>
      <w:pPr>
        <w:ind w:firstLine="480"/>
        <w:rPr>
          <w:color w:val="000000" w:themeColor="text1"/>
        </w:rPr>
      </w:pPr>
      <w:r>
        <w:rPr>
          <w:rFonts w:hint="eastAsia"/>
          <w:color w:val="000000" w:themeColor="text1"/>
        </w:rPr>
        <w:t>（</w:t>
      </w:r>
      <w:r>
        <w:rPr>
          <w:color w:val="000000" w:themeColor="text1"/>
        </w:rPr>
        <w:t>1</w:t>
      </w:r>
      <w:r>
        <w:rPr>
          <w:rFonts w:hint="eastAsia"/>
          <w:color w:val="000000" w:themeColor="text1"/>
        </w:rPr>
        <w:t>）项目建成投产前，应按照</w:t>
      </w:r>
      <w:r>
        <w:rPr>
          <w:color w:val="000000" w:themeColor="text1"/>
        </w:rPr>
        <w:t>“</w:t>
      </w:r>
      <w:r>
        <w:rPr>
          <w:rFonts w:hint="eastAsia"/>
          <w:color w:val="000000" w:themeColor="text1"/>
        </w:rPr>
        <w:t>三同时</w:t>
      </w:r>
      <w:r>
        <w:rPr>
          <w:color w:val="000000" w:themeColor="text1"/>
        </w:rPr>
        <w:t>”</w:t>
      </w:r>
      <w:r>
        <w:rPr>
          <w:rFonts w:hint="eastAsia"/>
          <w:color w:val="000000" w:themeColor="text1"/>
        </w:rPr>
        <w:t>要求进行环保设施的建设。</w:t>
      </w:r>
    </w:p>
    <w:p>
      <w:pPr>
        <w:ind w:firstLine="480"/>
        <w:rPr>
          <w:color w:val="000000" w:themeColor="text1"/>
        </w:rPr>
      </w:pPr>
      <w:r>
        <w:rPr>
          <w:rFonts w:hint="eastAsia"/>
          <w:color w:val="000000" w:themeColor="text1"/>
        </w:rPr>
        <w:t>（</w:t>
      </w:r>
      <w:r>
        <w:rPr>
          <w:color w:val="000000" w:themeColor="text1"/>
        </w:rPr>
        <w:t>2</w:t>
      </w:r>
      <w:r>
        <w:rPr>
          <w:rFonts w:hint="eastAsia"/>
          <w:color w:val="000000" w:themeColor="text1"/>
        </w:rPr>
        <w:t>）加强环保设施的管理，定期检查环保设施运行情况，如污水处理站、水膜除尘器、布袋除尘器、化粪池等设施是否正常运行，防止污水未经处理直接溢出，污染项目区内外环境及地表水环境。及时排除故障，保证环保设施正常运转。</w:t>
      </w:r>
    </w:p>
    <w:p>
      <w:pPr>
        <w:ind w:firstLine="480"/>
        <w:rPr>
          <w:color w:val="000000" w:themeColor="text1"/>
        </w:rPr>
      </w:pPr>
      <w:r>
        <w:rPr>
          <w:rFonts w:hint="eastAsia"/>
          <w:color w:val="000000" w:themeColor="text1"/>
        </w:rPr>
        <w:t>（</w:t>
      </w:r>
      <w:r>
        <w:rPr>
          <w:color w:val="000000" w:themeColor="text1"/>
        </w:rPr>
        <w:t>3</w:t>
      </w:r>
      <w:r>
        <w:rPr>
          <w:rFonts w:hint="eastAsia"/>
          <w:color w:val="000000" w:themeColor="text1"/>
        </w:rPr>
        <w:t>）运用经济、教育、行政、法律及其它手段，加强职工的环保意识，加强环境保护的自觉性，不断提高环境管理水平。</w:t>
      </w:r>
    </w:p>
    <w:p>
      <w:pPr>
        <w:ind w:firstLine="480"/>
        <w:rPr>
          <w:color w:val="000000" w:themeColor="text1"/>
        </w:rPr>
      </w:pPr>
      <w:r>
        <w:rPr>
          <w:rFonts w:hint="eastAsia"/>
          <w:color w:val="000000" w:themeColor="text1"/>
        </w:rPr>
        <w:t>（</w:t>
      </w:r>
      <w:r>
        <w:rPr>
          <w:color w:val="000000" w:themeColor="text1"/>
        </w:rPr>
        <w:t>4</w:t>
      </w:r>
      <w:r>
        <w:rPr>
          <w:rFonts w:hint="eastAsia"/>
          <w:color w:val="000000" w:themeColor="text1"/>
        </w:rPr>
        <w:t>）运营过程中，防止噪声对环境造成影响。</w:t>
      </w:r>
    </w:p>
    <w:p>
      <w:pPr>
        <w:ind w:firstLine="480"/>
        <w:rPr>
          <w:color w:val="000000" w:themeColor="text1"/>
        </w:rPr>
      </w:pPr>
      <w:r>
        <w:rPr>
          <w:rFonts w:hint="eastAsia"/>
          <w:color w:val="000000" w:themeColor="text1"/>
        </w:rPr>
        <w:t>（</w:t>
      </w:r>
      <w:r>
        <w:rPr>
          <w:color w:val="000000" w:themeColor="text1"/>
        </w:rPr>
        <w:t>5</w:t>
      </w:r>
      <w:r>
        <w:rPr>
          <w:rFonts w:hint="eastAsia"/>
          <w:color w:val="000000" w:themeColor="text1"/>
        </w:rPr>
        <w:t>）加强项目区内绿化管理，维护好项目区内的绿化体系，充分发挥绿化对项目区的环境调节作用。</w:t>
      </w:r>
    </w:p>
    <w:p>
      <w:pPr>
        <w:pStyle w:val="38"/>
        <w:ind w:firstLine="281"/>
        <w:rPr>
          <w:color w:val="000000" w:themeColor="text1"/>
        </w:rPr>
      </w:pPr>
      <w:bookmarkStart w:id="364" w:name="_Toc47375930"/>
      <w:r>
        <w:rPr>
          <w:rFonts w:hint="eastAsia"/>
          <w:color w:val="000000" w:themeColor="text1"/>
        </w:rPr>
        <w:t>10.1.3排污口规范化管理</w:t>
      </w:r>
      <w:bookmarkEnd w:id="364"/>
    </w:p>
    <w:p>
      <w:pPr>
        <w:ind w:firstLine="480"/>
        <w:rPr>
          <w:color w:val="000000" w:themeColor="text1"/>
        </w:rPr>
      </w:pPr>
      <w:r>
        <w:rPr>
          <w:color w:val="000000" w:themeColor="text1"/>
        </w:rPr>
        <w:t>排放口是企业污染物进入环境、污染环境的通道，</w:t>
      </w:r>
      <w:r>
        <w:rPr>
          <w:rFonts w:hint="eastAsia"/>
          <w:color w:val="000000" w:themeColor="text1"/>
        </w:rPr>
        <w:t>污染</w:t>
      </w:r>
      <w:r>
        <w:rPr>
          <w:color w:val="000000" w:themeColor="text1"/>
        </w:rPr>
        <w:t>排放口的管理是实施污染物总量控制的基础工作之一，也是区域环境管理初步实现污染物排放的科学化，定量化手段。按照相关部门关于对排放口规范化</w:t>
      </w:r>
      <w:r>
        <w:rPr>
          <w:rFonts w:hint="eastAsia"/>
          <w:color w:val="000000" w:themeColor="text1"/>
        </w:rPr>
        <w:t>整治</w:t>
      </w:r>
      <w:r>
        <w:rPr>
          <w:color w:val="000000" w:themeColor="text1"/>
        </w:rPr>
        <w:t>的统一要求，规范废气采样平台，便于环境管理及监测部门的日常监督、检查和监测。</w:t>
      </w:r>
    </w:p>
    <w:p>
      <w:pPr>
        <w:ind w:firstLine="480"/>
        <w:rPr>
          <w:color w:val="000000" w:themeColor="text1"/>
        </w:rPr>
      </w:pPr>
      <w:r>
        <w:rPr>
          <w:color w:val="000000" w:themeColor="text1"/>
        </w:rPr>
        <w:t>（1）本项目锅炉废气排放口</w:t>
      </w:r>
      <w:r>
        <w:rPr>
          <w:rFonts w:hint="eastAsia"/>
          <w:color w:val="000000" w:themeColor="text1"/>
        </w:rPr>
        <w:t>、</w:t>
      </w:r>
      <w:r>
        <w:rPr>
          <w:color w:val="000000" w:themeColor="text1"/>
        </w:rPr>
        <w:t>焚烧炉废气排放口应设置便于采样、监测的采样口或采样平台，并设置醒目的环保标识牌。</w:t>
      </w:r>
      <w:r>
        <w:rPr>
          <w:color w:val="000000" w:themeColor="text1"/>
        </w:rPr>
        <w:br w:type="textWrapping"/>
      </w:r>
    </w:p>
    <w:p>
      <w:pPr>
        <w:ind w:firstLine="480"/>
        <w:rPr>
          <w:color w:val="000000" w:themeColor="text1"/>
        </w:rPr>
      </w:pPr>
      <w:r>
        <w:rPr>
          <w:color w:val="000000" w:themeColor="text1"/>
        </w:rPr>
        <w:t>（2）</w:t>
      </w:r>
      <w:r>
        <w:rPr>
          <w:rFonts w:hint="eastAsia"/>
          <w:color w:val="000000" w:themeColor="text1"/>
        </w:rPr>
        <w:t>本项目</w:t>
      </w:r>
      <w:r>
        <w:rPr>
          <w:color w:val="000000" w:themeColor="text1"/>
        </w:rPr>
        <w:t>污水处理站</w:t>
      </w:r>
      <w:r>
        <w:rPr>
          <w:rFonts w:hint="eastAsia"/>
          <w:color w:val="000000" w:themeColor="text1"/>
        </w:rPr>
        <w:t>出水</w:t>
      </w:r>
      <w:r>
        <w:rPr>
          <w:color w:val="000000" w:themeColor="text1"/>
        </w:rPr>
        <w:t>口应设置相应的环保图形标志牌，便于管理、维修以及更新，并且排水口应该具备采样条件，标</w:t>
      </w:r>
      <w:r>
        <w:rPr>
          <w:rFonts w:hint="eastAsia"/>
          <w:color w:val="000000" w:themeColor="text1"/>
        </w:rPr>
        <w:t>明</w:t>
      </w:r>
      <w:r>
        <w:rPr>
          <w:color w:val="000000" w:themeColor="text1"/>
        </w:rPr>
        <w:t>采样水质状况，以确保处理废水水质满足排放标准。</w:t>
      </w:r>
    </w:p>
    <w:p>
      <w:pPr>
        <w:ind w:firstLine="480"/>
        <w:rPr>
          <w:color w:val="000000" w:themeColor="text1"/>
        </w:rPr>
      </w:pPr>
      <w:r>
        <w:rPr>
          <w:color w:val="000000" w:themeColor="text1"/>
        </w:rPr>
        <w:t>（3）本项目应在固定噪声源</w:t>
      </w:r>
      <w:r>
        <w:rPr>
          <w:rFonts w:hint="eastAsia"/>
          <w:color w:val="000000" w:themeColor="text1"/>
        </w:rPr>
        <w:t>（如生产设备、风机、待宰圈等）附近</w:t>
      </w:r>
      <w:r>
        <w:rPr>
          <w:color w:val="000000" w:themeColor="text1"/>
        </w:rPr>
        <w:t>设置环境保护图形标志牌。</w:t>
      </w:r>
    </w:p>
    <w:p>
      <w:pPr>
        <w:ind w:firstLine="480"/>
        <w:rPr>
          <w:color w:val="000000" w:themeColor="text1"/>
        </w:rPr>
      </w:pPr>
      <w:r>
        <w:rPr>
          <w:color w:val="000000" w:themeColor="text1"/>
        </w:rPr>
        <w:t>（4）加强固废管理，加强暂存及堆存期间的管理，设置专门的储存设施或</w:t>
      </w:r>
      <w:r>
        <w:rPr>
          <w:rFonts w:hint="eastAsia"/>
          <w:color w:val="000000" w:themeColor="text1"/>
        </w:rPr>
        <w:t>堆放</w:t>
      </w:r>
      <w:r>
        <w:rPr>
          <w:color w:val="000000" w:themeColor="text1"/>
        </w:rPr>
        <w:t>场所、输送通道。本项目设置粪便暂存间对鸡粪</w:t>
      </w:r>
      <w:r>
        <w:rPr>
          <w:rFonts w:hint="eastAsia"/>
          <w:color w:val="000000" w:themeColor="text1"/>
        </w:rPr>
        <w:t>、</w:t>
      </w:r>
      <w:r>
        <w:rPr>
          <w:color w:val="000000" w:themeColor="text1"/>
        </w:rPr>
        <w:t>猪粪进行暂存</w:t>
      </w:r>
      <w:r>
        <w:rPr>
          <w:rFonts w:hint="eastAsia"/>
          <w:color w:val="000000" w:themeColor="text1"/>
        </w:rPr>
        <w:t>，</w:t>
      </w:r>
      <w:r>
        <w:rPr>
          <w:color w:val="000000" w:themeColor="text1"/>
        </w:rPr>
        <w:t>粪便暂存间应采取防</w:t>
      </w:r>
      <w:r>
        <w:rPr>
          <w:rFonts w:hint="eastAsia"/>
          <w:color w:val="000000" w:themeColor="text1"/>
        </w:rPr>
        <w:t>雨</w:t>
      </w:r>
      <w:r>
        <w:rPr>
          <w:color w:val="000000" w:themeColor="text1"/>
        </w:rPr>
        <w:t>、防</w:t>
      </w:r>
      <w:r>
        <w:rPr>
          <w:rFonts w:hint="eastAsia"/>
          <w:color w:val="000000" w:themeColor="text1"/>
        </w:rPr>
        <w:t>漏</w:t>
      </w:r>
      <w:r>
        <w:rPr>
          <w:color w:val="000000" w:themeColor="text1"/>
        </w:rPr>
        <w:t>、防渗等措施，并应在暂存间</w:t>
      </w:r>
      <w:r>
        <w:rPr>
          <w:rFonts w:hint="eastAsia"/>
          <w:color w:val="000000" w:themeColor="text1"/>
        </w:rPr>
        <w:t>进出</w:t>
      </w:r>
      <w:r>
        <w:rPr>
          <w:color w:val="000000" w:themeColor="text1"/>
        </w:rPr>
        <w:t>口位置设置环保标志牌。</w:t>
      </w:r>
    </w:p>
    <w:p>
      <w:pPr>
        <w:ind w:firstLine="480"/>
        <w:rPr>
          <w:color w:val="000000" w:themeColor="text1"/>
        </w:rPr>
      </w:pPr>
      <w:r>
        <w:rPr>
          <w:color w:val="000000" w:themeColor="text1"/>
        </w:rPr>
        <w:t>项目建成后，应对上述所有污染排放口的名称、位置、数量以及排放污染物名称、数量等内容进行统计，若有危废转移应报批危险废物转移计划报批表并规范填写转移联单，并登记上报当地环保部门，以便进行验收和排放口的规范化管理。</w:t>
      </w:r>
    </w:p>
    <w:p>
      <w:pPr>
        <w:pStyle w:val="38"/>
        <w:ind w:firstLine="281"/>
        <w:rPr>
          <w:color w:val="000000" w:themeColor="text1"/>
        </w:rPr>
      </w:pPr>
      <w:bookmarkStart w:id="365" w:name="_Toc47375931"/>
      <w:r>
        <w:rPr>
          <w:rFonts w:hint="eastAsia"/>
          <w:color w:val="000000" w:themeColor="text1"/>
        </w:rPr>
        <w:t>10.1.4信息公开制度</w:t>
      </w:r>
      <w:bookmarkEnd w:id="365"/>
    </w:p>
    <w:p>
      <w:pPr>
        <w:ind w:firstLine="480"/>
        <w:rPr>
          <w:color w:val="000000" w:themeColor="text1"/>
        </w:rPr>
      </w:pPr>
      <w:r>
        <w:rPr>
          <w:color w:val="000000" w:themeColor="text1"/>
        </w:rPr>
        <w:t>根据《建设项目环境影响评价信息公开机制方案》、《企事业单位环境信息公开办法》中的相关规定，本项目建设单位应当</w:t>
      </w:r>
      <w:r>
        <w:rPr>
          <w:rFonts w:hint="eastAsia"/>
          <w:color w:val="000000" w:themeColor="text1"/>
        </w:rPr>
        <w:t>向</w:t>
      </w:r>
      <w:r>
        <w:rPr>
          <w:color w:val="000000" w:themeColor="text1"/>
        </w:rPr>
        <w:t>社会公开以下信息：</w:t>
      </w:r>
    </w:p>
    <w:p>
      <w:pPr>
        <w:ind w:firstLine="480"/>
        <w:rPr>
          <w:color w:val="000000" w:themeColor="text1"/>
        </w:rPr>
      </w:pPr>
      <w:r>
        <w:rPr>
          <w:color w:val="000000" w:themeColor="text1"/>
        </w:rPr>
        <w:t>（1）基础信息，包括单位名称、组织机构代码、法定代表人、生产地址、联系方式、以及生产经营和管理服务的主要内容、产品及规模。</w:t>
      </w:r>
    </w:p>
    <w:p>
      <w:pPr>
        <w:ind w:firstLine="480"/>
        <w:rPr>
          <w:color w:val="000000" w:themeColor="text1"/>
        </w:rPr>
      </w:pPr>
      <w:r>
        <w:rPr>
          <w:color w:val="000000" w:themeColor="text1"/>
        </w:rPr>
        <w:t>（2）施工期信息，包括施工单位、监理单位的主要信息，施工进度简要信息；</w:t>
      </w:r>
    </w:p>
    <w:p>
      <w:pPr>
        <w:ind w:firstLine="480"/>
        <w:rPr>
          <w:color w:val="000000" w:themeColor="text1"/>
        </w:rPr>
      </w:pPr>
      <w:r>
        <w:rPr>
          <w:color w:val="000000" w:themeColor="text1"/>
        </w:rPr>
        <w:t>（3）排污信息，包括主要污染物的名称、排放方式、排放口数量和分布情况、排放浓度和总量、超标情况，以及执行的污染物排放标准、核定的排放总量；</w:t>
      </w:r>
    </w:p>
    <w:p>
      <w:pPr>
        <w:ind w:firstLine="480"/>
        <w:rPr>
          <w:color w:val="000000" w:themeColor="text1"/>
        </w:rPr>
      </w:pPr>
      <w:r>
        <w:rPr>
          <w:color w:val="000000" w:themeColor="text1"/>
        </w:rPr>
        <w:t>（4）日常监测结果应及时建立档案，对于常规监测数据应及时进行公开；</w:t>
      </w:r>
    </w:p>
    <w:p>
      <w:pPr>
        <w:ind w:firstLine="480"/>
        <w:rPr>
          <w:color w:val="000000" w:themeColor="text1"/>
        </w:rPr>
      </w:pPr>
      <w:r>
        <w:rPr>
          <w:color w:val="000000" w:themeColor="text1"/>
        </w:rPr>
        <w:t>（5）防治污染设施的建设和运行情况；</w:t>
      </w:r>
    </w:p>
    <w:p>
      <w:pPr>
        <w:ind w:firstLine="480"/>
        <w:rPr>
          <w:color w:val="000000" w:themeColor="text1"/>
        </w:rPr>
      </w:pPr>
      <w:r>
        <w:rPr>
          <w:color w:val="000000" w:themeColor="text1"/>
        </w:rPr>
        <w:t>（6）建设项目环境影响评价及其他环境保护行政许可情况；</w:t>
      </w:r>
    </w:p>
    <w:p>
      <w:pPr>
        <w:ind w:firstLine="480"/>
        <w:rPr>
          <w:color w:val="000000" w:themeColor="text1"/>
        </w:rPr>
      </w:pPr>
      <w:r>
        <w:rPr>
          <w:color w:val="000000" w:themeColor="text1"/>
        </w:rPr>
        <w:t>（7）突发环境事件应急预案。</w:t>
      </w:r>
    </w:p>
    <w:p>
      <w:pPr>
        <w:pStyle w:val="3"/>
        <w:rPr>
          <w:color w:val="000000" w:themeColor="text1"/>
        </w:rPr>
      </w:pPr>
      <w:bookmarkStart w:id="366" w:name="_Toc47375932"/>
      <w:bookmarkStart w:id="367" w:name="_Toc530059758"/>
      <w:r>
        <w:rPr>
          <w:color w:val="000000" w:themeColor="text1"/>
        </w:rPr>
        <w:t>1</w:t>
      </w:r>
      <w:r>
        <w:rPr>
          <w:rFonts w:hint="eastAsia"/>
          <w:color w:val="000000" w:themeColor="text1"/>
        </w:rPr>
        <w:t>0</w:t>
      </w:r>
      <w:r>
        <w:rPr>
          <w:color w:val="000000" w:themeColor="text1"/>
        </w:rPr>
        <w:t>.2</w:t>
      </w:r>
      <w:r>
        <w:rPr>
          <w:rFonts w:hint="eastAsia"/>
          <w:color w:val="000000" w:themeColor="text1"/>
        </w:rPr>
        <w:t>环境监理</w:t>
      </w:r>
      <w:bookmarkEnd w:id="360"/>
      <w:bookmarkEnd w:id="361"/>
      <w:bookmarkEnd w:id="362"/>
      <w:bookmarkEnd w:id="366"/>
      <w:bookmarkEnd w:id="367"/>
    </w:p>
    <w:p>
      <w:pPr>
        <w:pStyle w:val="38"/>
        <w:ind w:firstLine="281"/>
        <w:rPr>
          <w:color w:val="000000" w:themeColor="text1"/>
        </w:rPr>
      </w:pPr>
      <w:bookmarkStart w:id="368" w:name="_Toc47375933"/>
      <w:bookmarkStart w:id="369" w:name="_Toc530059759"/>
      <w:bookmarkStart w:id="370" w:name="_Toc387938483"/>
      <w:bookmarkStart w:id="371" w:name="_Toc229976878"/>
      <w:bookmarkStart w:id="372" w:name="_Toc388604184"/>
      <w:r>
        <w:rPr>
          <w:color w:val="000000" w:themeColor="text1"/>
        </w:rPr>
        <w:t>1</w:t>
      </w:r>
      <w:r>
        <w:rPr>
          <w:rFonts w:hint="eastAsia"/>
          <w:color w:val="000000" w:themeColor="text1"/>
        </w:rPr>
        <w:t>0</w:t>
      </w:r>
      <w:r>
        <w:rPr>
          <w:color w:val="000000" w:themeColor="text1"/>
        </w:rPr>
        <w:t>.2.1</w:t>
      </w:r>
      <w:r>
        <w:rPr>
          <w:rFonts w:hint="eastAsia"/>
          <w:color w:val="000000" w:themeColor="text1"/>
        </w:rPr>
        <w:t>环境监理目的</w:t>
      </w:r>
      <w:bookmarkEnd w:id="368"/>
      <w:bookmarkEnd w:id="369"/>
      <w:bookmarkEnd w:id="370"/>
      <w:bookmarkEnd w:id="371"/>
      <w:bookmarkEnd w:id="372"/>
    </w:p>
    <w:p>
      <w:pPr>
        <w:ind w:firstLine="480"/>
        <w:rPr>
          <w:color w:val="000000" w:themeColor="text1"/>
          <w:szCs w:val="24"/>
        </w:rPr>
      </w:pPr>
      <w:r>
        <w:rPr>
          <w:rFonts w:hint="eastAsia"/>
          <w:color w:val="000000" w:themeColor="text1"/>
        </w:rPr>
        <w:t>环境监理目的是按照新的环保要求，在本项目施工期和运营期，应根据环境保护设计要求开展环境监理。全面监督和检查环境保护措施的实施情况，及时处理和解决临时出现的环境污染问题，确保项目环境影响报告书中提出的环境保护措施得到落实。</w:t>
      </w:r>
    </w:p>
    <w:p>
      <w:pPr>
        <w:pStyle w:val="38"/>
        <w:ind w:firstLine="281"/>
        <w:rPr>
          <w:color w:val="000000" w:themeColor="text1"/>
        </w:rPr>
      </w:pPr>
      <w:bookmarkStart w:id="373" w:name="_Toc387938484"/>
      <w:bookmarkStart w:id="374" w:name="_Toc388604185"/>
      <w:bookmarkStart w:id="375" w:name="_Toc229976879"/>
      <w:bookmarkStart w:id="376" w:name="_Toc530059760"/>
      <w:bookmarkStart w:id="377" w:name="_Toc47375934"/>
      <w:r>
        <w:rPr>
          <w:color w:val="000000" w:themeColor="text1"/>
        </w:rPr>
        <w:t>1</w:t>
      </w:r>
      <w:r>
        <w:rPr>
          <w:rFonts w:hint="eastAsia"/>
          <w:color w:val="000000" w:themeColor="text1"/>
        </w:rPr>
        <w:t>0</w:t>
      </w:r>
      <w:r>
        <w:rPr>
          <w:color w:val="000000" w:themeColor="text1"/>
        </w:rPr>
        <w:t>.2.2</w:t>
      </w:r>
      <w:r>
        <w:rPr>
          <w:rFonts w:hint="eastAsia"/>
          <w:color w:val="000000" w:themeColor="text1"/>
        </w:rPr>
        <w:t>监理机构</w:t>
      </w:r>
      <w:bookmarkEnd w:id="373"/>
      <w:bookmarkEnd w:id="374"/>
      <w:bookmarkEnd w:id="375"/>
      <w:bookmarkEnd w:id="376"/>
      <w:bookmarkEnd w:id="377"/>
    </w:p>
    <w:p>
      <w:pPr>
        <w:ind w:firstLine="480"/>
        <w:rPr>
          <w:color w:val="000000" w:themeColor="text1"/>
          <w:szCs w:val="24"/>
        </w:rPr>
      </w:pPr>
      <w:r>
        <w:rPr>
          <w:rFonts w:hint="eastAsia"/>
          <w:color w:val="000000" w:themeColor="text1"/>
        </w:rPr>
        <w:t>应委托具有环境工程监理资格的单位承担。</w:t>
      </w:r>
    </w:p>
    <w:p>
      <w:pPr>
        <w:pStyle w:val="38"/>
        <w:ind w:firstLine="281"/>
        <w:rPr>
          <w:color w:val="000000" w:themeColor="text1"/>
        </w:rPr>
      </w:pPr>
      <w:bookmarkStart w:id="378" w:name="_Toc530059761"/>
      <w:bookmarkStart w:id="379" w:name="_Toc47375935"/>
      <w:bookmarkStart w:id="380" w:name="_Toc229976880"/>
      <w:bookmarkStart w:id="381" w:name="_Toc388604186"/>
      <w:bookmarkStart w:id="382" w:name="_Toc387938485"/>
      <w:r>
        <w:rPr>
          <w:color w:val="000000" w:themeColor="text1"/>
        </w:rPr>
        <w:t>1</w:t>
      </w:r>
      <w:r>
        <w:rPr>
          <w:rFonts w:hint="eastAsia"/>
          <w:color w:val="000000" w:themeColor="text1"/>
        </w:rPr>
        <w:t>0</w:t>
      </w:r>
      <w:r>
        <w:rPr>
          <w:color w:val="000000" w:themeColor="text1"/>
        </w:rPr>
        <w:t>.2.3</w:t>
      </w:r>
      <w:r>
        <w:rPr>
          <w:rFonts w:hint="eastAsia"/>
          <w:color w:val="000000" w:themeColor="text1"/>
        </w:rPr>
        <w:t>环境监理内容</w:t>
      </w:r>
      <w:bookmarkEnd w:id="378"/>
      <w:bookmarkEnd w:id="379"/>
      <w:bookmarkEnd w:id="380"/>
      <w:bookmarkEnd w:id="381"/>
      <w:bookmarkEnd w:id="382"/>
    </w:p>
    <w:p>
      <w:pPr>
        <w:ind w:firstLine="480"/>
        <w:rPr>
          <w:color w:val="000000" w:themeColor="text1"/>
        </w:rPr>
      </w:pPr>
      <w:r>
        <w:rPr>
          <w:rFonts w:hint="eastAsia"/>
          <w:color w:val="000000" w:themeColor="text1"/>
        </w:rPr>
        <w:t>遵循国家及当地政府关于环境保护的方针、政策、法令、法规，监督承包商落实与建设单位签订的工程承包合同中有关环保的条款。应在项目进行施工工程监理的同时，将项目的环境监理纳入工程监理之中。本项目制定了环境监理计划如表</w:t>
      </w:r>
      <w:r>
        <w:rPr>
          <w:color w:val="000000" w:themeColor="text1"/>
        </w:rPr>
        <w:t>1</w:t>
      </w:r>
      <w:r>
        <w:rPr>
          <w:rFonts w:hint="eastAsia"/>
          <w:color w:val="000000" w:themeColor="text1"/>
        </w:rPr>
        <w:t>0</w:t>
      </w:r>
      <w:r>
        <w:rPr>
          <w:color w:val="000000" w:themeColor="text1"/>
        </w:rPr>
        <w:t>.2</w:t>
      </w:r>
      <w:r>
        <w:rPr>
          <w:rFonts w:hint="eastAsia"/>
          <w:color w:val="000000" w:themeColor="text1"/>
        </w:rPr>
        <w:t>.3</w:t>
      </w:r>
      <w:r>
        <w:rPr>
          <w:color w:val="000000" w:themeColor="text1"/>
        </w:rPr>
        <w:t>-1</w:t>
      </w:r>
      <w:r>
        <w:rPr>
          <w:rFonts w:hint="eastAsia"/>
          <w:color w:val="000000" w:themeColor="text1"/>
        </w:rPr>
        <w:t>。</w:t>
      </w:r>
    </w:p>
    <w:p>
      <w:pPr>
        <w:pStyle w:val="54"/>
        <w:rPr>
          <w:color w:val="000000" w:themeColor="text1"/>
          <w:szCs w:val="24"/>
        </w:rPr>
      </w:pPr>
      <w:r>
        <w:rPr>
          <w:rFonts w:hint="eastAsia"/>
          <w:color w:val="000000" w:themeColor="text1"/>
        </w:rPr>
        <w:t>表</w:t>
      </w:r>
      <w:r>
        <w:rPr>
          <w:color w:val="000000" w:themeColor="text1"/>
        </w:rPr>
        <w:t>1</w:t>
      </w:r>
      <w:r>
        <w:rPr>
          <w:rFonts w:hint="eastAsia"/>
          <w:color w:val="000000" w:themeColor="text1"/>
        </w:rPr>
        <w:t>0</w:t>
      </w:r>
      <w:r>
        <w:rPr>
          <w:color w:val="000000" w:themeColor="text1"/>
        </w:rPr>
        <w:t>.2</w:t>
      </w:r>
      <w:r>
        <w:rPr>
          <w:rFonts w:hint="eastAsia"/>
          <w:color w:val="000000" w:themeColor="text1"/>
        </w:rPr>
        <w:t>.3</w:t>
      </w:r>
      <w:r>
        <w:rPr>
          <w:color w:val="000000" w:themeColor="text1"/>
        </w:rPr>
        <w:t>-1</w:t>
      </w:r>
      <w:r>
        <w:rPr>
          <w:rFonts w:hint="eastAsia"/>
          <w:color w:val="000000" w:themeColor="text1"/>
        </w:rPr>
        <w:t xml:space="preserve">   环境监理计划</w:t>
      </w:r>
    </w:p>
    <w:tbl>
      <w:tblPr>
        <w:tblStyle w:val="42"/>
        <w:tblW w:w="841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1236"/>
        <w:gridCol w:w="1560"/>
        <w:gridCol w:w="458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监理阶段</w:t>
            </w:r>
          </w:p>
        </w:tc>
        <w:tc>
          <w:tcPr>
            <w:tcW w:w="123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责任人</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监督单位</w:t>
            </w:r>
          </w:p>
        </w:tc>
        <w:tc>
          <w:tcPr>
            <w:tcW w:w="458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监理内容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5" w:hRule="atLeast"/>
          <w:jc w:val="center"/>
        </w:trPr>
        <w:tc>
          <w:tcPr>
            <w:tcW w:w="103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施工阶段</w:t>
            </w:r>
          </w:p>
        </w:tc>
        <w:tc>
          <w:tcPr>
            <w:tcW w:w="123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建设单位聘请的环境监理人员</w:t>
            </w:r>
          </w:p>
        </w:tc>
        <w:tc>
          <w:tcPr>
            <w:tcW w:w="15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文山州生态环境局砚山分局</w:t>
            </w:r>
          </w:p>
        </w:tc>
        <w:tc>
          <w:tcPr>
            <w:tcW w:w="4586" w:type="dxa"/>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szCs w:val="24"/>
              </w:rPr>
            </w:pPr>
            <w:r>
              <w:rPr>
                <w:color w:val="000000" w:themeColor="text1"/>
              </w:rPr>
              <w:t>1</w:t>
            </w:r>
            <w:r>
              <w:rPr>
                <w:rFonts w:hint="eastAsia"/>
                <w:color w:val="000000" w:themeColor="text1"/>
              </w:rPr>
              <w:t>、制定环境监理计划，拟定项目施工期环境监理的项目和内容，并进行监理；</w:t>
            </w:r>
          </w:p>
          <w:p>
            <w:pPr>
              <w:pStyle w:val="55"/>
              <w:rPr>
                <w:color w:val="000000" w:themeColor="text1"/>
              </w:rPr>
            </w:pPr>
            <w:r>
              <w:rPr>
                <w:color w:val="000000" w:themeColor="text1"/>
              </w:rPr>
              <w:t>2</w:t>
            </w:r>
            <w:r>
              <w:rPr>
                <w:rFonts w:hint="eastAsia"/>
                <w:color w:val="000000" w:themeColor="text1"/>
              </w:rPr>
              <w:t>、对承包商施工进行监理，防止和减轻施工作业引起的环境污染。</w:t>
            </w:r>
          </w:p>
          <w:p>
            <w:pPr>
              <w:pStyle w:val="55"/>
              <w:rPr>
                <w:color w:val="000000" w:themeColor="text1"/>
              </w:rPr>
            </w:pPr>
            <w:r>
              <w:rPr>
                <w:color w:val="000000" w:themeColor="text1"/>
              </w:rPr>
              <w:t>3</w:t>
            </w:r>
            <w:r>
              <w:rPr>
                <w:rFonts w:hint="eastAsia"/>
                <w:color w:val="000000" w:themeColor="text1"/>
              </w:rPr>
              <w:t>、全面监督和检查各施工阶段环境保护措施实施情况和实际效果，及时处理和解决临时出现的环境污染事件。</w:t>
            </w:r>
          </w:p>
          <w:p>
            <w:pPr>
              <w:pStyle w:val="55"/>
              <w:rPr>
                <w:color w:val="000000" w:themeColor="text1"/>
              </w:rPr>
            </w:pPr>
            <w:r>
              <w:rPr>
                <w:color w:val="000000" w:themeColor="text1"/>
              </w:rPr>
              <w:t>4</w:t>
            </w:r>
            <w:r>
              <w:rPr>
                <w:rFonts w:hint="eastAsia"/>
                <w:color w:val="000000" w:themeColor="text1"/>
              </w:rPr>
              <w:t>、落实环境监测的实施，审核有关环境监测报表，根据地表水水质、大气、噪声等监测结果，对本项目施工及管理提出相应要求，尽量减少工程施工给环境带来的不利影响。</w:t>
            </w:r>
          </w:p>
          <w:p>
            <w:pPr>
              <w:pStyle w:val="55"/>
              <w:rPr>
                <w:color w:val="000000" w:themeColor="text1"/>
                <w:szCs w:val="24"/>
              </w:rPr>
            </w:pPr>
            <w:r>
              <w:rPr>
                <w:color w:val="000000" w:themeColor="text1"/>
              </w:rPr>
              <w:t>5</w:t>
            </w:r>
            <w:r>
              <w:rPr>
                <w:rFonts w:hint="eastAsia"/>
                <w:color w:val="000000" w:themeColor="text1"/>
              </w:rPr>
              <w:t>、在日常工作中作好监理记录及监理报告，参与竣工验收。</w:t>
            </w:r>
          </w:p>
        </w:tc>
      </w:tr>
    </w:tbl>
    <w:p>
      <w:pPr>
        <w:ind w:firstLine="480"/>
        <w:rPr>
          <w:rFonts w:cs="Times New Roman"/>
          <w:color w:val="000000" w:themeColor="text1"/>
        </w:rPr>
      </w:pPr>
      <w:r>
        <w:rPr>
          <w:rFonts w:hint="eastAsia"/>
          <w:color w:val="000000" w:themeColor="text1"/>
        </w:rPr>
        <w:t>本评价通过评审后，建设项目必须按照本评价的要求补充相应的环保设施和环保投资，并按照国家有关标准和规范自主进行环保验收后，才能运营。</w:t>
      </w:r>
    </w:p>
    <w:bookmarkEnd w:id="363"/>
    <w:p>
      <w:pPr>
        <w:pStyle w:val="3"/>
        <w:rPr>
          <w:color w:val="000000" w:themeColor="text1"/>
          <w:sz w:val="32"/>
        </w:rPr>
      </w:pPr>
      <w:bookmarkStart w:id="383" w:name="_Toc530059762"/>
      <w:bookmarkStart w:id="384" w:name="_Toc229976881"/>
      <w:bookmarkStart w:id="385" w:name="_Toc388604187"/>
      <w:bookmarkStart w:id="386" w:name="_Toc47375936"/>
      <w:bookmarkStart w:id="387" w:name="_Toc387938486"/>
      <w:r>
        <w:rPr>
          <w:color w:val="000000" w:themeColor="text1"/>
        </w:rPr>
        <w:t>1</w:t>
      </w:r>
      <w:r>
        <w:rPr>
          <w:rFonts w:hint="eastAsia"/>
          <w:color w:val="000000" w:themeColor="text1"/>
        </w:rPr>
        <w:t>0</w:t>
      </w:r>
      <w:r>
        <w:rPr>
          <w:color w:val="000000" w:themeColor="text1"/>
        </w:rPr>
        <w:t>.3</w:t>
      </w:r>
      <w:r>
        <w:rPr>
          <w:rFonts w:hint="eastAsia"/>
          <w:color w:val="000000" w:themeColor="text1"/>
        </w:rPr>
        <w:t>环境监测</w:t>
      </w:r>
      <w:bookmarkEnd w:id="383"/>
      <w:bookmarkEnd w:id="384"/>
      <w:bookmarkEnd w:id="385"/>
      <w:bookmarkEnd w:id="386"/>
      <w:bookmarkEnd w:id="387"/>
    </w:p>
    <w:p>
      <w:pPr>
        <w:pStyle w:val="38"/>
        <w:ind w:firstLine="281"/>
        <w:rPr>
          <w:color w:val="000000" w:themeColor="text1"/>
        </w:rPr>
      </w:pPr>
      <w:bookmarkStart w:id="388" w:name="_Toc388604188"/>
      <w:bookmarkStart w:id="389" w:name="_Toc229976882"/>
      <w:bookmarkStart w:id="390" w:name="_Toc530059763"/>
      <w:bookmarkStart w:id="391" w:name="_Toc387938487"/>
      <w:bookmarkStart w:id="392" w:name="_Toc47375937"/>
      <w:bookmarkStart w:id="393" w:name="_Toc143085504"/>
      <w:r>
        <w:rPr>
          <w:color w:val="000000" w:themeColor="text1"/>
        </w:rPr>
        <w:t>1</w:t>
      </w:r>
      <w:r>
        <w:rPr>
          <w:rFonts w:hint="eastAsia"/>
          <w:color w:val="000000" w:themeColor="text1"/>
        </w:rPr>
        <w:t>0</w:t>
      </w:r>
      <w:r>
        <w:rPr>
          <w:color w:val="000000" w:themeColor="text1"/>
        </w:rPr>
        <w:t>.3.1</w:t>
      </w:r>
      <w:r>
        <w:rPr>
          <w:rFonts w:hint="eastAsia"/>
          <w:color w:val="000000" w:themeColor="text1"/>
        </w:rPr>
        <w:t>监测目的及监测机构</w:t>
      </w:r>
      <w:bookmarkEnd w:id="388"/>
      <w:bookmarkEnd w:id="389"/>
      <w:bookmarkEnd w:id="390"/>
      <w:bookmarkEnd w:id="391"/>
      <w:bookmarkEnd w:id="392"/>
    </w:p>
    <w:p>
      <w:pPr>
        <w:ind w:firstLine="480"/>
        <w:rPr>
          <w:color w:val="000000" w:themeColor="text1"/>
          <w:szCs w:val="24"/>
        </w:rPr>
      </w:pPr>
      <w:r>
        <w:rPr>
          <w:rFonts w:hint="eastAsia"/>
          <w:color w:val="000000" w:themeColor="text1"/>
        </w:rPr>
        <w:t>环境监测是项目环境管理工作的重要部分，只有通过监测才能够客观准确的评估环境影响的危害，掌握环境质量及其变化趋势，预测项目施工及营运中的不利因素。环境监测有利于项目的开发进度和正常生产，减轻环境问题对公众生存环境带来的威胁，避免因项目开发带来新的环境问题，为施工期和运营期的环境保护及污染物控制、环境监理和环境管理提供科学依据。项目外环境的监测可以检验项目管理和治理的改进程度，也是环境保护管理部门对项目环保工作的重要监控手段。</w:t>
      </w:r>
    </w:p>
    <w:p>
      <w:pPr>
        <w:ind w:firstLine="480"/>
        <w:rPr>
          <w:color w:val="000000" w:themeColor="text1"/>
        </w:rPr>
      </w:pPr>
      <w:r>
        <w:rPr>
          <w:rFonts w:hint="eastAsia"/>
          <w:color w:val="000000" w:themeColor="text1"/>
        </w:rPr>
        <w:t>环境监测任务由建设单位管理部门组织实施。环境监测不设专用监测站，委托有资质的单位进行监测。</w:t>
      </w:r>
    </w:p>
    <w:p>
      <w:pPr>
        <w:pStyle w:val="38"/>
        <w:ind w:firstLine="281"/>
        <w:rPr>
          <w:color w:val="000000" w:themeColor="text1"/>
        </w:rPr>
      </w:pPr>
      <w:bookmarkStart w:id="394" w:name="_Toc387938488"/>
      <w:bookmarkStart w:id="395" w:name="_Toc388604189"/>
      <w:bookmarkStart w:id="396" w:name="_Toc47375938"/>
      <w:bookmarkStart w:id="397" w:name="_Toc229976883"/>
      <w:bookmarkStart w:id="398" w:name="_Toc530059764"/>
      <w:r>
        <w:rPr>
          <w:color w:val="000000" w:themeColor="text1"/>
        </w:rPr>
        <w:t>1</w:t>
      </w:r>
      <w:r>
        <w:rPr>
          <w:rFonts w:hint="eastAsia"/>
          <w:color w:val="000000" w:themeColor="text1"/>
        </w:rPr>
        <w:t>0</w:t>
      </w:r>
      <w:r>
        <w:rPr>
          <w:color w:val="000000" w:themeColor="text1"/>
        </w:rPr>
        <w:t>.3.2</w:t>
      </w:r>
      <w:r>
        <w:rPr>
          <w:rFonts w:hint="eastAsia"/>
          <w:color w:val="000000" w:themeColor="text1"/>
        </w:rPr>
        <w:t>监测内容及计划</w:t>
      </w:r>
      <w:bookmarkEnd w:id="394"/>
      <w:bookmarkEnd w:id="395"/>
      <w:bookmarkEnd w:id="396"/>
      <w:bookmarkEnd w:id="397"/>
      <w:bookmarkEnd w:id="398"/>
    </w:p>
    <w:bookmarkEnd w:id="393"/>
    <w:p>
      <w:pPr>
        <w:ind w:firstLine="480"/>
        <w:rPr>
          <w:color w:val="000000" w:themeColor="text1"/>
        </w:rPr>
      </w:pPr>
      <w:bookmarkStart w:id="399" w:name="_Toc387938490"/>
      <w:bookmarkStart w:id="400" w:name="_Toc229976884"/>
      <w:bookmarkStart w:id="401" w:name="_Toc388604190"/>
      <w:r>
        <w:rPr>
          <w:rFonts w:hint="eastAsia"/>
          <w:color w:val="000000" w:themeColor="text1"/>
        </w:rPr>
        <w:t>项目所有环保设施均应与主体工程同时设计、同时施工、同时投产，为便于项目建设完成后进行项目竣工环保验收监测，本报告提出项目竣工环保验收监测基本内容详见表</w:t>
      </w:r>
      <w:r>
        <w:rPr>
          <w:color w:val="000000" w:themeColor="text1"/>
        </w:rPr>
        <w:t>1</w:t>
      </w:r>
      <w:r>
        <w:rPr>
          <w:rFonts w:hint="eastAsia"/>
          <w:color w:val="000000" w:themeColor="text1"/>
        </w:rPr>
        <w:t>0</w:t>
      </w:r>
      <w:r>
        <w:rPr>
          <w:color w:val="000000" w:themeColor="text1"/>
        </w:rPr>
        <w:t>.3</w:t>
      </w:r>
      <w:r>
        <w:rPr>
          <w:rFonts w:hint="eastAsia"/>
          <w:color w:val="000000" w:themeColor="text1"/>
        </w:rPr>
        <w:t>.2</w:t>
      </w:r>
      <w:r>
        <w:rPr>
          <w:color w:val="000000" w:themeColor="text1"/>
        </w:rPr>
        <w:t>-1</w:t>
      </w:r>
      <w:r>
        <w:rPr>
          <w:rFonts w:hint="eastAsia"/>
          <w:color w:val="000000" w:themeColor="text1"/>
        </w:rPr>
        <w:t>，具体验收项目应根据验收时国家的各类标准要求进行补充和调整；本项目建成后，对周围环境有影响的主要为运营期产生的废气、废水和噪声，为了防止污染事故发生，并为环境管理提供依据。主要为废气、废水及噪声监测。具体监测计划见表</w:t>
      </w:r>
      <w:r>
        <w:rPr>
          <w:color w:val="000000" w:themeColor="text1"/>
        </w:rPr>
        <w:t>1</w:t>
      </w:r>
      <w:r>
        <w:rPr>
          <w:rFonts w:hint="eastAsia"/>
          <w:color w:val="000000" w:themeColor="text1"/>
        </w:rPr>
        <w:t>0</w:t>
      </w:r>
      <w:r>
        <w:rPr>
          <w:color w:val="000000" w:themeColor="text1"/>
        </w:rPr>
        <w:t>.3</w:t>
      </w:r>
      <w:r>
        <w:rPr>
          <w:rFonts w:hint="eastAsia"/>
          <w:color w:val="000000" w:themeColor="text1"/>
        </w:rPr>
        <w:t>.2</w:t>
      </w:r>
      <w:r>
        <w:rPr>
          <w:color w:val="000000" w:themeColor="text1"/>
        </w:rPr>
        <w:t>-2</w:t>
      </w:r>
      <w:r>
        <w:rPr>
          <w:rFonts w:hint="eastAsia"/>
          <w:color w:val="000000" w:themeColor="text1"/>
        </w:rPr>
        <w:t>。</w:t>
      </w:r>
    </w:p>
    <w:p>
      <w:pPr>
        <w:pStyle w:val="54"/>
        <w:rPr>
          <w:color w:val="000000" w:themeColor="text1"/>
        </w:rPr>
      </w:pPr>
      <w:r>
        <w:rPr>
          <w:rFonts w:hint="eastAsia"/>
          <w:color w:val="000000" w:themeColor="text1"/>
        </w:rPr>
        <w:t>表</w:t>
      </w:r>
      <w:r>
        <w:rPr>
          <w:color w:val="000000" w:themeColor="text1"/>
        </w:rPr>
        <w:t>1</w:t>
      </w:r>
      <w:r>
        <w:rPr>
          <w:rFonts w:hint="eastAsia"/>
          <w:color w:val="000000" w:themeColor="text1"/>
        </w:rPr>
        <w:t>0</w:t>
      </w:r>
      <w:r>
        <w:rPr>
          <w:color w:val="000000" w:themeColor="text1"/>
        </w:rPr>
        <w:t>.3</w:t>
      </w:r>
      <w:r>
        <w:rPr>
          <w:rFonts w:hint="eastAsia"/>
          <w:color w:val="000000" w:themeColor="text1"/>
        </w:rPr>
        <w:t>.2</w:t>
      </w:r>
      <w:r>
        <w:rPr>
          <w:color w:val="000000" w:themeColor="text1"/>
        </w:rPr>
        <w:t xml:space="preserve">-1   </w:t>
      </w:r>
      <w:r>
        <w:rPr>
          <w:rFonts w:hint="eastAsia"/>
          <w:color w:val="000000" w:themeColor="text1"/>
        </w:rPr>
        <w:t>环保竣工验收监测计划一览表</w:t>
      </w:r>
    </w:p>
    <w:tbl>
      <w:tblPr>
        <w:tblStyle w:val="42"/>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934"/>
        <w:gridCol w:w="1946"/>
        <w:gridCol w:w="2435"/>
        <w:gridCol w:w="1205"/>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180" w:type="dxa"/>
            <w:gridSpan w:val="7"/>
            <w:tcBorders>
              <w:top w:val="single" w:color="auto" w:sz="4" w:space="0"/>
              <w:left w:val="single" w:color="auto" w:sz="4" w:space="0"/>
              <w:bottom w:val="single" w:color="auto" w:sz="4" w:space="0"/>
              <w:right w:val="single" w:color="auto" w:sz="4" w:space="0"/>
            </w:tcBorders>
            <w:vAlign w:val="center"/>
          </w:tcPr>
          <w:p>
            <w:pPr>
              <w:pStyle w:val="55"/>
              <w:rPr>
                <w:b/>
                <w:color w:val="000000" w:themeColor="text1"/>
              </w:rPr>
            </w:pPr>
            <w:r>
              <w:rPr>
                <w:rFonts w:hint="eastAsia"/>
                <w:b/>
                <w:color w:val="000000" w:themeColor="text1"/>
              </w:rPr>
              <w:t>污染物监测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26"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内容</w:t>
            </w:r>
          </w:p>
        </w:tc>
        <w:tc>
          <w:tcPr>
            <w:tcW w:w="194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监测点位</w:t>
            </w:r>
          </w:p>
        </w:tc>
        <w:tc>
          <w:tcPr>
            <w:tcW w:w="243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监测因子</w:t>
            </w:r>
          </w:p>
        </w:tc>
        <w:tc>
          <w:tcPr>
            <w:tcW w:w="12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实施机构</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负责机构</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监督机构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2"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废气</w:t>
            </w:r>
          </w:p>
        </w:tc>
        <w:tc>
          <w:tcPr>
            <w:tcW w:w="934"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有组织排放源</w:t>
            </w:r>
          </w:p>
        </w:tc>
        <w:tc>
          <w:tcPr>
            <w:tcW w:w="194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生物质锅炉排气筒进出口</w:t>
            </w:r>
          </w:p>
        </w:tc>
        <w:tc>
          <w:tcPr>
            <w:tcW w:w="243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颗粒物、</w:t>
            </w:r>
            <w:r>
              <w:rPr>
                <w:color w:val="000000" w:themeColor="text1"/>
              </w:rPr>
              <w:t>SO</w:t>
            </w:r>
            <w:r>
              <w:rPr>
                <w:color w:val="000000" w:themeColor="text1"/>
                <w:vertAlign w:val="subscript"/>
              </w:rPr>
              <w:t>2</w:t>
            </w:r>
            <w:r>
              <w:rPr>
                <w:rFonts w:hint="eastAsia"/>
                <w:color w:val="000000" w:themeColor="text1"/>
              </w:rPr>
              <w:t>、</w:t>
            </w:r>
            <w:r>
              <w:rPr>
                <w:color w:val="000000" w:themeColor="text1"/>
              </w:rPr>
              <w:t>NO</w:t>
            </w:r>
            <w:r>
              <w:rPr>
                <w:color w:val="000000" w:themeColor="text1"/>
                <w:vertAlign w:val="subscript"/>
              </w:rPr>
              <w:t>x</w:t>
            </w:r>
          </w:p>
        </w:tc>
        <w:tc>
          <w:tcPr>
            <w:tcW w:w="1205"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委托具有资质的环境监测单位</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建设方</w:t>
            </w:r>
          </w:p>
        </w:tc>
        <w:tc>
          <w:tcPr>
            <w:tcW w:w="1134"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color w:val="000000" w:themeColor="text1"/>
              </w:rPr>
              <w:t>文山州生态环境局砚山分局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934"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94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焚烧炉排气筒进出口</w:t>
            </w:r>
          </w:p>
        </w:tc>
        <w:tc>
          <w:tcPr>
            <w:tcW w:w="243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颗粒物、</w:t>
            </w:r>
            <w:r>
              <w:rPr>
                <w:color w:val="000000" w:themeColor="text1"/>
              </w:rPr>
              <w:t>SO</w:t>
            </w:r>
            <w:r>
              <w:rPr>
                <w:color w:val="000000" w:themeColor="text1"/>
                <w:vertAlign w:val="subscript"/>
              </w:rPr>
              <w:t>2</w:t>
            </w:r>
            <w:r>
              <w:rPr>
                <w:rFonts w:hint="eastAsia"/>
                <w:color w:val="000000" w:themeColor="text1"/>
              </w:rPr>
              <w:t>、</w:t>
            </w:r>
            <w:r>
              <w:rPr>
                <w:color w:val="000000" w:themeColor="text1"/>
              </w:rPr>
              <w:t>NO</w:t>
            </w:r>
            <w:r>
              <w:rPr>
                <w:color w:val="000000" w:themeColor="text1"/>
                <w:vertAlign w:val="subscript"/>
              </w:rPr>
              <w:t>x</w:t>
            </w:r>
          </w:p>
        </w:tc>
        <w:tc>
          <w:tcPr>
            <w:tcW w:w="1205"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134" w:type="dxa"/>
            <w:vMerge w:val="continue"/>
            <w:tcBorders>
              <w:left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2"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9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无组织排放源</w:t>
            </w:r>
          </w:p>
        </w:tc>
        <w:tc>
          <w:tcPr>
            <w:tcW w:w="194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上风向</w:t>
            </w:r>
            <w:r>
              <w:rPr>
                <w:color w:val="000000" w:themeColor="text1"/>
              </w:rPr>
              <w:t>1</w:t>
            </w:r>
            <w:r>
              <w:rPr>
                <w:rFonts w:hint="eastAsia"/>
                <w:color w:val="000000" w:themeColor="text1"/>
              </w:rPr>
              <w:t>个，下风向</w:t>
            </w:r>
            <w:r>
              <w:rPr>
                <w:color w:val="000000" w:themeColor="text1"/>
              </w:rPr>
              <w:t>3</w:t>
            </w:r>
            <w:r>
              <w:rPr>
                <w:rFonts w:hint="eastAsia"/>
                <w:color w:val="000000" w:themeColor="text1"/>
              </w:rPr>
              <w:t>个</w:t>
            </w:r>
          </w:p>
        </w:tc>
        <w:tc>
          <w:tcPr>
            <w:tcW w:w="243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颗粒物、</w:t>
            </w:r>
            <w:r>
              <w:rPr>
                <w:color w:val="000000" w:themeColor="text1"/>
              </w:rPr>
              <w:t>NH</w:t>
            </w:r>
            <w:r>
              <w:rPr>
                <w:color w:val="000000" w:themeColor="text1"/>
                <w:vertAlign w:val="subscript"/>
              </w:rPr>
              <w:t>3</w:t>
            </w:r>
            <w:r>
              <w:rPr>
                <w:rFonts w:hint="eastAsia"/>
                <w:color w:val="000000" w:themeColor="text1"/>
              </w:rPr>
              <w:t>、</w:t>
            </w:r>
            <w:r>
              <w:rPr>
                <w:color w:val="000000" w:themeColor="text1"/>
              </w:rPr>
              <w:t>H</w:t>
            </w:r>
            <w:r>
              <w:rPr>
                <w:color w:val="000000" w:themeColor="text1"/>
                <w:vertAlign w:val="subscript"/>
              </w:rPr>
              <w:t>2</w:t>
            </w:r>
            <w:r>
              <w:rPr>
                <w:color w:val="000000" w:themeColor="text1"/>
              </w:rPr>
              <w:t>S</w:t>
            </w:r>
            <w:r>
              <w:rPr>
                <w:rFonts w:hint="eastAsia"/>
                <w:color w:val="000000" w:themeColor="text1"/>
              </w:rPr>
              <w:t>、</w:t>
            </w:r>
            <w:r>
              <w:rPr>
                <w:color w:val="000000" w:themeColor="text1"/>
              </w:rPr>
              <w:t>臭气浓度</w:t>
            </w:r>
          </w:p>
        </w:tc>
        <w:tc>
          <w:tcPr>
            <w:tcW w:w="1205"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建设方</w:t>
            </w:r>
          </w:p>
        </w:tc>
        <w:tc>
          <w:tcPr>
            <w:tcW w:w="1134" w:type="dxa"/>
            <w:vMerge w:val="continue"/>
            <w:tcBorders>
              <w:left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26"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废水</w:t>
            </w:r>
          </w:p>
        </w:tc>
        <w:tc>
          <w:tcPr>
            <w:tcW w:w="194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污水处理站进水口和出水口</w:t>
            </w:r>
          </w:p>
        </w:tc>
        <w:tc>
          <w:tcPr>
            <w:tcW w:w="243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流量、</w:t>
            </w:r>
            <w:r>
              <w:rPr>
                <w:color w:val="000000" w:themeColor="text1"/>
              </w:rPr>
              <w:t>pH</w:t>
            </w:r>
            <w:r>
              <w:rPr>
                <w:rFonts w:hint="eastAsia"/>
                <w:color w:val="000000" w:themeColor="text1"/>
              </w:rPr>
              <w:t>、</w:t>
            </w:r>
            <w:r>
              <w:rPr>
                <w:color w:val="000000" w:themeColor="text1"/>
              </w:rPr>
              <w:t>SS</w:t>
            </w:r>
            <w:r>
              <w:rPr>
                <w:rFonts w:hint="eastAsia"/>
                <w:color w:val="000000" w:themeColor="text1"/>
              </w:rPr>
              <w:t>、</w:t>
            </w:r>
            <w:r>
              <w:rPr>
                <w:color w:val="000000" w:themeColor="text1"/>
              </w:rPr>
              <w:t>COD</w:t>
            </w:r>
            <w:r>
              <w:rPr>
                <w:rFonts w:hint="eastAsia"/>
                <w:color w:val="000000" w:themeColor="text1"/>
              </w:rPr>
              <w:t>、</w:t>
            </w:r>
            <w:r>
              <w:rPr>
                <w:color w:val="000000" w:themeColor="text1"/>
              </w:rPr>
              <w:t>BOD</w:t>
            </w:r>
            <w:r>
              <w:rPr>
                <w:color w:val="000000" w:themeColor="text1"/>
                <w:vertAlign w:val="subscript"/>
              </w:rPr>
              <w:t>5</w:t>
            </w:r>
            <w:r>
              <w:rPr>
                <w:rFonts w:hint="eastAsia"/>
                <w:color w:val="000000" w:themeColor="text1"/>
              </w:rPr>
              <w:t>、氨氮、动植物油、大肠菌群等</w:t>
            </w:r>
          </w:p>
        </w:tc>
        <w:tc>
          <w:tcPr>
            <w:tcW w:w="1205"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建设方</w:t>
            </w:r>
          </w:p>
        </w:tc>
        <w:tc>
          <w:tcPr>
            <w:tcW w:w="1134" w:type="dxa"/>
            <w:vMerge w:val="continue"/>
            <w:tcBorders>
              <w:left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26"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噪声</w:t>
            </w:r>
          </w:p>
        </w:tc>
        <w:tc>
          <w:tcPr>
            <w:tcW w:w="194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厂界四周</w:t>
            </w:r>
          </w:p>
        </w:tc>
        <w:tc>
          <w:tcPr>
            <w:tcW w:w="243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等效连续</w:t>
            </w:r>
            <w:r>
              <w:rPr>
                <w:color w:val="000000" w:themeColor="text1"/>
              </w:rPr>
              <w:t>A</w:t>
            </w:r>
            <w:r>
              <w:rPr>
                <w:rFonts w:hint="eastAsia"/>
                <w:color w:val="000000" w:themeColor="text1"/>
              </w:rPr>
              <w:t>声级</w:t>
            </w:r>
          </w:p>
        </w:tc>
        <w:tc>
          <w:tcPr>
            <w:tcW w:w="1205"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建设方</w:t>
            </w:r>
          </w:p>
        </w:tc>
        <w:tc>
          <w:tcPr>
            <w:tcW w:w="1134"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180" w:type="dxa"/>
            <w:gridSpan w:val="7"/>
            <w:tcBorders>
              <w:top w:val="single" w:color="auto" w:sz="4" w:space="0"/>
              <w:left w:val="single" w:color="auto" w:sz="4" w:space="0"/>
              <w:bottom w:val="single" w:color="auto" w:sz="4" w:space="0"/>
              <w:right w:val="single" w:color="auto" w:sz="4" w:space="0"/>
            </w:tcBorders>
            <w:vAlign w:val="center"/>
          </w:tcPr>
          <w:p>
            <w:pPr>
              <w:pStyle w:val="55"/>
              <w:rPr>
                <w:b/>
                <w:color w:val="000000" w:themeColor="text1"/>
              </w:rPr>
            </w:pPr>
            <w:r>
              <w:rPr>
                <w:rFonts w:hint="eastAsia"/>
                <w:b/>
                <w:color w:val="000000" w:themeColor="text1"/>
              </w:rPr>
              <w:t>环境质量监测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26"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内容</w:t>
            </w:r>
          </w:p>
        </w:tc>
        <w:tc>
          <w:tcPr>
            <w:tcW w:w="194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监测点位</w:t>
            </w:r>
          </w:p>
        </w:tc>
        <w:tc>
          <w:tcPr>
            <w:tcW w:w="243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监测因子</w:t>
            </w:r>
          </w:p>
        </w:tc>
        <w:tc>
          <w:tcPr>
            <w:tcW w:w="120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实施机构</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负责机构</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监督机构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26" w:type="dxa"/>
            <w:gridSpan w:val="2"/>
            <w:tcBorders>
              <w:top w:val="single" w:color="auto" w:sz="4" w:space="0"/>
              <w:left w:val="single" w:color="auto" w:sz="4" w:space="0"/>
              <w:right w:val="single" w:color="auto" w:sz="4" w:space="0"/>
            </w:tcBorders>
            <w:vAlign w:val="center"/>
          </w:tcPr>
          <w:p>
            <w:pPr>
              <w:pStyle w:val="55"/>
              <w:rPr>
                <w:color w:val="000000" w:themeColor="text1"/>
              </w:rPr>
            </w:pPr>
            <w:r>
              <w:rPr>
                <w:color w:val="000000" w:themeColor="text1"/>
              </w:rPr>
              <w:t>环境空气</w:t>
            </w:r>
          </w:p>
        </w:tc>
        <w:tc>
          <w:tcPr>
            <w:tcW w:w="194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项目上风向</w:t>
            </w:r>
            <w:r>
              <w:rPr>
                <w:color w:val="000000" w:themeColor="text1"/>
              </w:rPr>
              <w:t>1</w:t>
            </w:r>
            <w:r>
              <w:rPr>
                <w:rFonts w:hint="eastAsia"/>
                <w:color w:val="000000" w:themeColor="text1"/>
              </w:rPr>
              <w:t>个点，下风向</w:t>
            </w:r>
            <w:r>
              <w:rPr>
                <w:color w:val="000000" w:themeColor="text1"/>
              </w:rPr>
              <w:t>3</w:t>
            </w:r>
            <w:r>
              <w:rPr>
                <w:rFonts w:hint="eastAsia"/>
                <w:color w:val="000000" w:themeColor="text1"/>
              </w:rPr>
              <w:t>个点</w:t>
            </w:r>
          </w:p>
        </w:tc>
        <w:tc>
          <w:tcPr>
            <w:tcW w:w="243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颗粒物、</w:t>
            </w:r>
            <w:r>
              <w:rPr>
                <w:color w:val="000000" w:themeColor="text1"/>
              </w:rPr>
              <w:t>SO</w:t>
            </w:r>
            <w:r>
              <w:rPr>
                <w:color w:val="000000" w:themeColor="text1"/>
                <w:vertAlign w:val="subscript"/>
              </w:rPr>
              <w:t>2</w:t>
            </w:r>
            <w:r>
              <w:rPr>
                <w:rFonts w:hint="eastAsia"/>
                <w:color w:val="000000" w:themeColor="text1"/>
              </w:rPr>
              <w:t>、</w:t>
            </w:r>
            <w:r>
              <w:rPr>
                <w:color w:val="000000" w:themeColor="text1"/>
              </w:rPr>
              <w:t>NO</w:t>
            </w:r>
            <w:r>
              <w:rPr>
                <w:color w:val="000000" w:themeColor="text1"/>
                <w:vertAlign w:val="subscript"/>
              </w:rPr>
              <w:t>x</w:t>
            </w:r>
            <w:r>
              <w:rPr>
                <w:rFonts w:hint="eastAsia"/>
                <w:color w:val="000000" w:themeColor="text1"/>
              </w:rPr>
              <w:t>、</w:t>
            </w:r>
            <w:r>
              <w:rPr>
                <w:color w:val="000000" w:themeColor="text1"/>
              </w:rPr>
              <w:t>NH</w:t>
            </w:r>
            <w:r>
              <w:rPr>
                <w:color w:val="000000" w:themeColor="text1"/>
                <w:vertAlign w:val="subscript"/>
              </w:rPr>
              <w:t>3</w:t>
            </w:r>
            <w:r>
              <w:rPr>
                <w:rFonts w:hint="eastAsia"/>
                <w:color w:val="000000" w:themeColor="text1"/>
              </w:rPr>
              <w:t>、</w:t>
            </w:r>
            <w:r>
              <w:rPr>
                <w:color w:val="000000" w:themeColor="text1"/>
              </w:rPr>
              <w:t>H</w:t>
            </w:r>
            <w:r>
              <w:rPr>
                <w:color w:val="000000" w:themeColor="text1"/>
                <w:vertAlign w:val="subscript"/>
              </w:rPr>
              <w:t>2</w:t>
            </w:r>
            <w:r>
              <w:rPr>
                <w:color w:val="000000" w:themeColor="text1"/>
              </w:rPr>
              <w:t>S</w:t>
            </w:r>
            <w:r>
              <w:rPr>
                <w:rFonts w:hint="eastAsia"/>
                <w:color w:val="000000" w:themeColor="text1"/>
              </w:rPr>
              <w:t>、</w:t>
            </w:r>
            <w:r>
              <w:rPr>
                <w:color w:val="000000" w:themeColor="text1"/>
              </w:rPr>
              <w:t>臭气浓度</w:t>
            </w:r>
          </w:p>
        </w:tc>
        <w:tc>
          <w:tcPr>
            <w:tcW w:w="1205"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委托具有资质的环境监测单位</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建设方</w:t>
            </w:r>
          </w:p>
        </w:tc>
        <w:tc>
          <w:tcPr>
            <w:tcW w:w="1134"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color w:val="000000" w:themeColor="text1"/>
              </w:rPr>
              <w:t>文山州生态环境局砚山分局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26"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地下水</w:t>
            </w:r>
          </w:p>
        </w:tc>
        <w:tc>
          <w:tcPr>
            <w:tcW w:w="194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建设单位自打的井</w:t>
            </w:r>
          </w:p>
        </w:tc>
        <w:tc>
          <w:tcPr>
            <w:tcW w:w="243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bCs/>
                <w:color w:val="000000" w:themeColor="text1"/>
                <w:kern w:val="0"/>
                <w:szCs w:val="21"/>
              </w:rPr>
              <w:t>pH</w:t>
            </w:r>
            <w:r>
              <w:rPr>
                <w:rFonts w:hint="eastAsia"/>
                <w:bCs/>
                <w:color w:val="000000" w:themeColor="text1"/>
                <w:kern w:val="0"/>
                <w:szCs w:val="21"/>
              </w:rPr>
              <w:t>、总硬度、耗氧量、溶解性总固体、氨氮等</w:t>
            </w:r>
          </w:p>
        </w:tc>
        <w:tc>
          <w:tcPr>
            <w:tcW w:w="1205"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建设方</w:t>
            </w:r>
          </w:p>
        </w:tc>
        <w:tc>
          <w:tcPr>
            <w:tcW w:w="1134" w:type="dxa"/>
            <w:vMerge w:val="continue"/>
            <w:tcBorders>
              <w:left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26"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声环境</w:t>
            </w:r>
          </w:p>
        </w:tc>
        <w:tc>
          <w:tcPr>
            <w:tcW w:w="194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小龙白</w:t>
            </w:r>
          </w:p>
        </w:tc>
        <w:tc>
          <w:tcPr>
            <w:tcW w:w="243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等效连续</w:t>
            </w:r>
            <w:r>
              <w:rPr>
                <w:color w:val="000000" w:themeColor="text1"/>
              </w:rPr>
              <w:t>A</w:t>
            </w:r>
            <w:r>
              <w:rPr>
                <w:rFonts w:hint="eastAsia"/>
                <w:color w:val="000000" w:themeColor="text1"/>
              </w:rPr>
              <w:t>声级</w:t>
            </w:r>
          </w:p>
        </w:tc>
        <w:tc>
          <w:tcPr>
            <w:tcW w:w="1205"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建设方</w:t>
            </w:r>
          </w:p>
        </w:tc>
        <w:tc>
          <w:tcPr>
            <w:tcW w:w="1134"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r>
    </w:tbl>
    <w:p>
      <w:pPr>
        <w:pStyle w:val="54"/>
        <w:rPr>
          <w:color w:val="000000" w:themeColor="text1"/>
        </w:rPr>
      </w:pPr>
      <w:r>
        <w:rPr>
          <w:rFonts w:hint="eastAsia"/>
          <w:color w:val="000000" w:themeColor="text1"/>
        </w:rPr>
        <w:t>表</w:t>
      </w:r>
      <w:r>
        <w:rPr>
          <w:color w:val="000000" w:themeColor="text1"/>
        </w:rPr>
        <w:t>1</w:t>
      </w:r>
      <w:r>
        <w:rPr>
          <w:rFonts w:hint="eastAsia"/>
          <w:color w:val="000000" w:themeColor="text1"/>
        </w:rPr>
        <w:t>0</w:t>
      </w:r>
      <w:r>
        <w:rPr>
          <w:color w:val="000000" w:themeColor="text1"/>
        </w:rPr>
        <w:t>.3</w:t>
      </w:r>
      <w:r>
        <w:rPr>
          <w:rFonts w:hint="eastAsia"/>
          <w:color w:val="000000" w:themeColor="text1"/>
        </w:rPr>
        <w:t>.2</w:t>
      </w:r>
      <w:r>
        <w:rPr>
          <w:color w:val="000000" w:themeColor="text1"/>
        </w:rPr>
        <w:t xml:space="preserve">-2   </w:t>
      </w:r>
      <w:r>
        <w:rPr>
          <w:rFonts w:hint="eastAsia"/>
          <w:color w:val="000000" w:themeColor="text1"/>
        </w:rPr>
        <w:t>项目运营期环境监测计划表</w:t>
      </w:r>
    </w:p>
    <w:tbl>
      <w:tblPr>
        <w:tblStyle w:val="42"/>
        <w:tblW w:w="9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
        <w:gridCol w:w="480"/>
        <w:gridCol w:w="860"/>
        <w:gridCol w:w="2693"/>
        <w:gridCol w:w="2698"/>
        <w:gridCol w:w="1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54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时段</w:t>
            </w:r>
          </w:p>
        </w:tc>
        <w:tc>
          <w:tcPr>
            <w:tcW w:w="1340"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监测要素</w:t>
            </w:r>
          </w:p>
        </w:tc>
        <w:tc>
          <w:tcPr>
            <w:tcW w:w="26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点位</w:t>
            </w:r>
          </w:p>
        </w:tc>
        <w:tc>
          <w:tcPr>
            <w:tcW w:w="269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监测参数</w:t>
            </w:r>
          </w:p>
        </w:tc>
        <w:tc>
          <w:tcPr>
            <w:tcW w:w="191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46" w:type="dxa"/>
            <w:vMerge w:val="restart"/>
            <w:tcBorders>
              <w:top w:val="single" w:color="auto" w:sz="4" w:space="0"/>
              <w:left w:val="single" w:color="auto" w:sz="4" w:space="0"/>
              <w:bottom w:val="single" w:color="auto" w:sz="4" w:space="0"/>
              <w:right w:val="single" w:color="auto" w:sz="4" w:space="0"/>
            </w:tcBorders>
            <w:vAlign w:val="center"/>
          </w:tcPr>
          <w:p>
            <w:pPr>
              <w:pStyle w:val="55"/>
              <w:rPr>
                <w:rFonts w:cs="Times New Roman"/>
                <w:color w:val="000000" w:themeColor="text1"/>
              </w:rPr>
            </w:pPr>
            <w:r>
              <w:rPr>
                <w:rFonts w:hint="eastAsia"/>
                <w:color w:val="000000" w:themeColor="text1"/>
              </w:rPr>
              <w:t>运</w:t>
            </w:r>
          </w:p>
          <w:p>
            <w:pPr>
              <w:pStyle w:val="55"/>
              <w:rPr>
                <w:color w:val="000000" w:themeColor="text1"/>
              </w:rPr>
            </w:pPr>
            <w:r>
              <w:rPr>
                <w:rFonts w:hint="eastAsia"/>
                <w:color w:val="000000" w:themeColor="text1"/>
              </w:rPr>
              <w:t>营</w:t>
            </w:r>
          </w:p>
          <w:p>
            <w:pPr>
              <w:pStyle w:val="55"/>
              <w:rPr>
                <w:color w:val="000000" w:themeColor="text1"/>
              </w:rPr>
            </w:pPr>
            <w:r>
              <w:rPr>
                <w:rFonts w:hint="eastAsia"/>
                <w:color w:val="000000" w:themeColor="text1"/>
              </w:rPr>
              <w:t>期</w:t>
            </w:r>
          </w:p>
        </w:tc>
        <w:tc>
          <w:tcPr>
            <w:tcW w:w="480"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废气</w:t>
            </w:r>
          </w:p>
        </w:tc>
        <w:tc>
          <w:tcPr>
            <w:tcW w:w="860"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有组织排放源</w:t>
            </w:r>
          </w:p>
        </w:tc>
        <w:tc>
          <w:tcPr>
            <w:tcW w:w="26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生物质锅炉排气筒进出口</w:t>
            </w:r>
          </w:p>
        </w:tc>
        <w:tc>
          <w:tcPr>
            <w:tcW w:w="269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颗粒物、</w:t>
            </w:r>
            <w:r>
              <w:rPr>
                <w:color w:val="000000" w:themeColor="text1"/>
              </w:rPr>
              <w:t>SO</w:t>
            </w:r>
            <w:r>
              <w:rPr>
                <w:color w:val="000000" w:themeColor="text1"/>
                <w:vertAlign w:val="subscript"/>
              </w:rPr>
              <w:t>2</w:t>
            </w:r>
            <w:r>
              <w:rPr>
                <w:rFonts w:hint="eastAsia"/>
                <w:color w:val="000000" w:themeColor="text1"/>
              </w:rPr>
              <w:t>、</w:t>
            </w:r>
            <w:r>
              <w:rPr>
                <w:color w:val="000000" w:themeColor="text1"/>
              </w:rPr>
              <w:t>NO</w:t>
            </w:r>
            <w:r>
              <w:rPr>
                <w:color w:val="000000" w:themeColor="text1"/>
                <w:vertAlign w:val="subscript"/>
              </w:rPr>
              <w:t>x</w:t>
            </w:r>
          </w:p>
        </w:tc>
        <w:tc>
          <w:tcPr>
            <w:tcW w:w="1918"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正常生产条件下，每年监测两次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54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480"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860"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26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焚烧炉排气筒进出口</w:t>
            </w:r>
          </w:p>
        </w:tc>
        <w:tc>
          <w:tcPr>
            <w:tcW w:w="269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颗粒物、</w:t>
            </w:r>
            <w:r>
              <w:rPr>
                <w:color w:val="000000" w:themeColor="text1"/>
              </w:rPr>
              <w:t>SO</w:t>
            </w:r>
            <w:r>
              <w:rPr>
                <w:color w:val="000000" w:themeColor="text1"/>
                <w:vertAlign w:val="subscript"/>
              </w:rPr>
              <w:t>2</w:t>
            </w:r>
            <w:r>
              <w:rPr>
                <w:rFonts w:hint="eastAsia"/>
                <w:color w:val="000000" w:themeColor="text1"/>
              </w:rPr>
              <w:t>、</w:t>
            </w:r>
            <w:r>
              <w:rPr>
                <w:color w:val="000000" w:themeColor="text1"/>
              </w:rPr>
              <w:t>NO</w:t>
            </w:r>
            <w:r>
              <w:rPr>
                <w:color w:val="000000" w:themeColor="text1"/>
                <w:vertAlign w:val="subscript"/>
              </w:rPr>
              <w:t>x</w:t>
            </w:r>
          </w:p>
        </w:tc>
        <w:tc>
          <w:tcPr>
            <w:tcW w:w="191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54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480"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860"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无组织排放源</w:t>
            </w:r>
          </w:p>
        </w:tc>
        <w:tc>
          <w:tcPr>
            <w:tcW w:w="26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上风向</w:t>
            </w:r>
            <w:r>
              <w:rPr>
                <w:color w:val="000000" w:themeColor="text1"/>
              </w:rPr>
              <w:t>1</w:t>
            </w:r>
            <w:r>
              <w:rPr>
                <w:rFonts w:hint="eastAsia"/>
                <w:color w:val="000000" w:themeColor="text1"/>
              </w:rPr>
              <w:t>个，下风向</w:t>
            </w:r>
            <w:r>
              <w:rPr>
                <w:color w:val="000000" w:themeColor="text1"/>
              </w:rPr>
              <w:t>3</w:t>
            </w:r>
            <w:r>
              <w:rPr>
                <w:rFonts w:hint="eastAsia"/>
                <w:color w:val="000000" w:themeColor="text1"/>
              </w:rPr>
              <w:t>个</w:t>
            </w:r>
          </w:p>
        </w:tc>
        <w:tc>
          <w:tcPr>
            <w:tcW w:w="269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颗粒物、</w:t>
            </w:r>
            <w:r>
              <w:rPr>
                <w:color w:val="000000" w:themeColor="text1"/>
              </w:rPr>
              <w:t>NH</w:t>
            </w:r>
            <w:r>
              <w:rPr>
                <w:color w:val="000000" w:themeColor="text1"/>
                <w:vertAlign w:val="subscript"/>
              </w:rPr>
              <w:t>3</w:t>
            </w:r>
            <w:r>
              <w:rPr>
                <w:rFonts w:hint="eastAsia"/>
                <w:color w:val="000000" w:themeColor="text1"/>
              </w:rPr>
              <w:t>、</w:t>
            </w:r>
            <w:r>
              <w:rPr>
                <w:color w:val="000000" w:themeColor="text1"/>
              </w:rPr>
              <w:t>H</w:t>
            </w:r>
            <w:r>
              <w:rPr>
                <w:color w:val="000000" w:themeColor="text1"/>
                <w:vertAlign w:val="subscript"/>
              </w:rPr>
              <w:t>2</w:t>
            </w:r>
            <w:r>
              <w:rPr>
                <w:color w:val="000000" w:themeColor="text1"/>
              </w:rPr>
              <w:t>S</w:t>
            </w:r>
            <w:r>
              <w:rPr>
                <w:rFonts w:hint="eastAsia"/>
                <w:color w:val="000000" w:themeColor="text1"/>
              </w:rPr>
              <w:t>、</w:t>
            </w:r>
            <w:r>
              <w:rPr>
                <w:color w:val="000000" w:themeColor="text1"/>
              </w:rPr>
              <w:t>臭气浓度</w:t>
            </w:r>
          </w:p>
        </w:tc>
        <w:tc>
          <w:tcPr>
            <w:tcW w:w="191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54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340"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废水</w:t>
            </w:r>
          </w:p>
        </w:tc>
        <w:tc>
          <w:tcPr>
            <w:tcW w:w="26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污水处理站进水口和出水口</w:t>
            </w:r>
          </w:p>
        </w:tc>
        <w:tc>
          <w:tcPr>
            <w:tcW w:w="269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流量、</w:t>
            </w:r>
            <w:r>
              <w:rPr>
                <w:color w:val="000000" w:themeColor="text1"/>
              </w:rPr>
              <w:t>pH</w:t>
            </w:r>
            <w:r>
              <w:rPr>
                <w:rFonts w:hint="eastAsia"/>
                <w:color w:val="000000" w:themeColor="text1"/>
              </w:rPr>
              <w:t>、</w:t>
            </w:r>
            <w:r>
              <w:rPr>
                <w:color w:val="000000" w:themeColor="text1"/>
              </w:rPr>
              <w:t>SS</w:t>
            </w:r>
            <w:r>
              <w:rPr>
                <w:rFonts w:hint="eastAsia"/>
                <w:color w:val="000000" w:themeColor="text1"/>
              </w:rPr>
              <w:t>、</w:t>
            </w:r>
            <w:r>
              <w:rPr>
                <w:color w:val="000000" w:themeColor="text1"/>
              </w:rPr>
              <w:t>COD</w:t>
            </w:r>
            <w:r>
              <w:rPr>
                <w:rFonts w:hint="eastAsia"/>
                <w:color w:val="000000" w:themeColor="text1"/>
              </w:rPr>
              <w:t>、</w:t>
            </w:r>
            <w:r>
              <w:rPr>
                <w:color w:val="000000" w:themeColor="text1"/>
              </w:rPr>
              <w:t>BOD</w:t>
            </w:r>
            <w:r>
              <w:rPr>
                <w:color w:val="000000" w:themeColor="text1"/>
                <w:vertAlign w:val="subscript"/>
              </w:rPr>
              <w:t>5</w:t>
            </w:r>
            <w:r>
              <w:rPr>
                <w:rFonts w:hint="eastAsia"/>
                <w:color w:val="000000" w:themeColor="text1"/>
              </w:rPr>
              <w:t>、氨氮、动植物油、大肠菌群等</w:t>
            </w:r>
          </w:p>
        </w:tc>
        <w:tc>
          <w:tcPr>
            <w:tcW w:w="191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每季度监测一次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54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340"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地下水</w:t>
            </w:r>
          </w:p>
        </w:tc>
        <w:tc>
          <w:tcPr>
            <w:tcW w:w="26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建设单位自打的井</w:t>
            </w:r>
          </w:p>
        </w:tc>
        <w:tc>
          <w:tcPr>
            <w:tcW w:w="269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bCs/>
                <w:snapToGrid w:val="0"/>
                <w:color w:val="000000" w:themeColor="text1"/>
                <w:kern w:val="28"/>
              </w:rPr>
              <w:t>色、浑浊度、</w:t>
            </w:r>
            <w:r>
              <w:rPr>
                <w:bCs/>
                <w:snapToGrid w:val="0"/>
                <w:color w:val="000000" w:themeColor="text1"/>
                <w:kern w:val="28"/>
                <w:lang w:val="sq-AL"/>
              </w:rPr>
              <w:t>pH</w:t>
            </w:r>
            <w:r>
              <w:rPr>
                <w:rFonts w:hint="eastAsia"/>
                <w:bCs/>
                <w:snapToGrid w:val="0"/>
                <w:color w:val="000000" w:themeColor="text1"/>
                <w:kern w:val="28"/>
                <w:lang w:val="sq-AL"/>
              </w:rPr>
              <w:t>、氨氮、耗氧量、总大肠菌群、菌落总数</w:t>
            </w:r>
          </w:p>
        </w:tc>
        <w:tc>
          <w:tcPr>
            <w:tcW w:w="191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每年监测两次（丰水期和枯水期各</w:t>
            </w:r>
            <w:r>
              <w:rPr>
                <w:color w:val="000000" w:themeColor="text1"/>
              </w:rPr>
              <w:t>1</w:t>
            </w:r>
            <w:r>
              <w:rPr>
                <w:rFonts w:hint="eastAsia"/>
                <w:color w:val="000000" w:themeColor="text1"/>
              </w:rPr>
              <w:t>次），出现地下水水质异常情况应加密监测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54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340"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噪声</w:t>
            </w:r>
          </w:p>
        </w:tc>
        <w:tc>
          <w:tcPr>
            <w:tcW w:w="26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厂界四周</w:t>
            </w:r>
          </w:p>
        </w:tc>
        <w:tc>
          <w:tcPr>
            <w:tcW w:w="269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等效连续</w:t>
            </w:r>
            <w:r>
              <w:rPr>
                <w:color w:val="000000" w:themeColor="text1"/>
              </w:rPr>
              <w:t>A</w:t>
            </w:r>
            <w:r>
              <w:rPr>
                <w:rFonts w:hint="eastAsia"/>
                <w:color w:val="000000" w:themeColor="text1"/>
              </w:rPr>
              <w:t>声级</w:t>
            </w:r>
          </w:p>
        </w:tc>
        <w:tc>
          <w:tcPr>
            <w:tcW w:w="191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每年监测两次，在冬季和夏季监测</w:t>
            </w:r>
          </w:p>
        </w:tc>
      </w:tr>
    </w:tbl>
    <w:p>
      <w:pPr>
        <w:pStyle w:val="38"/>
        <w:ind w:firstLine="281"/>
        <w:rPr>
          <w:rFonts w:cs="Times New Roman"/>
          <w:color w:val="000000" w:themeColor="text1"/>
          <w:sz w:val="32"/>
        </w:rPr>
      </w:pPr>
      <w:bookmarkStart w:id="402" w:name="_Toc530059765"/>
      <w:bookmarkStart w:id="403" w:name="_Toc47375939"/>
      <w:r>
        <w:rPr>
          <w:color w:val="000000" w:themeColor="text1"/>
        </w:rPr>
        <w:t>1</w:t>
      </w:r>
      <w:r>
        <w:rPr>
          <w:rFonts w:hint="eastAsia"/>
          <w:color w:val="000000" w:themeColor="text1"/>
        </w:rPr>
        <w:t>0</w:t>
      </w:r>
      <w:r>
        <w:rPr>
          <w:color w:val="000000" w:themeColor="text1"/>
        </w:rPr>
        <w:t>.3.3</w:t>
      </w:r>
      <w:r>
        <w:rPr>
          <w:rFonts w:hint="eastAsia"/>
          <w:color w:val="000000" w:themeColor="text1"/>
        </w:rPr>
        <w:t>资料审核及上报</w:t>
      </w:r>
      <w:bookmarkEnd w:id="399"/>
      <w:bookmarkEnd w:id="400"/>
      <w:bookmarkEnd w:id="401"/>
      <w:bookmarkEnd w:id="402"/>
      <w:bookmarkEnd w:id="403"/>
    </w:p>
    <w:p>
      <w:pPr>
        <w:ind w:firstLine="480"/>
        <w:rPr>
          <w:color w:val="000000" w:themeColor="text1"/>
        </w:rPr>
      </w:pPr>
      <w:r>
        <w:rPr>
          <w:rFonts w:hint="eastAsia"/>
          <w:color w:val="000000" w:themeColor="text1"/>
        </w:rPr>
        <w:t>项目每次监测结束后，对监测资料进行分析，每年年底应对当年所有的监测数据资料进行整理和评价，审核后按档案规范编号存档，以备查询。</w:t>
      </w:r>
      <w:bookmarkStart w:id="404" w:name="_Toc57284046"/>
      <w:bookmarkStart w:id="405" w:name="_Toc73100461"/>
      <w:bookmarkStart w:id="406" w:name="_Toc54254909"/>
      <w:bookmarkStart w:id="407" w:name="_Toc43826416"/>
      <w:r>
        <w:rPr>
          <w:rFonts w:hint="eastAsia"/>
          <w:color w:val="000000" w:themeColor="text1"/>
        </w:rPr>
        <w:t>如果监测结果表明，环境参数的监测值超过了既定目标，那么，本项目的环境管理部门应及时研究分析和找出存在问题，并采取措施加以解决。</w:t>
      </w:r>
      <w:bookmarkEnd w:id="404"/>
      <w:bookmarkEnd w:id="405"/>
      <w:bookmarkEnd w:id="406"/>
      <w:bookmarkEnd w:id="407"/>
    </w:p>
    <w:p>
      <w:pPr>
        <w:ind w:firstLine="480"/>
        <w:rPr>
          <w:color w:val="000000" w:themeColor="text1"/>
        </w:rPr>
      </w:pPr>
      <w:r>
        <w:rPr>
          <w:rFonts w:hint="eastAsia"/>
          <w:color w:val="000000" w:themeColor="text1"/>
        </w:rPr>
        <w:t>为了加强环保管理，杜绝生产废水非正常排放，环评建议在后续工作中，根据建设单位自身条件，逐步安装废水在线监测设备。</w:t>
      </w:r>
    </w:p>
    <w:p>
      <w:pPr>
        <w:pStyle w:val="38"/>
        <w:ind w:firstLine="281"/>
        <w:rPr>
          <w:color w:val="000000" w:themeColor="text1"/>
          <w:sz w:val="32"/>
        </w:rPr>
      </w:pPr>
      <w:bookmarkStart w:id="408" w:name="_Toc229976885"/>
      <w:bookmarkStart w:id="409" w:name="_Toc530059766"/>
      <w:bookmarkStart w:id="410" w:name="_Toc387938491"/>
      <w:bookmarkStart w:id="411" w:name="_Toc47375940"/>
      <w:bookmarkStart w:id="412" w:name="_Toc388604191"/>
      <w:r>
        <w:rPr>
          <w:color w:val="000000" w:themeColor="text1"/>
        </w:rPr>
        <w:t>1</w:t>
      </w:r>
      <w:r>
        <w:rPr>
          <w:rFonts w:hint="eastAsia"/>
          <w:color w:val="000000" w:themeColor="text1"/>
        </w:rPr>
        <w:t>0</w:t>
      </w:r>
      <w:r>
        <w:rPr>
          <w:color w:val="000000" w:themeColor="text1"/>
        </w:rPr>
        <w:t>.3.4</w:t>
      </w:r>
      <w:r>
        <w:rPr>
          <w:rFonts w:hint="eastAsia"/>
          <w:color w:val="000000" w:themeColor="text1"/>
        </w:rPr>
        <w:t>竣工验收</w:t>
      </w:r>
      <w:bookmarkEnd w:id="408"/>
      <w:bookmarkEnd w:id="409"/>
      <w:bookmarkEnd w:id="410"/>
      <w:bookmarkEnd w:id="411"/>
      <w:bookmarkEnd w:id="412"/>
    </w:p>
    <w:p>
      <w:pPr>
        <w:ind w:firstLine="480"/>
        <w:rPr>
          <w:color w:val="000000" w:themeColor="text1"/>
        </w:rPr>
      </w:pPr>
      <w:r>
        <w:rPr>
          <w:rFonts w:hint="eastAsia"/>
          <w:color w:val="000000" w:themeColor="text1"/>
        </w:rPr>
        <w:t>项目</w:t>
      </w:r>
      <w:r>
        <w:rPr>
          <w:color w:val="000000" w:themeColor="text1"/>
        </w:rPr>
        <w:t>“</w:t>
      </w:r>
      <w:r>
        <w:rPr>
          <w:rFonts w:hint="eastAsia"/>
          <w:color w:val="000000" w:themeColor="text1"/>
        </w:rPr>
        <w:t>三同时</w:t>
      </w:r>
      <w:r>
        <w:rPr>
          <w:color w:val="000000" w:themeColor="text1"/>
        </w:rPr>
        <w:t>”</w:t>
      </w:r>
      <w:r>
        <w:rPr>
          <w:rFonts w:hint="eastAsia"/>
          <w:color w:val="000000" w:themeColor="text1"/>
        </w:rPr>
        <w:t>竣工验收内容详见表</w:t>
      </w:r>
      <w:r>
        <w:rPr>
          <w:color w:val="000000" w:themeColor="text1"/>
        </w:rPr>
        <w:t>1</w:t>
      </w:r>
      <w:r>
        <w:rPr>
          <w:rFonts w:hint="eastAsia"/>
          <w:color w:val="000000" w:themeColor="text1"/>
        </w:rPr>
        <w:t>0</w:t>
      </w:r>
      <w:r>
        <w:rPr>
          <w:color w:val="000000" w:themeColor="text1"/>
        </w:rPr>
        <w:t>.3</w:t>
      </w:r>
      <w:r>
        <w:rPr>
          <w:rFonts w:hint="eastAsia"/>
          <w:color w:val="000000" w:themeColor="text1"/>
        </w:rPr>
        <w:t>.4</w:t>
      </w:r>
      <w:r>
        <w:rPr>
          <w:color w:val="000000" w:themeColor="text1"/>
        </w:rPr>
        <w:t>-</w:t>
      </w:r>
      <w:r>
        <w:rPr>
          <w:rFonts w:hint="eastAsia"/>
          <w:color w:val="000000" w:themeColor="text1"/>
        </w:rPr>
        <w:t>1。</w:t>
      </w:r>
    </w:p>
    <w:p>
      <w:pPr>
        <w:pStyle w:val="54"/>
        <w:rPr>
          <w:color w:val="000000" w:themeColor="text1"/>
        </w:rPr>
      </w:pPr>
      <w:r>
        <w:rPr>
          <w:rFonts w:hint="eastAsia"/>
          <w:color w:val="000000" w:themeColor="text1"/>
        </w:rPr>
        <w:t>表10.3.4-1</w:t>
      </w:r>
      <w:r>
        <w:rPr>
          <w:color w:val="000000" w:themeColor="text1"/>
        </w:rPr>
        <w:t xml:space="preserve">   </w:t>
      </w:r>
      <w:r>
        <w:rPr>
          <w:rFonts w:hint="eastAsia"/>
          <w:color w:val="000000" w:themeColor="text1"/>
        </w:rPr>
        <w:t>竣工环境保护</w:t>
      </w:r>
      <w:r>
        <w:rPr>
          <w:color w:val="000000" w:themeColor="text1"/>
        </w:rPr>
        <w:t>“</w:t>
      </w:r>
      <w:r>
        <w:rPr>
          <w:rFonts w:hint="eastAsia"/>
          <w:color w:val="000000" w:themeColor="text1"/>
        </w:rPr>
        <w:t>三同时</w:t>
      </w:r>
      <w:r>
        <w:rPr>
          <w:color w:val="000000" w:themeColor="text1"/>
        </w:rPr>
        <w:t>”</w:t>
      </w:r>
      <w:r>
        <w:rPr>
          <w:rFonts w:hint="eastAsia"/>
          <w:color w:val="000000" w:themeColor="text1"/>
        </w:rPr>
        <w:t>竣工验收一览表</w:t>
      </w:r>
    </w:p>
    <w:tbl>
      <w:tblPr>
        <w:tblStyle w:val="42"/>
        <w:tblW w:w="89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6"/>
        <w:gridCol w:w="3662"/>
        <w:gridCol w:w="1134"/>
        <w:gridCol w:w="36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序号</w:t>
            </w:r>
          </w:p>
        </w:tc>
        <w:tc>
          <w:tcPr>
            <w:tcW w:w="366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处理措施</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处理对象</w:t>
            </w:r>
          </w:p>
        </w:tc>
        <w:tc>
          <w:tcPr>
            <w:tcW w:w="368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处理效果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w:t>
            </w:r>
          </w:p>
        </w:tc>
        <w:tc>
          <w:tcPr>
            <w:tcW w:w="366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雨污分流管网，生产厂房、办公生活区均设雨水收集管网</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雨水</w:t>
            </w:r>
          </w:p>
        </w:tc>
        <w:tc>
          <w:tcPr>
            <w:tcW w:w="368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bCs/>
                <w:color w:val="000000" w:themeColor="text1"/>
                <w:kern w:val="0"/>
              </w:rPr>
              <w:t>经雨水沟收集后外排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2</w:t>
            </w:r>
          </w:p>
        </w:tc>
        <w:tc>
          <w:tcPr>
            <w:tcW w:w="366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设一套污水处理系统（</w:t>
            </w:r>
            <w:r>
              <w:rPr>
                <w:rFonts w:hint="eastAsia"/>
                <w:bCs/>
                <w:color w:val="000000" w:themeColor="text1"/>
                <w:kern w:val="0"/>
              </w:rPr>
              <w:t>处理规模为3</w:t>
            </w:r>
            <w:r>
              <w:rPr>
                <w:bCs/>
                <w:color w:val="000000" w:themeColor="text1"/>
                <w:kern w:val="0"/>
              </w:rPr>
              <w:t>00m</w:t>
            </w:r>
            <w:r>
              <w:rPr>
                <w:bCs/>
                <w:color w:val="000000" w:themeColor="text1"/>
                <w:kern w:val="0"/>
                <w:vertAlign w:val="superscript"/>
              </w:rPr>
              <w:t>3</w:t>
            </w:r>
            <w:r>
              <w:rPr>
                <w:rFonts w:hint="eastAsia"/>
                <w:bCs/>
                <w:color w:val="000000" w:themeColor="text1"/>
                <w:kern w:val="0"/>
              </w:rPr>
              <w:t>/d</w:t>
            </w:r>
            <w:r>
              <w:rPr>
                <w:rFonts w:hint="eastAsia"/>
                <w:color w:val="000000" w:themeColor="text1"/>
                <w:kern w:val="0"/>
              </w:rPr>
              <w:t>），一个规范化废水排放口、设</w:t>
            </w:r>
            <w:r>
              <w:rPr>
                <w:color w:val="000000" w:themeColor="text1"/>
                <w:kern w:val="0"/>
              </w:rPr>
              <w:t>1</w:t>
            </w:r>
            <w:r>
              <w:rPr>
                <w:rFonts w:hint="eastAsia"/>
                <w:color w:val="000000" w:themeColor="text1"/>
                <w:kern w:val="0"/>
              </w:rPr>
              <w:t>个化粪池（容积不小于3</w:t>
            </w:r>
            <w:r>
              <w:rPr>
                <w:color w:val="000000" w:themeColor="text1"/>
                <w:kern w:val="0"/>
              </w:rPr>
              <w:t>m</w:t>
            </w:r>
            <w:r>
              <w:rPr>
                <w:color w:val="000000" w:themeColor="text1"/>
                <w:kern w:val="0"/>
                <w:vertAlign w:val="superscript"/>
              </w:rPr>
              <w:t>3</w:t>
            </w:r>
            <w:r>
              <w:rPr>
                <w:rFonts w:hint="eastAsia"/>
                <w:color w:val="000000" w:themeColor="text1"/>
                <w:kern w:val="0"/>
              </w:rPr>
              <w:t>）</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废水</w:t>
            </w:r>
          </w:p>
        </w:tc>
        <w:tc>
          <w:tcPr>
            <w:tcW w:w="368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bCs/>
                <w:color w:val="000000" w:themeColor="text1"/>
                <w:kern w:val="0"/>
                <w:szCs w:val="24"/>
              </w:rPr>
              <w:t>执行《肉类加工工业水污染物排放标准》（GB 13457-92）中较严格的禽类屠宰加工三级标准和《污水排入城镇下水道水质标准》（GB/T 31962-2015）表1中的B级标准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5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3</w:t>
            </w:r>
          </w:p>
        </w:tc>
        <w:tc>
          <w:tcPr>
            <w:tcW w:w="366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在待宰车间和屠宰车间分别安装通风设施</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恶臭</w:t>
            </w:r>
          </w:p>
        </w:tc>
        <w:tc>
          <w:tcPr>
            <w:tcW w:w="368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达到《恶臭污染物排放标准》（</w:t>
            </w:r>
            <w:r>
              <w:rPr>
                <w:color w:val="000000" w:themeColor="text1"/>
              </w:rPr>
              <w:t>GB14554-93</w:t>
            </w:r>
            <w:r>
              <w:rPr>
                <w:rFonts w:hint="eastAsia"/>
                <w:color w:val="000000" w:themeColor="text1"/>
              </w:rPr>
              <w:t>）的恶臭污染物厂界标准限值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5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4</w:t>
            </w:r>
          </w:p>
        </w:tc>
        <w:tc>
          <w:tcPr>
            <w:tcW w:w="366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生物质锅炉配备</w:t>
            </w:r>
            <w:r>
              <w:rPr>
                <w:rFonts w:hint="eastAsia"/>
                <w:bCs/>
                <w:color w:val="000000" w:themeColor="text1"/>
                <w:kern w:val="0"/>
              </w:rPr>
              <w:t>水膜除尘设施，</w:t>
            </w:r>
            <w:r>
              <w:rPr>
                <w:rFonts w:hint="eastAsia"/>
                <w:color w:val="000000" w:themeColor="text1"/>
                <w:kern w:val="0"/>
              </w:rPr>
              <w:t>并配备</w:t>
            </w:r>
            <w:r>
              <w:rPr>
                <w:color w:val="000000" w:themeColor="text1"/>
                <w:kern w:val="0"/>
              </w:rPr>
              <w:t>15m</w:t>
            </w:r>
            <w:r>
              <w:rPr>
                <w:rFonts w:hint="eastAsia"/>
                <w:color w:val="000000" w:themeColor="text1"/>
                <w:kern w:val="0"/>
              </w:rPr>
              <w:t>高排气筒</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锅炉烟气</w:t>
            </w:r>
          </w:p>
        </w:tc>
        <w:tc>
          <w:tcPr>
            <w:tcW w:w="368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排放执行《锅炉大气污染物排放标准》（</w:t>
            </w:r>
            <w:r>
              <w:rPr>
                <w:color w:val="000000" w:themeColor="text1"/>
              </w:rPr>
              <w:t>GB13271-2014</w:t>
            </w:r>
            <w:r>
              <w:rPr>
                <w:rFonts w:hint="eastAsia"/>
                <w:color w:val="000000" w:themeColor="text1"/>
              </w:rPr>
              <w:t>）表</w:t>
            </w:r>
            <w:r>
              <w:rPr>
                <w:color w:val="000000" w:themeColor="text1"/>
              </w:rPr>
              <w:t>2</w:t>
            </w:r>
            <w:r>
              <w:rPr>
                <w:rFonts w:hint="eastAsia"/>
                <w:color w:val="000000" w:themeColor="text1"/>
              </w:rPr>
              <w:t>中相关要求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5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5</w:t>
            </w:r>
          </w:p>
        </w:tc>
        <w:tc>
          <w:tcPr>
            <w:tcW w:w="366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焚烧炉配备</w:t>
            </w:r>
            <w:r>
              <w:rPr>
                <w:rFonts w:hint="eastAsia"/>
                <w:bCs/>
                <w:color w:val="000000" w:themeColor="text1"/>
                <w:kern w:val="0"/>
              </w:rPr>
              <w:t>布袋除尘器，</w:t>
            </w:r>
            <w:r>
              <w:rPr>
                <w:rFonts w:hint="eastAsia"/>
                <w:color w:val="000000" w:themeColor="text1"/>
                <w:kern w:val="0"/>
              </w:rPr>
              <w:t>并配备25</w:t>
            </w:r>
            <w:r>
              <w:rPr>
                <w:color w:val="000000" w:themeColor="text1"/>
                <w:kern w:val="0"/>
              </w:rPr>
              <w:t>m</w:t>
            </w:r>
            <w:r>
              <w:rPr>
                <w:rFonts w:hint="eastAsia"/>
                <w:color w:val="000000" w:themeColor="text1"/>
                <w:kern w:val="0"/>
              </w:rPr>
              <w:t>高排气筒</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焚烧尾气</w:t>
            </w:r>
          </w:p>
        </w:tc>
        <w:tc>
          <w:tcPr>
            <w:tcW w:w="368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szCs w:val="24"/>
              </w:rPr>
            </w:pPr>
            <w:r>
              <w:rPr>
                <w:rFonts w:hint="eastAsia"/>
                <w:color w:val="000000" w:themeColor="text1"/>
              </w:rPr>
              <w:t>执行《危险废物焚烧污染控制标准》（GB18484-2001）表 3 中标准限值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6</w:t>
            </w:r>
          </w:p>
        </w:tc>
        <w:tc>
          <w:tcPr>
            <w:tcW w:w="366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高噪声设备设减振垫，加强进出车辆维护管理，设置禁鸣标志，加强绿化</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噪声</w:t>
            </w:r>
          </w:p>
        </w:tc>
        <w:tc>
          <w:tcPr>
            <w:tcW w:w="368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运营期厂界噪声执行《工业企业厂界环境噪声排放标准》（</w:t>
            </w:r>
            <w:r>
              <w:rPr>
                <w:color w:val="000000" w:themeColor="text1"/>
                <w:kern w:val="0"/>
              </w:rPr>
              <w:t>GB12348-2008</w:t>
            </w:r>
            <w:r>
              <w:rPr>
                <w:rFonts w:hint="eastAsia"/>
                <w:color w:val="000000" w:themeColor="text1"/>
                <w:kern w:val="0"/>
              </w:rPr>
              <w:t>）2类区域标准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7</w:t>
            </w:r>
          </w:p>
        </w:tc>
        <w:tc>
          <w:tcPr>
            <w:tcW w:w="366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snapToGrid w:val="0"/>
                <w:color w:val="000000" w:themeColor="text1"/>
                <w:kern w:val="0"/>
              </w:rPr>
              <w:t>生活垃圾桶</w:t>
            </w:r>
            <w:r>
              <w:rPr>
                <w:snapToGrid w:val="0"/>
                <w:color w:val="000000" w:themeColor="text1"/>
                <w:kern w:val="0"/>
              </w:rPr>
              <w:t>5</w:t>
            </w:r>
            <w:r>
              <w:rPr>
                <w:rFonts w:hint="eastAsia"/>
                <w:snapToGrid w:val="0"/>
                <w:color w:val="000000" w:themeColor="text1"/>
                <w:kern w:val="0"/>
              </w:rPr>
              <w:t>个，生活垃圾收集箱</w:t>
            </w:r>
            <w:r>
              <w:rPr>
                <w:snapToGrid w:val="0"/>
                <w:color w:val="000000" w:themeColor="text1"/>
                <w:kern w:val="0"/>
              </w:rPr>
              <w:t>1</w:t>
            </w:r>
            <w:r>
              <w:rPr>
                <w:rFonts w:hint="eastAsia"/>
                <w:snapToGrid w:val="0"/>
                <w:color w:val="000000" w:themeColor="text1"/>
                <w:kern w:val="0"/>
              </w:rPr>
              <w:t>个（封闭式、设防雨、防泄漏、防渗）</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生活垃圾</w:t>
            </w:r>
          </w:p>
        </w:tc>
        <w:tc>
          <w:tcPr>
            <w:tcW w:w="3685"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color w:val="000000" w:themeColor="text1"/>
                <w:kern w:val="0"/>
              </w:rPr>
              <w:t>100%</w:t>
            </w:r>
            <w:r>
              <w:rPr>
                <w:rFonts w:hint="eastAsia"/>
                <w:color w:val="000000" w:themeColor="text1"/>
                <w:kern w:val="0"/>
              </w:rPr>
              <w:t>收集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8</w:t>
            </w:r>
          </w:p>
        </w:tc>
        <w:tc>
          <w:tcPr>
            <w:tcW w:w="3662"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粪便暂存池</w:t>
            </w:r>
            <w:r>
              <w:rPr>
                <w:snapToGrid w:val="0"/>
                <w:color w:val="000000" w:themeColor="text1"/>
                <w:kern w:val="0"/>
              </w:rPr>
              <w:t>1</w:t>
            </w:r>
            <w:r>
              <w:rPr>
                <w:rFonts w:hint="eastAsia"/>
                <w:snapToGrid w:val="0"/>
                <w:color w:val="000000" w:themeColor="text1"/>
                <w:kern w:val="0"/>
              </w:rPr>
              <w:t>个（半封闭式、设防雨、防渗措施、防溢流、防晒）</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粪便</w:t>
            </w:r>
          </w:p>
        </w:tc>
        <w:tc>
          <w:tcPr>
            <w:tcW w:w="3685"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9</w:t>
            </w:r>
          </w:p>
        </w:tc>
        <w:tc>
          <w:tcPr>
            <w:tcW w:w="3662" w:type="dxa"/>
            <w:tcBorders>
              <w:top w:val="single" w:color="auto" w:sz="4" w:space="0"/>
              <w:left w:val="single" w:color="auto" w:sz="4" w:space="0"/>
              <w:bottom w:val="single" w:color="auto" w:sz="4" w:space="0"/>
              <w:right w:val="single" w:color="auto" w:sz="4" w:space="0"/>
            </w:tcBorders>
            <w:vAlign w:val="center"/>
          </w:tcPr>
          <w:p>
            <w:pPr>
              <w:pStyle w:val="55"/>
              <w:rPr>
                <w:snapToGrid w:val="0"/>
                <w:color w:val="000000" w:themeColor="text1"/>
                <w:kern w:val="0"/>
              </w:rPr>
            </w:pPr>
            <w:r>
              <w:rPr>
                <w:rFonts w:hint="eastAsia"/>
                <w:snapToGrid w:val="0"/>
                <w:color w:val="000000" w:themeColor="text1"/>
                <w:kern w:val="0"/>
              </w:rPr>
              <w:t>环保型焚烧炉</w:t>
            </w:r>
            <w:r>
              <w:rPr>
                <w:snapToGrid w:val="0"/>
                <w:color w:val="000000" w:themeColor="text1"/>
                <w:kern w:val="0"/>
              </w:rPr>
              <w:t>1</w:t>
            </w:r>
            <w:r>
              <w:rPr>
                <w:rFonts w:hint="eastAsia"/>
                <w:snapToGrid w:val="0"/>
                <w:color w:val="000000" w:themeColor="text1"/>
                <w:kern w:val="0"/>
              </w:rPr>
              <w:t>个</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死猪（鸡）等</w:t>
            </w:r>
          </w:p>
        </w:tc>
        <w:tc>
          <w:tcPr>
            <w:tcW w:w="3685"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10</w:t>
            </w:r>
          </w:p>
        </w:tc>
        <w:tc>
          <w:tcPr>
            <w:tcW w:w="3662"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bCs/>
                <w:color w:val="000000" w:themeColor="text1"/>
                <w:kern w:val="0"/>
              </w:rPr>
              <w:t>绿化面积2444.71</w:t>
            </w:r>
            <w:r>
              <w:rPr>
                <w:bCs/>
                <w:color w:val="000000" w:themeColor="text1"/>
                <w:kern w:val="0"/>
              </w:rPr>
              <w:t>m</w:t>
            </w:r>
            <w:r>
              <w:rPr>
                <w:bCs/>
                <w:color w:val="000000" w:themeColor="text1"/>
                <w:kern w:val="0"/>
                <w:vertAlign w:val="superscript"/>
              </w:rPr>
              <w:t>2</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绿化</w:t>
            </w:r>
          </w:p>
        </w:tc>
        <w:tc>
          <w:tcPr>
            <w:tcW w:w="3685"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kern w:val="0"/>
              </w:rPr>
            </w:pPr>
            <w:r>
              <w:rPr>
                <w:rFonts w:hint="eastAsia"/>
                <w:color w:val="000000" w:themeColor="text1"/>
                <w:kern w:val="0"/>
              </w:rPr>
              <w:t>改善美化环境，同时吸尘、隔尘、降噪</w:t>
            </w:r>
          </w:p>
        </w:tc>
      </w:tr>
    </w:tbl>
    <w:p>
      <w:pPr>
        <w:pStyle w:val="3"/>
        <w:rPr>
          <w:color w:val="000000" w:themeColor="text1"/>
        </w:rPr>
      </w:pPr>
      <w:bookmarkStart w:id="413" w:name="_Toc47375941"/>
      <w:r>
        <w:rPr>
          <w:rFonts w:hint="eastAsia"/>
          <w:color w:val="000000" w:themeColor="text1"/>
        </w:rPr>
        <w:t>10.4污染物排放清单</w:t>
      </w:r>
      <w:bookmarkEnd w:id="413"/>
    </w:p>
    <w:p>
      <w:pPr>
        <w:ind w:firstLine="480"/>
        <w:rPr>
          <w:color w:val="000000" w:themeColor="text1"/>
        </w:rPr>
      </w:pPr>
      <w:r>
        <w:rPr>
          <w:rFonts w:hint="eastAsia"/>
          <w:color w:val="000000" w:themeColor="text1"/>
        </w:rPr>
        <w:t>本项目建成之后，全厂污染物排放清单见表10.4-1、表10.4-2、表10.4-3。</w:t>
      </w:r>
    </w:p>
    <w:p>
      <w:pPr>
        <w:pStyle w:val="54"/>
        <w:rPr>
          <w:color w:val="000000" w:themeColor="text1"/>
        </w:rPr>
      </w:pPr>
      <w:r>
        <w:rPr>
          <w:rFonts w:hint="eastAsia"/>
          <w:color w:val="000000" w:themeColor="text1"/>
        </w:rPr>
        <w:t>表10.4-1   废水污染物排放清单一览表</w:t>
      </w:r>
    </w:p>
    <w:tbl>
      <w:tblPr>
        <w:tblStyle w:val="42"/>
        <w:tblW w:w="8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993"/>
        <w:gridCol w:w="1134"/>
        <w:gridCol w:w="1984"/>
        <w:gridCol w:w="1134"/>
        <w:gridCol w:w="851"/>
        <w:gridCol w:w="756"/>
        <w:gridCol w:w="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排放源</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污染物名称</w:t>
            </w:r>
          </w:p>
        </w:tc>
        <w:tc>
          <w:tcPr>
            <w:tcW w:w="1134" w:type="dxa"/>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排放量</w:t>
            </w:r>
          </w:p>
        </w:tc>
        <w:tc>
          <w:tcPr>
            <w:tcW w:w="1984" w:type="dxa"/>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处理处置方式</w:t>
            </w:r>
          </w:p>
        </w:tc>
        <w:tc>
          <w:tcPr>
            <w:tcW w:w="1134" w:type="dxa"/>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排放浓度</w:t>
            </w:r>
          </w:p>
        </w:tc>
        <w:tc>
          <w:tcPr>
            <w:tcW w:w="851" w:type="dxa"/>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排放标准</w:t>
            </w:r>
          </w:p>
        </w:tc>
        <w:tc>
          <w:tcPr>
            <w:tcW w:w="756" w:type="dxa"/>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达标情况</w:t>
            </w:r>
          </w:p>
        </w:tc>
        <w:tc>
          <w:tcPr>
            <w:tcW w:w="980" w:type="dxa"/>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排污口设置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rFonts w:hint="eastAsia"/>
                <w:bCs/>
                <w:color w:val="000000" w:themeColor="text1"/>
              </w:rPr>
              <w:t>生产废水、生活污水</w:t>
            </w: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污水量</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85182.08</w:t>
            </w:r>
            <w:r>
              <w:rPr>
                <w:color w:val="000000" w:themeColor="text1"/>
              </w:rPr>
              <w:t>t/a</w:t>
            </w:r>
          </w:p>
        </w:tc>
        <w:tc>
          <w:tcPr>
            <w:tcW w:w="1984"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rFonts w:cs="Times New Roman"/>
                <w:color w:val="000000" w:themeColor="text1"/>
              </w:rPr>
              <w:t>屠宰废水</w:t>
            </w:r>
            <w:r>
              <w:rPr>
                <w:rFonts w:hint="eastAsia" w:cs="Times New Roman"/>
                <w:color w:val="000000" w:themeColor="text1"/>
              </w:rPr>
              <w:t>、</w:t>
            </w:r>
            <w:r>
              <w:rPr>
                <w:rFonts w:cs="Times New Roman"/>
                <w:color w:val="000000" w:themeColor="text1"/>
              </w:rPr>
              <w:t>冲洗废水</w:t>
            </w:r>
            <w:r>
              <w:rPr>
                <w:rFonts w:hint="eastAsia" w:cs="Times New Roman"/>
                <w:color w:val="000000" w:themeColor="text1"/>
              </w:rPr>
              <w:t>及生活</w:t>
            </w:r>
            <w:r>
              <w:rPr>
                <w:rFonts w:cs="Times New Roman"/>
                <w:color w:val="000000" w:themeColor="text1"/>
              </w:rPr>
              <w:t>污水</w:t>
            </w:r>
            <w:r>
              <w:rPr>
                <w:rFonts w:hint="eastAsia" w:cs="Times New Roman"/>
                <w:color w:val="000000" w:themeColor="text1"/>
              </w:rPr>
              <w:t>都</w:t>
            </w:r>
            <w:r>
              <w:rPr>
                <w:rFonts w:cs="Times New Roman"/>
                <w:color w:val="000000" w:themeColor="text1"/>
              </w:rPr>
              <w:t>排入自建的</w:t>
            </w:r>
            <w:r>
              <w:rPr>
                <w:rFonts w:hint="eastAsia"/>
                <w:color w:val="000000" w:themeColor="text1"/>
              </w:rPr>
              <w:t>“隔油沉砂</w:t>
            </w:r>
            <w:r>
              <w:rPr>
                <w:color w:val="000000" w:themeColor="text1"/>
              </w:rPr>
              <w:t>+</w:t>
            </w:r>
            <w:r>
              <w:rPr>
                <w:rFonts w:hint="eastAsia"/>
                <w:color w:val="000000" w:themeColor="text1"/>
              </w:rPr>
              <w:t>调节</w:t>
            </w:r>
            <w:r>
              <w:rPr>
                <w:color w:val="000000" w:themeColor="text1"/>
              </w:rPr>
              <w:t>+</w:t>
            </w:r>
            <w:r>
              <w:rPr>
                <w:rFonts w:hint="eastAsia"/>
                <w:color w:val="000000" w:themeColor="text1"/>
              </w:rPr>
              <w:t>气浮</w:t>
            </w:r>
            <w:r>
              <w:rPr>
                <w:color w:val="000000" w:themeColor="text1"/>
              </w:rPr>
              <w:t>+</w:t>
            </w:r>
            <w:r>
              <w:rPr>
                <w:rFonts w:hint="eastAsia"/>
                <w:color w:val="000000" w:themeColor="text1"/>
              </w:rPr>
              <w:t>厌氧</w:t>
            </w:r>
            <w:r>
              <w:rPr>
                <w:color w:val="000000" w:themeColor="text1"/>
              </w:rPr>
              <w:t>+</w:t>
            </w:r>
            <w:r>
              <w:rPr>
                <w:rFonts w:hint="eastAsia"/>
                <w:color w:val="000000" w:themeColor="text1"/>
              </w:rPr>
              <w:t>接触氧化</w:t>
            </w:r>
            <w:r>
              <w:rPr>
                <w:color w:val="000000" w:themeColor="text1"/>
              </w:rPr>
              <w:t>+</w:t>
            </w:r>
            <w:r>
              <w:rPr>
                <w:rFonts w:hint="eastAsia"/>
                <w:color w:val="000000" w:themeColor="text1"/>
              </w:rPr>
              <w:t>沉淀消毒”工艺的</w:t>
            </w:r>
            <w:r>
              <w:rPr>
                <w:rFonts w:cs="Times New Roman"/>
                <w:color w:val="000000" w:themeColor="text1"/>
              </w:rPr>
              <w:t>污水处理站处理</w:t>
            </w:r>
            <w:r>
              <w:rPr>
                <w:rFonts w:hint="eastAsia" w:cs="Times New Roman"/>
                <w:color w:val="000000" w:themeColor="text1"/>
              </w:rPr>
              <w:t>，</w:t>
            </w:r>
            <w:r>
              <w:rPr>
                <w:rFonts w:hint="eastAsia"/>
                <w:color w:val="000000" w:themeColor="text1"/>
              </w:rPr>
              <w:t>同时达到</w:t>
            </w:r>
            <w:r>
              <w:rPr>
                <w:rFonts w:hint="eastAsia"/>
                <w:bCs/>
                <w:color w:val="000000" w:themeColor="text1"/>
                <w:kern w:val="0"/>
                <w:szCs w:val="24"/>
              </w:rPr>
              <w:t>（GB 13457）中较严格的禽类屠宰加工三级标准和（GB/T 31962）表1中的B级标准</w:t>
            </w:r>
            <w:r>
              <w:rPr>
                <w:rFonts w:cs="Times New Roman"/>
                <w:color w:val="000000" w:themeColor="text1"/>
              </w:rPr>
              <w:t>达标后排入砚山县城镇污水管网</w:t>
            </w:r>
          </w:p>
        </w:tc>
        <w:tc>
          <w:tcPr>
            <w:tcW w:w="1134" w:type="dxa"/>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w:t>
            </w:r>
          </w:p>
        </w:tc>
        <w:tc>
          <w:tcPr>
            <w:tcW w:w="851" w:type="dxa"/>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w:t>
            </w:r>
          </w:p>
        </w:tc>
        <w:tc>
          <w:tcPr>
            <w:tcW w:w="756" w:type="dxa"/>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w:t>
            </w:r>
          </w:p>
        </w:tc>
        <w:tc>
          <w:tcPr>
            <w:tcW w:w="980"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color w:val="000000" w:themeColor="text1"/>
              </w:rPr>
              <w:t>污水处理站设置有一个废水排放口</w:t>
            </w:r>
            <w:r>
              <w:rPr>
                <w:rFonts w:hint="eastAsia"/>
                <w:color w:val="000000" w:themeColor="text1"/>
              </w:rPr>
              <w:t>，连接</w:t>
            </w:r>
            <w:r>
              <w:rPr>
                <w:color w:val="000000" w:themeColor="text1"/>
              </w:rPr>
              <w:t>城镇污水管网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Merge w:val="continue"/>
            <w:tcBorders>
              <w:left w:val="single" w:color="auto" w:sz="4" w:space="0"/>
              <w:right w:val="single" w:color="auto" w:sz="4" w:space="0"/>
            </w:tcBorders>
            <w:vAlign w:val="center"/>
          </w:tcPr>
          <w:p>
            <w:pPr>
              <w:pStyle w:val="55"/>
              <w:rPr>
                <w:color w:val="000000" w:themeColor="text1"/>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COD</w:t>
            </w:r>
          </w:p>
        </w:tc>
        <w:tc>
          <w:tcPr>
            <w:tcW w:w="1134" w:type="dxa"/>
            <w:tcBorders>
              <w:top w:val="single" w:color="auto" w:sz="4" w:space="0"/>
              <w:left w:val="single" w:color="auto" w:sz="4" w:space="0"/>
              <w:right w:val="single" w:color="auto" w:sz="4" w:space="0"/>
            </w:tcBorders>
            <w:vAlign w:val="center"/>
          </w:tcPr>
          <w:p>
            <w:pPr>
              <w:pStyle w:val="55"/>
              <w:rPr>
                <w:color w:val="000000" w:themeColor="text1"/>
              </w:rPr>
            </w:pPr>
            <w:r>
              <w:rPr>
                <w:color w:val="000000" w:themeColor="text1"/>
              </w:rPr>
              <w:t>5.</w:t>
            </w:r>
            <w:r>
              <w:rPr>
                <w:rFonts w:hint="eastAsia"/>
                <w:color w:val="000000" w:themeColor="text1"/>
              </w:rPr>
              <w:t>098</w:t>
            </w:r>
            <w:r>
              <w:rPr>
                <w:color w:val="000000" w:themeColor="text1"/>
              </w:rPr>
              <w:t>t/a</w:t>
            </w:r>
          </w:p>
        </w:tc>
        <w:tc>
          <w:tcPr>
            <w:tcW w:w="1984" w:type="dxa"/>
            <w:vMerge w:val="continue"/>
            <w:tcBorders>
              <w:left w:val="single" w:color="auto" w:sz="4" w:space="0"/>
              <w:right w:val="single" w:color="auto" w:sz="4" w:space="0"/>
            </w:tcBorders>
            <w:vAlign w:val="center"/>
          </w:tcPr>
          <w:p>
            <w:pPr>
              <w:pStyle w:val="55"/>
              <w:rPr>
                <w:color w:val="000000" w:themeColor="text1"/>
              </w:rPr>
            </w:pPr>
          </w:p>
        </w:tc>
        <w:tc>
          <w:tcPr>
            <w:tcW w:w="1134" w:type="dxa"/>
            <w:tcBorders>
              <w:left w:val="single" w:color="auto" w:sz="4" w:space="0"/>
              <w:right w:val="single" w:color="auto" w:sz="4" w:space="0"/>
            </w:tcBorders>
            <w:vAlign w:val="center"/>
          </w:tcPr>
          <w:p>
            <w:pPr>
              <w:pStyle w:val="55"/>
              <w:rPr>
                <w:color w:val="000000" w:themeColor="text1"/>
              </w:rPr>
            </w:pPr>
            <w:r>
              <w:rPr>
                <w:rFonts w:hint="eastAsia"/>
                <w:color w:val="000000" w:themeColor="text1"/>
              </w:rPr>
              <w:t>59.84</w:t>
            </w:r>
            <w:r>
              <w:rPr>
                <w:color w:val="000000" w:themeColor="text1"/>
              </w:rPr>
              <w:t>mg/L</w:t>
            </w:r>
          </w:p>
        </w:tc>
        <w:tc>
          <w:tcPr>
            <w:tcW w:w="851" w:type="dxa"/>
            <w:tcBorders>
              <w:left w:val="single" w:color="auto" w:sz="4" w:space="0"/>
              <w:right w:val="single" w:color="auto" w:sz="4" w:space="0"/>
            </w:tcBorders>
            <w:vAlign w:val="center"/>
          </w:tcPr>
          <w:p>
            <w:pPr>
              <w:pStyle w:val="55"/>
              <w:rPr>
                <w:color w:val="000000" w:themeColor="text1"/>
              </w:rPr>
            </w:pPr>
            <w:r>
              <w:rPr>
                <w:rFonts w:hint="eastAsia"/>
                <w:color w:val="000000" w:themeColor="text1"/>
              </w:rPr>
              <w:t>≤500</w:t>
            </w:r>
          </w:p>
        </w:tc>
        <w:tc>
          <w:tcPr>
            <w:tcW w:w="756" w:type="dxa"/>
            <w:tcBorders>
              <w:left w:val="single" w:color="auto" w:sz="4" w:space="0"/>
              <w:right w:val="single" w:color="auto" w:sz="4" w:space="0"/>
            </w:tcBorders>
            <w:vAlign w:val="center"/>
          </w:tcPr>
          <w:p>
            <w:pPr>
              <w:pStyle w:val="55"/>
              <w:rPr>
                <w:color w:val="000000" w:themeColor="text1"/>
              </w:rPr>
            </w:pPr>
            <w:r>
              <w:rPr>
                <w:rFonts w:hint="eastAsia"/>
                <w:color w:val="000000" w:themeColor="text1"/>
              </w:rPr>
              <w:t>达标</w:t>
            </w:r>
          </w:p>
        </w:tc>
        <w:tc>
          <w:tcPr>
            <w:tcW w:w="980" w:type="dxa"/>
            <w:vMerge w:val="continue"/>
            <w:tcBorders>
              <w:left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Merge w:val="continue"/>
            <w:tcBorders>
              <w:left w:val="single" w:color="auto" w:sz="4" w:space="0"/>
              <w:right w:val="single" w:color="auto" w:sz="4" w:space="0"/>
            </w:tcBorders>
            <w:vAlign w:val="center"/>
          </w:tcPr>
          <w:p>
            <w:pPr>
              <w:pStyle w:val="55"/>
              <w:rPr>
                <w:color w:val="000000" w:themeColor="text1"/>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vertAlign w:val="subscript"/>
              </w:rPr>
            </w:pPr>
            <w:r>
              <w:rPr>
                <w:color w:val="000000" w:themeColor="text1"/>
              </w:rPr>
              <w:t>BOD</w:t>
            </w:r>
            <w:r>
              <w:rPr>
                <w:color w:val="000000" w:themeColor="text1"/>
                <w:vertAlign w:val="subscript"/>
              </w:rPr>
              <w:t>5</w:t>
            </w:r>
          </w:p>
        </w:tc>
        <w:tc>
          <w:tcPr>
            <w:tcW w:w="1134" w:type="dxa"/>
            <w:tcBorders>
              <w:left w:val="single" w:color="auto" w:sz="4" w:space="0"/>
              <w:right w:val="single" w:color="auto" w:sz="4" w:space="0"/>
            </w:tcBorders>
            <w:vAlign w:val="center"/>
          </w:tcPr>
          <w:p>
            <w:pPr>
              <w:pStyle w:val="55"/>
              <w:rPr>
                <w:color w:val="000000" w:themeColor="text1"/>
              </w:rPr>
            </w:pPr>
            <w:r>
              <w:rPr>
                <w:rFonts w:hint="eastAsia"/>
                <w:color w:val="000000" w:themeColor="text1"/>
              </w:rPr>
              <w:t>2.249</w:t>
            </w:r>
            <w:r>
              <w:rPr>
                <w:color w:val="000000" w:themeColor="text1"/>
              </w:rPr>
              <w:t>t/a</w:t>
            </w:r>
          </w:p>
        </w:tc>
        <w:tc>
          <w:tcPr>
            <w:tcW w:w="1984" w:type="dxa"/>
            <w:vMerge w:val="continue"/>
            <w:tcBorders>
              <w:left w:val="single" w:color="auto" w:sz="4" w:space="0"/>
              <w:right w:val="single" w:color="auto" w:sz="4" w:space="0"/>
            </w:tcBorders>
            <w:vAlign w:val="center"/>
          </w:tcPr>
          <w:p>
            <w:pPr>
              <w:pStyle w:val="55"/>
              <w:rPr>
                <w:color w:val="000000" w:themeColor="text1"/>
              </w:rPr>
            </w:pPr>
          </w:p>
        </w:tc>
        <w:tc>
          <w:tcPr>
            <w:tcW w:w="1134" w:type="dxa"/>
            <w:tcBorders>
              <w:left w:val="single" w:color="auto" w:sz="4" w:space="0"/>
              <w:right w:val="single" w:color="auto" w:sz="4" w:space="0"/>
            </w:tcBorders>
            <w:vAlign w:val="center"/>
          </w:tcPr>
          <w:p>
            <w:pPr>
              <w:pStyle w:val="55"/>
              <w:rPr>
                <w:color w:val="000000" w:themeColor="text1"/>
              </w:rPr>
            </w:pPr>
            <w:r>
              <w:rPr>
                <w:rFonts w:hint="eastAsia"/>
                <w:color w:val="000000" w:themeColor="text1"/>
              </w:rPr>
              <w:t>26.4</w:t>
            </w:r>
            <w:r>
              <w:rPr>
                <w:color w:val="000000" w:themeColor="text1"/>
              </w:rPr>
              <w:t>mg/L</w:t>
            </w:r>
          </w:p>
        </w:tc>
        <w:tc>
          <w:tcPr>
            <w:tcW w:w="851" w:type="dxa"/>
            <w:tcBorders>
              <w:left w:val="single" w:color="auto" w:sz="4" w:space="0"/>
              <w:right w:val="single" w:color="auto" w:sz="4" w:space="0"/>
            </w:tcBorders>
            <w:vAlign w:val="center"/>
          </w:tcPr>
          <w:p>
            <w:pPr>
              <w:pStyle w:val="55"/>
              <w:rPr>
                <w:color w:val="000000" w:themeColor="text1"/>
              </w:rPr>
            </w:pPr>
            <w:r>
              <w:rPr>
                <w:rFonts w:hint="eastAsia"/>
                <w:color w:val="000000" w:themeColor="text1"/>
              </w:rPr>
              <w:t>≤250</w:t>
            </w:r>
          </w:p>
        </w:tc>
        <w:tc>
          <w:tcPr>
            <w:tcW w:w="756" w:type="dxa"/>
            <w:tcBorders>
              <w:left w:val="single" w:color="auto" w:sz="4" w:space="0"/>
              <w:right w:val="single" w:color="auto" w:sz="4" w:space="0"/>
            </w:tcBorders>
            <w:vAlign w:val="center"/>
          </w:tcPr>
          <w:p>
            <w:pPr>
              <w:pStyle w:val="55"/>
              <w:rPr>
                <w:color w:val="000000" w:themeColor="text1"/>
              </w:rPr>
            </w:pPr>
            <w:r>
              <w:rPr>
                <w:rFonts w:hint="eastAsia"/>
                <w:color w:val="000000" w:themeColor="text1"/>
              </w:rPr>
              <w:t>达标</w:t>
            </w:r>
          </w:p>
        </w:tc>
        <w:tc>
          <w:tcPr>
            <w:tcW w:w="980" w:type="dxa"/>
            <w:vMerge w:val="continue"/>
            <w:tcBorders>
              <w:left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Merge w:val="continue"/>
            <w:tcBorders>
              <w:left w:val="single" w:color="auto" w:sz="4" w:space="0"/>
              <w:right w:val="single" w:color="auto" w:sz="4" w:space="0"/>
            </w:tcBorders>
            <w:vAlign w:val="center"/>
          </w:tcPr>
          <w:p>
            <w:pPr>
              <w:pStyle w:val="55"/>
              <w:rPr>
                <w:color w:val="000000" w:themeColor="text1"/>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SS</w:t>
            </w:r>
          </w:p>
        </w:tc>
        <w:tc>
          <w:tcPr>
            <w:tcW w:w="1134" w:type="dxa"/>
            <w:tcBorders>
              <w:left w:val="single" w:color="auto" w:sz="4" w:space="0"/>
              <w:right w:val="single" w:color="auto" w:sz="4" w:space="0"/>
            </w:tcBorders>
            <w:vAlign w:val="center"/>
          </w:tcPr>
          <w:p>
            <w:pPr>
              <w:pStyle w:val="55"/>
              <w:rPr>
                <w:color w:val="000000" w:themeColor="text1"/>
              </w:rPr>
            </w:pPr>
            <w:r>
              <w:rPr>
                <w:rFonts w:hint="eastAsia"/>
                <w:color w:val="000000" w:themeColor="text1"/>
              </w:rPr>
              <w:t>6.798</w:t>
            </w:r>
            <w:r>
              <w:rPr>
                <w:color w:val="000000" w:themeColor="text1"/>
              </w:rPr>
              <w:t>t/a</w:t>
            </w:r>
          </w:p>
        </w:tc>
        <w:tc>
          <w:tcPr>
            <w:tcW w:w="1984" w:type="dxa"/>
            <w:vMerge w:val="continue"/>
            <w:tcBorders>
              <w:left w:val="single" w:color="auto" w:sz="4" w:space="0"/>
              <w:right w:val="single" w:color="auto" w:sz="4" w:space="0"/>
            </w:tcBorders>
            <w:vAlign w:val="center"/>
          </w:tcPr>
          <w:p>
            <w:pPr>
              <w:pStyle w:val="55"/>
              <w:rPr>
                <w:color w:val="000000" w:themeColor="text1"/>
              </w:rPr>
            </w:pPr>
          </w:p>
        </w:tc>
        <w:tc>
          <w:tcPr>
            <w:tcW w:w="1134" w:type="dxa"/>
            <w:tcBorders>
              <w:left w:val="single" w:color="auto" w:sz="4" w:space="0"/>
              <w:right w:val="single" w:color="auto" w:sz="4" w:space="0"/>
            </w:tcBorders>
            <w:vAlign w:val="center"/>
          </w:tcPr>
          <w:p>
            <w:pPr>
              <w:pStyle w:val="55"/>
              <w:rPr>
                <w:color w:val="000000" w:themeColor="text1"/>
              </w:rPr>
            </w:pPr>
            <w:r>
              <w:rPr>
                <w:rFonts w:hint="eastAsia"/>
                <w:color w:val="000000" w:themeColor="text1"/>
              </w:rPr>
              <w:t>79.8</w:t>
            </w:r>
            <w:r>
              <w:rPr>
                <w:color w:val="000000" w:themeColor="text1"/>
              </w:rPr>
              <w:t>mg/L</w:t>
            </w:r>
          </w:p>
        </w:tc>
        <w:tc>
          <w:tcPr>
            <w:tcW w:w="851" w:type="dxa"/>
            <w:tcBorders>
              <w:left w:val="single" w:color="auto" w:sz="4" w:space="0"/>
              <w:right w:val="single" w:color="auto" w:sz="4" w:space="0"/>
            </w:tcBorders>
            <w:vAlign w:val="center"/>
          </w:tcPr>
          <w:p>
            <w:pPr>
              <w:pStyle w:val="55"/>
              <w:rPr>
                <w:color w:val="000000" w:themeColor="text1"/>
              </w:rPr>
            </w:pPr>
            <w:r>
              <w:rPr>
                <w:rFonts w:hint="eastAsia"/>
                <w:color w:val="000000" w:themeColor="text1"/>
              </w:rPr>
              <w:t>≤300</w:t>
            </w:r>
          </w:p>
        </w:tc>
        <w:tc>
          <w:tcPr>
            <w:tcW w:w="756" w:type="dxa"/>
            <w:tcBorders>
              <w:left w:val="single" w:color="auto" w:sz="4" w:space="0"/>
              <w:right w:val="single" w:color="auto" w:sz="4" w:space="0"/>
            </w:tcBorders>
            <w:vAlign w:val="center"/>
          </w:tcPr>
          <w:p>
            <w:pPr>
              <w:pStyle w:val="55"/>
              <w:rPr>
                <w:color w:val="000000" w:themeColor="text1"/>
              </w:rPr>
            </w:pPr>
            <w:r>
              <w:rPr>
                <w:rFonts w:hint="eastAsia"/>
                <w:color w:val="000000" w:themeColor="text1"/>
              </w:rPr>
              <w:t>达标</w:t>
            </w:r>
          </w:p>
        </w:tc>
        <w:tc>
          <w:tcPr>
            <w:tcW w:w="980" w:type="dxa"/>
            <w:vMerge w:val="continue"/>
            <w:tcBorders>
              <w:left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Merge w:val="continue"/>
            <w:tcBorders>
              <w:left w:val="single" w:color="auto" w:sz="4" w:space="0"/>
              <w:right w:val="single" w:color="auto" w:sz="4" w:space="0"/>
            </w:tcBorders>
            <w:vAlign w:val="center"/>
          </w:tcPr>
          <w:p>
            <w:pPr>
              <w:pStyle w:val="55"/>
              <w:rPr>
                <w:color w:val="000000" w:themeColor="text1"/>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氨氮</w:t>
            </w:r>
          </w:p>
        </w:tc>
        <w:tc>
          <w:tcPr>
            <w:tcW w:w="1134" w:type="dxa"/>
            <w:tcBorders>
              <w:left w:val="single" w:color="auto" w:sz="4" w:space="0"/>
              <w:right w:val="single" w:color="auto" w:sz="4" w:space="0"/>
            </w:tcBorders>
            <w:vAlign w:val="center"/>
          </w:tcPr>
          <w:p>
            <w:pPr>
              <w:pStyle w:val="55"/>
              <w:rPr>
                <w:color w:val="000000" w:themeColor="text1"/>
              </w:rPr>
            </w:pPr>
            <w:r>
              <w:rPr>
                <w:color w:val="000000" w:themeColor="text1"/>
              </w:rPr>
              <w:t>0</w:t>
            </w:r>
            <w:r>
              <w:rPr>
                <w:rFonts w:hint="eastAsia"/>
                <w:color w:val="000000" w:themeColor="text1"/>
              </w:rPr>
              <w:t>.798</w:t>
            </w:r>
            <w:r>
              <w:rPr>
                <w:color w:val="000000" w:themeColor="text1"/>
              </w:rPr>
              <w:t>t/a</w:t>
            </w:r>
          </w:p>
        </w:tc>
        <w:tc>
          <w:tcPr>
            <w:tcW w:w="1984" w:type="dxa"/>
            <w:vMerge w:val="continue"/>
            <w:tcBorders>
              <w:left w:val="single" w:color="auto" w:sz="4" w:space="0"/>
              <w:right w:val="single" w:color="auto" w:sz="4" w:space="0"/>
            </w:tcBorders>
            <w:vAlign w:val="center"/>
          </w:tcPr>
          <w:p>
            <w:pPr>
              <w:pStyle w:val="55"/>
              <w:rPr>
                <w:color w:val="000000" w:themeColor="text1"/>
              </w:rPr>
            </w:pPr>
          </w:p>
        </w:tc>
        <w:tc>
          <w:tcPr>
            <w:tcW w:w="1134" w:type="dxa"/>
            <w:tcBorders>
              <w:left w:val="single" w:color="auto" w:sz="4" w:space="0"/>
              <w:right w:val="single" w:color="auto" w:sz="4" w:space="0"/>
            </w:tcBorders>
            <w:vAlign w:val="center"/>
          </w:tcPr>
          <w:p>
            <w:pPr>
              <w:pStyle w:val="55"/>
              <w:rPr>
                <w:color w:val="000000" w:themeColor="text1"/>
              </w:rPr>
            </w:pPr>
            <w:r>
              <w:rPr>
                <w:rFonts w:hint="eastAsia"/>
                <w:color w:val="000000" w:themeColor="text1"/>
              </w:rPr>
              <w:t>9.38</w:t>
            </w:r>
            <w:r>
              <w:rPr>
                <w:color w:val="000000" w:themeColor="text1"/>
              </w:rPr>
              <w:t>mg/L</w:t>
            </w:r>
          </w:p>
        </w:tc>
        <w:tc>
          <w:tcPr>
            <w:tcW w:w="851" w:type="dxa"/>
            <w:tcBorders>
              <w:left w:val="single" w:color="auto" w:sz="4" w:space="0"/>
              <w:right w:val="single" w:color="auto" w:sz="4" w:space="0"/>
            </w:tcBorders>
            <w:vAlign w:val="center"/>
          </w:tcPr>
          <w:p>
            <w:pPr>
              <w:pStyle w:val="55"/>
              <w:rPr>
                <w:color w:val="000000" w:themeColor="text1"/>
              </w:rPr>
            </w:pPr>
            <w:r>
              <w:rPr>
                <w:rFonts w:hint="eastAsia"/>
                <w:color w:val="000000" w:themeColor="text1"/>
              </w:rPr>
              <w:t>≤45</w:t>
            </w:r>
          </w:p>
        </w:tc>
        <w:tc>
          <w:tcPr>
            <w:tcW w:w="756" w:type="dxa"/>
            <w:tcBorders>
              <w:left w:val="single" w:color="auto" w:sz="4" w:space="0"/>
              <w:right w:val="single" w:color="auto" w:sz="4" w:space="0"/>
            </w:tcBorders>
            <w:vAlign w:val="center"/>
          </w:tcPr>
          <w:p>
            <w:pPr>
              <w:pStyle w:val="55"/>
              <w:rPr>
                <w:color w:val="000000" w:themeColor="text1"/>
              </w:rPr>
            </w:pPr>
            <w:r>
              <w:rPr>
                <w:rFonts w:hint="eastAsia"/>
                <w:color w:val="000000" w:themeColor="text1"/>
              </w:rPr>
              <w:t>达标</w:t>
            </w:r>
          </w:p>
        </w:tc>
        <w:tc>
          <w:tcPr>
            <w:tcW w:w="980" w:type="dxa"/>
            <w:vMerge w:val="continue"/>
            <w:tcBorders>
              <w:left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Merge w:val="continue"/>
            <w:tcBorders>
              <w:left w:val="single" w:color="auto" w:sz="4" w:space="0"/>
              <w:right w:val="single" w:color="auto" w:sz="4" w:space="0"/>
            </w:tcBorders>
            <w:vAlign w:val="center"/>
          </w:tcPr>
          <w:p>
            <w:pPr>
              <w:pStyle w:val="55"/>
              <w:rPr>
                <w:color w:val="000000" w:themeColor="text1"/>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动植物油</w:t>
            </w:r>
          </w:p>
        </w:tc>
        <w:tc>
          <w:tcPr>
            <w:tcW w:w="1134" w:type="dxa"/>
            <w:tcBorders>
              <w:left w:val="single" w:color="auto" w:sz="4" w:space="0"/>
              <w:right w:val="single" w:color="auto" w:sz="4" w:space="0"/>
            </w:tcBorders>
            <w:vAlign w:val="center"/>
          </w:tcPr>
          <w:p>
            <w:pPr>
              <w:pStyle w:val="55"/>
              <w:rPr>
                <w:color w:val="000000" w:themeColor="text1"/>
              </w:rPr>
            </w:pPr>
            <w:r>
              <w:rPr>
                <w:color w:val="000000" w:themeColor="text1"/>
              </w:rPr>
              <w:t>0.79t/a</w:t>
            </w:r>
          </w:p>
        </w:tc>
        <w:tc>
          <w:tcPr>
            <w:tcW w:w="1984" w:type="dxa"/>
            <w:vMerge w:val="continue"/>
            <w:tcBorders>
              <w:left w:val="single" w:color="auto" w:sz="4" w:space="0"/>
              <w:right w:val="single" w:color="auto" w:sz="4" w:space="0"/>
            </w:tcBorders>
            <w:vAlign w:val="center"/>
          </w:tcPr>
          <w:p>
            <w:pPr>
              <w:pStyle w:val="55"/>
              <w:rPr>
                <w:color w:val="000000" w:themeColor="text1"/>
              </w:rPr>
            </w:pPr>
          </w:p>
        </w:tc>
        <w:tc>
          <w:tcPr>
            <w:tcW w:w="1134" w:type="dxa"/>
            <w:tcBorders>
              <w:left w:val="single" w:color="auto" w:sz="4" w:space="0"/>
              <w:right w:val="single" w:color="auto" w:sz="4" w:space="0"/>
            </w:tcBorders>
            <w:vAlign w:val="center"/>
          </w:tcPr>
          <w:p>
            <w:pPr>
              <w:pStyle w:val="55"/>
              <w:rPr>
                <w:color w:val="000000" w:themeColor="text1"/>
              </w:rPr>
            </w:pPr>
            <w:r>
              <w:rPr>
                <w:rFonts w:hint="eastAsia"/>
                <w:color w:val="000000" w:themeColor="text1"/>
              </w:rPr>
              <w:t>9.19</w:t>
            </w:r>
            <w:r>
              <w:rPr>
                <w:color w:val="000000" w:themeColor="text1"/>
              </w:rPr>
              <w:t>mg/L</w:t>
            </w:r>
          </w:p>
        </w:tc>
        <w:tc>
          <w:tcPr>
            <w:tcW w:w="851" w:type="dxa"/>
            <w:tcBorders>
              <w:left w:val="single" w:color="auto" w:sz="4" w:space="0"/>
              <w:right w:val="single" w:color="auto" w:sz="4" w:space="0"/>
            </w:tcBorders>
            <w:vAlign w:val="center"/>
          </w:tcPr>
          <w:p>
            <w:pPr>
              <w:pStyle w:val="55"/>
              <w:rPr>
                <w:color w:val="000000" w:themeColor="text1"/>
              </w:rPr>
            </w:pPr>
            <w:r>
              <w:rPr>
                <w:rFonts w:hint="eastAsia"/>
                <w:color w:val="000000" w:themeColor="text1"/>
              </w:rPr>
              <w:t>≤50</w:t>
            </w:r>
          </w:p>
        </w:tc>
        <w:tc>
          <w:tcPr>
            <w:tcW w:w="756" w:type="dxa"/>
            <w:tcBorders>
              <w:left w:val="single" w:color="auto" w:sz="4" w:space="0"/>
              <w:right w:val="single" w:color="auto" w:sz="4" w:space="0"/>
            </w:tcBorders>
            <w:vAlign w:val="center"/>
          </w:tcPr>
          <w:p>
            <w:pPr>
              <w:pStyle w:val="55"/>
              <w:rPr>
                <w:color w:val="000000" w:themeColor="text1"/>
              </w:rPr>
            </w:pPr>
            <w:r>
              <w:rPr>
                <w:rFonts w:hint="eastAsia"/>
                <w:color w:val="000000" w:themeColor="text1"/>
              </w:rPr>
              <w:t>达标</w:t>
            </w:r>
          </w:p>
        </w:tc>
        <w:tc>
          <w:tcPr>
            <w:tcW w:w="980" w:type="dxa"/>
            <w:vMerge w:val="continue"/>
            <w:tcBorders>
              <w:left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大肠菌群</w:t>
            </w:r>
          </w:p>
        </w:tc>
        <w:tc>
          <w:tcPr>
            <w:tcW w:w="1134" w:type="dxa"/>
            <w:tcBorders>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w:t>
            </w:r>
          </w:p>
        </w:tc>
        <w:tc>
          <w:tcPr>
            <w:tcW w:w="1984"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1134" w:type="dxa"/>
            <w:tcBorders>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4</w:t>
            </w:r>
            <w:r>
              <w:rPr>
                <w:rFonts w:hint="eastAsia"/>
                <w:color w:val="000000" w:themeColor="text1"/>
              </w:rPr>
              <w:t>6</w:t>
            </w:r>
            <w:r>
              <w:rPr>
                <w:color w:val="000000" w:themeColor="text1"/>
              </w:rPr>
              <w:t>00</w:t>
            </w:r>
            <w:r>
              <w:rPr>
                <w:rFonts w:hint="eastAsia"/>
                <w:color w:val="000000" w:themeColor="text1"/>
              </w:rPr>
              <w:t>个</w:t>
            </w:r>
            <w:r>
              <w:rPr>
                <w:color w:val="000000" w:themeColor="text1"/>
              </w:rPr>
              <w:t>/L</w:t>
            </w:r>
          </w:p>
        </w:tc>
        <w:tc>
          <w:tcPr>
            <w:tcW w:w="851" w:type="dxa"/>
            <w:tcBorders>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w:t>
            </w:r>
          </w:p>
        </w:tc>
        <w:tc>
          <w:tcPr>
            <w:tcW w:w="756" w:type="dxa"/>
            <w:tcBorders>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w:t>
            </w:r>
          </w:p>
        </w:tc>
        <w:tc>
          <w:tcPr>
            <w:tcW w:w="980"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r>
    </w:tbl>
    <w:p>
      <w:pPr>
        <w:pStyle w:val="54"/>
        <w:rPr>
          <w:color w:val="000000" w:themeColor="text1"/>
        </w:rPr>
      </w:pPr>
      <w:r>
        <w:rPr>
          <w:rFonts w:hint="eastAsia"/>
          <w:color w:val="000000" w:themeColor="text1"/>
        </w:rPr>
        <w:t>表10.4-2  废气污染物排放清单一览表</w:t>
      </w:r>
    </w:p>
    <w:tbl>
      <w:tblPr>
        <w:tblStyle w:val="42"/>
        <w:tblW w:w="86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426"/>
        <w:gridCol w:w="916"/>
        <w:gridCol w:w="1134"/>
        <w:gridCol w:w="1418"/>
        <w:gridCol w:w="754"/>
        <w:gridCol w:w="1237"/>
        <w:gridCol w:w="747"/>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排放源</w:t>
            </w:r>
          </w:p>
        </w:tc>
        <w:tc>
          <w:tcPr>
            <w:tcW w:w="1342"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污染物名称</w:t>
            </w:r>
          </w:p>
        </w:tc>
        <w:tc>
          <w:tcPr>
            <w:tcW w:w="1134" w:type="dxa"/>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排放量</w:t>
            </w:r>
          </w:p>
        </w:tc>
        <w:tc>
          <w:tcPr>
            <w:tcW w:w="1418" w:type="dxa"/>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处理处置方式</w:t>
            </w:r>
          </w:p>
        </w:tc>
        <w:tc>
          <w:tcPr>
            <w:tcW w:w="754" w:type="dxa"/>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排放方式</w:t>
            </w:r>
          </w:p>
        </w:tc>
        <w:tc>
          <w:tcPr>
            <w:tcW w:w="1237" w:type="dxa"/>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排放标准</w:t>
            </w:r>
          </w:p>
        </w:tc>
        <w:tc>
          <w:tcPr>
            <w:tcW w:w="747" w:type="dxa"/>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达标情况</w:t>
            </w:r>
          </w:p>
        </w:tc>
        <w:tc>
          <w:tcPr>
            <w:tcW w:w="1061" w:type="dxa"/>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排污口设置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生猪待宰间、屠宰间</w:t>
            </w:r>
          </w:p>
        </w:tc>
        <w:tc>
          <w:tcPr>
            <w:tcW w:w="426"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无组织</w:t>
            </w:r>
          </w:p>
        </w:tc>
        <w:tc>
          <w:tcPr>
            <w:tcW w:w="9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氨</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0.0693</w:t>
            </w:r>
            <w:r>
              <w:rPr>
                <w:color w:val="000000" w:themeColor="text1"/>
              </w:rPr>
              <w:t>t/a</w:t>
            </w:r>
          </w:p>
        </w:tc>
        <w:tc>
          <w:tcPr>
            <w:tcW w:w="1418"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封闭待宰和屠宰车间，定期清扫并喷洒生物除臭剂，周边设置绿化隔离带等措施除臭</w:t>
            </w:r>
          </w:p>
        </w:tc>
        <w:tc>
          <w:tcPr>
            <w:tcW w:w="754"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连续</w:t>
            </w:r>
          </w:p>
        </w:tc>
        <w:tc>
          <w:tcPr>
            <w:tcW w:w="123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1500</w:t>
            </w:r>
            <w:r>
              <w:rPr>
                <w:color w:val="000000" w:themeColor="text1"/>
              </w:rPr>
              <w:t>μg/m³</w:t>
            </w:r>
          </w:p>
        </w:tc>
        <w:tc>
          <w:tcPr>
            <w:tcW w:w="74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达标</w:t>
            </w:r>
          </w:p>
        </w:tc>
        <w:tc>
          <w:tcPr>
            <w:tcW w:w="1061"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42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9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硫化氢</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0.00368</w:t>
            </w:r>
            <w:r>
              <w:rPr>
                <w:color w:val="000000" w:themeColor="text1"/>
              </w:rPr>
              <w:t>t/a</w:t>
            </w:r>
          </w:p>
        </w:tc>
        <w:tc>
          <w:tcPr>
            <w:tcW w:w="1418" w:type="dxa"/>
            <w:vMerge w:val="continue"/>
            <w:tcBorders>
              <w:left w:val="single" w:color="auto" w:sz="4" w:space="0"/>
              <w:right w:val="single" w:color="auto" w:sz="4" w:space="0"/>
            </w:tcBorders>
            <w:vAlign w:val="center"/>
          </w:tcPr>
          <w:p>
            <w:pPr>
              <w:pStyle w:val="55"/>
              <w:rPr>
                <w:color w:val="000000" w:themeColor="text1"/>
              </w:rPr>
            </w:pPr>
          </w:p>
        </w:tc>
        <w:tc>
          <w:tcPr>
            <w:tcW w:w="754" w:type="dxa"/>
            <w:vMerge w:val="continue"/>
            <w:tcBorders>
              <w:left w:val="single" w:color="auto" w:sz="4" w:space="0"/>
              <w:right w:val="single" w:color="auto" w:sz="4" w:space="0"/>
            </w:tcBorders>
            <w:vAlign w:val="center"/>
          </w:tcPr>
          <w:p>
            <w:pPr>
              <w:pStyle w:val="55"/>
              <w:rPr>
                <w:color w:val="000000" w:themeColor="text1"/>
              </w:rPr>
            </w:pPr>
          </w:p>
        </w:tc>
        <w:tc>
          <w:tcPr>
            <w:tcW w:w="123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60</w:t>
            </w:r>
            <w:r>
              <w:rPr>
                <w:color w:val="000000" w:themeColor="text1"/>
              </w:rPr>
              <w:t>μg/m³</w:t>
            </w:r>
          </w:p>
        </w:tc>
        <w:tc>
          <w:tcPr>
            <w:tcW w:w="74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达标</w:t>
            </w:r>
          </w:p>
        </w:tc>
        <w:tc>
          <w:tcPr>
            <w:tcW w:w="1061" w:type="dxa"/>
            <w:vMerge w:val="continue"/>
            <w:tcBorders>
              <w:left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生鸡待宰圈、屠宰间</w:t>
            </w:r>
          </w:p>
        </w:tc>
        <w:tc>
          <w:tcPr>
            <w:tcW w:w="426"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无组织</w:t>
            </w:r>
          </w:p>
        </w:tc>
        <w:tc>
          <w:tcPr>
            <w:tcW w:w="9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氨</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0.08</w:t>
            </w:r>
            <w:r>
              <w:rPr>
                <w:color w:val="000000" w:themeColor="text1"/>
              </w:rPr>
              <w:t>t/a</w:t>
            </w:r>
          </w:p>
        </w:tc>
        <w:tc>
          <w:tcPr>
            <w:tcW w:w="1418" w:type="dxa"/>
            <w:vMerge w:val="continue"/>
            <w:tcBorders>
              <w:left w:val="single" w:color="auto" w:sz="4" w:space="0"/>
              <w:right w:val="single" w:color="auto" w:sz="4" w:space="0"/>
            </w:tcBorders>
            <w:vAlign w:val="center"/>
          </w:tcPr>
          <w:p>
            <w:pPr>
              <w:pStyle w:val="55"/>
              <w:rPr>
                <w:color w:val="000000" w:themeColor="text1"/>
              </w:rPr>
            </w:pPr>
          </w:p>
        </w:tc>
        <w:tc>
          <w:tcPr>
            <w:tcW w:w="754" w:type="dxa"/>
            <w:vMerge w:val="continue"/>
            <w:tcBorders>
              <w:left w:val="single" w:color="auto" w:sz="4" w:space="0"/>
              <w:right w:val="single" w:color="auto" w:sz="4" w:space="0"/>
            </w:tcBorders>
            <w:vAlign w:val="center"/>
          </w:tcPr>
          <w:p>
            <w:pPr>
              <w:pStyle w:val="55"/>
              <w:rPr>
                <w:color w:val="000000" w:themeColor="text1"/>
              </w:rPr>
            </w:pPr>
          </w:p>
        </w:tc>
        <w:tc>
          <w:tcPr>
            <w:tcW w:w="123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1500</w:t>
            </w:r>
            <w:r>
              <w:rPr>
                <w:color w:val="000000" w:themeColor="text1"/>
              </w:rPr>
              <w:t>μg/m³</w:t>
            </w:r>
          </w:p>
        </w:tc>
        <w:tc>
          <w:tcPr>
            <w:tcW w:w="74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达标</w:t>
            </w:r>
          </w:p>
        </w:tc>
        <w:tc>
          <w:tcPr>
            <w:tcW w:w="1061" w:type="dxa"/>
            <w:vMerge w:val="continue"/>
            <w:tcBorders>
              <w:left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42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9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硫化氢</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0.00</w:t>
            </w:r>
            <w:r>
              <w:rPr>
                <w:rFonts w:hint="eastAsia"/>
                <w:color w:val="000000" w:themeColor="text1"/>
              </w:rPr>
              <w:t>214</w:t>
            </w:r>
            <w:r>
              <w:rPr>
                <w:color w:val="000000" w:themeColor="text1"/>
              </w:rPr>
              <w:t>t/a</w:t>
            </w:r>
          </w:p>
        </w:tc>
        <w:tc>
          <w:tcPr>
            <w:tcW w:w="1418"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754" w:type="dxa"/>
            <w:vMerge w:val="continue"/>
            <w:tcBorders>
              <w:left w:val="single" w:color="auto" w:sz="4" w:space="0"/>
              <w:right w:val="single" w:color="auto" w:sz="4" w:space="0"/>
            </w:tcBorders>
            <w:vAlign w:val="center"/>
          </w:tcPr>
          <w:p>
            <w:pPr>
              <w:pStyle w:val="55"/>
              <w:rPr>
                <w:color w:val="000000" w:themeColor="text1"/>
              </w:rPr>
            </w:pPr>
          </w:p>
        </w:tc>
        <w:tc>
          <w:tcPr>
            <w:tcW w:w="123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60</w:t>
            </w:r>
            <w:r>
              <w:rPr>
                <w:color w:val="000000" w:themeColor="text1"/>
              </w:rPr>
              <w:t>μg/m³</w:t>
            </w:r>
          </w:p>
        </w:tc>
        <w:tc>
          <w:tcPr>
            <w:tcW w:w="74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达标</w:t>
            </w:r>
          </w:p>
        </w:tc>
        <w:tc>
          <w:tcPr>
            <w:tcW w:w="1061" w:type="dxa"/>
            <w:vMerge w:val="continue"/>
            <w:tcBorders>
              <w:left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污水处理系统</w:t>
            </w:r>
          </w:p>
        </w:tc>
        <w:tc>
          <w:tcPr>
            <w:tcW w:w="426"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无组织</w:t>
            </w:r>
          </w:p>
        </w:tc>
        <w:tc>
          <w:tcPr>
            <w:tcW w:w="9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氨</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w:t>
            </w:r>
            <w:r>
              <w:rPr>
                <w:rFonts w:hint="eastAsia"/>
                <w:color w:val="000000" w:themeColor="text1"/>
              </w:rPr>
              <w:t>19</w:t>
            </w:r>
            <w:r>
              <w:rPr>
                <w:color w:val="000000" w:themeColor="text1"/>
              </w:rPr>
              <w:t>t/a</w:t>
            </w:r>
          </w:p>
        </w:tc>
        <w:tc>
          <w:tcPr>
            <w:tcW w:w="1418"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污水处理站设为地埋式，喷洒生物除臭剂，周边设置绿化隔离带等措施除臭</w:t>
            </w:r>
          </w:p>
        </w:tc>
        <w:tc>
          <w:tcPr>
            <w:tcW w:w="754" w:type="dxa"/>
            <w:vMerge w:val="continue"/>
            <w:tcBorders>
              <w:left w:val="single" w:color="auto" w:sz="4" w:space="0"/>
              <w:right w:val="single" w:color="auto" w:sz="4" w:space="0"/>
            </w:tcBorders>
            <w:vAlign w:val="center"/>
          </w:tcPr>
          <w:p>
            <w:pPr>
              <w:pStyle w:val="55"/>
              <w:rPr>
                <w:color w:val="000000" w:themeColor="text1"/>
              </w:rPr>
            </w:pPr>
          </w:p>
        </w:tc>
        <w:tc>
          <w:tcPr>
            <w:tcW w:w="123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1500</w:t>
            </w:r>
            <w:r>
              <w:rPr>
                <w:color w:val="000000" w:themeColor="text1"/>
              </w:rPr>
              <w:t>μg/m³</w:t>
            </w:r>
          </w:p>
        </w:tc>
        <w:tc>
          <w:tcPr>
            <w:tcW w:w="74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达标</w:t>
            </w:r>
          </w:p>
        </w:tc>
        <w:tc>
          <w:tcPr>
            <w:tcW w:w="1061" w:type="dxa"/>
            <w:vMerge w:val="continue"/>
            <w:tcBorders>
              <w:left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42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9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硫化氢</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0.00</w:t>
            </w:r>
            <w:r>
              <w:rPr>
                <w:rFonts w:hint="eastAsia"/>
                <w:color w:val="000000" w:themeColor="text1"/>
              </w:rPr>
              <w:t>74</w:t>
            </w:r>
            <w:r>
              <w:rPr>
                <w:color w:val="000000" w:themeColor="text1"/>
              </w:rPr>
              <w:t>t/a</w:t>
            </w:r>
          </w:p>
        </w:tc>
        <w:tc>
          <w:tcPr>
            <w:tcW w:w="1418"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754"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123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60</w:t>
            </w:r>
            <w:r>
              <w:rPr>
                <w:color w:val="000000" w:themeColor="text1"/>
              </w:rPr>
              <w:t>μg/m³</w:t>
            </w:r>
          </w:p>
        </w:tc>
        <w:tc>
          <w:tcPr>
            <w:tcW w:w="74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达标</w:t>
            </w:r>
          </w:p>
        </w:tc>
        <w:tc>
          <w:tcPr>
            <w:tcW w:w="1061"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生物质锅炉</w:t>
            </w:r>
          </w:p>
        </w:tc>
        <w:tc>
          <w:tcPr>
            <w:tcW w:w="426"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有组织</w:t>
            </w:r>
          </w:p>
        </w:tc>
        <w:tc>
          <w:tcPr>
            <w:tcW w:w="9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烟气量</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13.479万</w:t>
            </w:r>
            <w:r>
              <w:rPr>
                <w:color w:val="000000" w:themeColor="text1"/>
              </w:rPr>
              <w:t>Nm³/a</w:t>
            </w:r>
          </w:p>
        </w:tc>
        <w:tc>
          <w:tcPr>
            <w:tcW w:w="1418"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color w:val="000000" w:themeColor="text1"/>
              </w:rPr>
              <w:t>采用</w:t>
            </w:r>
            <w:r>
              <w:rPr>
                <w:rFonts w:hint="eastAsia"/>
                <w:color w:val="000000" w:themeColor="text1"/>
              </w:rPr>
              <w:t>水膜除尘系统处理</w:t>
            </w:r>
          </w:p>
        </w:tc>
        <w:tc>
          <w:tcPr>
            <w:tcW w:w="754"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2880h/a</w:t>
            </w:r>
          </w:p>
        </w:tc>
        <w:tc>
          <w:tcPr>
            <w:tcW w:w="198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13.479万</w:t>
            </w:r>
            <w:r>
              <w:rPr>
                <w:color w:val="000000" w:themeColor="text1"/>
              </w:rPr>
              <w:t>Nm³/a</w:t>
            </w:r>
          </w:p>
        </w:tc>
        <w:tc>
          <w:tcPr>
            <w:tcW w:w="1061"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1#排气筒，设置于锅炉房，高度为15m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42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9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颗粒物</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0.0</w:t>
            </w:r>
            <w:r>
              <w:rPr>
                <w:rFonts w:hint="eastAsia"/>
                <w:color w:val="000000" w:themeColor="text1"/>
              </w:rPr>
              <w:t>317</w:t>
            </w:r>
            <w:r>
              <w:rPr>
                <w:color w:val="000000" w:themeColor="text1"/>
              </w:rPr>
              <w:t>t/a</w:t>
            </w:r>
          </w:p>
        </w:tc>
        <w:tc>
          <w:tcPr>
            <w:tcW w:w="1418" w:type="dxa"/>
            <w:vMerge w:val="continue"/>
            <w:tcBorders>
              <w:left w:val="single" w:color="auto" w:sz="4" w:space="0"/>
              <w:right w:val="single" w:color="auto" w:sz="4" w:space="0"/>
            </w:tcBorders>
            <w:vAlign w:val="center"/>
          </w:tcPr>
          <w:p>
            <w:pPr>
              <w:pStyle w:val="55"/>
              <w:rPr>
                <w:color w:val="000000" w:themeColor="text1"/>
              </w:rPr>
            </w:pPr>
          </w:p>
        </w:tc>
        <w:tc>
          <w:tcPr>
            <w:tcW w:w="754" w:type="dxa"/>
            <w:vMerge w:val="continue"/>
            <w:tcBorders>
              <w:left w:val="single" w:color="auto" w:sz="4" w:space="0"/>
              <w:right w:val="single" w:color="auto" w:sz="4" w:space="0"/>
            </w:tcBorders>
            <w:vAlign w:val="center"/>
          </w:tcPr>
          <w:p>
            <w:pPr>
              <w:pStyle w:val="55"/>
              <w:rPr>
                <w:color w:val="000000" w:themeColor="text1"/>
              </w:rPr>
            </w:pPr>
          </w:p>
        </w:tc>
        <w:tc>
          <w:tcPr>
            <w:tcW w:w="123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50</w:t>
            </w:r>
            <w:r>
              <w:rPr>
                <w:color w:val="000000" w:themeColor="text1"/>
              </w:rPr>
              <w:t xml:space="preserve"> mg/m³</w:t>
            </w:r>
          </w:p>
        </w:tc>
        <w:tc>
          <w:tcPr>
            <w:tcW w:w="74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达标</w:t>
            </w:r>
          </w:p>
        </w:tc>
        <w:tc>
          <w:tcPr>
            <w:tcW w:w="1061" w:type="dxa"/>
            <w:vMerge w:val="continue"/>
            <w:tcBorders>
              <w:left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42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9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SO</w:t>
            </w:r>
            <w:r>
              <w:rPr>
                <w:color w:val="000000" w:themeColor="text1"/>
                <w:vertAlign w:val="subscript"/>
              </w:rPr>
              <w:t>2</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0.0</w:t>
            </w:r>
            <w:r>
              <w:rPr>
                <w:rFonts w:hint="eastAsia"/>
                <w:color w:val="000000" w:themeColor="text1"/>
              </w:rPr>
              <w:t>315</w:t>
            </w:r>
            <w:r>
              <w:rPr>
                <w:color w:val="000000" w:themeColor="text1"/>
              </w:rPr>
              <w:t>t/a</w:t>
            </w:r>
          </w:p>
        </w:tc>
        <w:tc>
          <w:tcPr>
            <w:tcW w:w="1418" w:type="dxa"/>
            <w:vMerge w:val="continue"/>
            <w:tcBorders>
              <w:left w:val="single" w:color="auto" w:sz="4" w:space="0"/>
              <w:right w:val="single" w:color="auto" w:sz="4" w:space="0"/>
            </w:tcBorders>
            <w:vAlign w:val="center"/>
          </w:tcPr>
          <w:p>
            <w:pPr>
              <w:pStyle w:val="55"/>
              <w:rPr>
                <w:color w:val="000000" w:themeColor="text1"/>
              </w:rPr>
            </w:pPr>
          </w:p>
        </w:tc>
        <w:tc>
          <w:tcPr>
            <w:tcW w:w="754" w:type="dxa"/>
            <w:vMerge w:val="continue"/>
            <w:tcBorders>
              <w:left w:val="single" w:color="auto" w:sz="4" w:space="0"/>
              <w:right w:val="single" w:color="auto" w:sz="4" w:space="0"/>
            </w:tcBorders>
            <w:vAlign w:val="center"/>
          </w:tcPr>
          <w:p>
            <w:pPr>
              <w:pStyle w:val="55"/>
              <w:rPr>
                <w:color w:val="000000" w:themeColor="text1"/>
              </w:rPr>
            </w:pPr>
          </w:p>
        </w:tc>
        <w:tc>
          <w:tcPr>
            <w:tcW w:w="123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300m</w:t>
            </w:r>
            <w:r>
              <w:rPr>
                <w:color w:val="000000" w:themeColor="text1"/>
              </w:rPr>
              <w:t>g/m³</w:t>
            </w:r>
          </w:p>
        </w:tc>
        <w:tc>
          <w:tcPr>
            <w:tcW w:w="74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达标</w:t>
            </w:r>
          </w:p>
        </w:tc>
        <w:tc>
          <w:tcPr>
            <w:tcW w:w="1061" w:type="dxa"/>
            <w:vMerge w:val="continue"/>
            <w:tcBorders>
              <w:left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426"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9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氮氧化物</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w:t>
            </w:r>
            <w:r>
              <w:rPr>
                <w:rFonts w:hint="eastAsia"/>
                <w:color w:val="000000" w:themeColor="text1"/>
              </w:rPr>
              <w:t>022</w:t>
            </w:r>
            <w:r>
              <w:rPr>
                <w:color w:val="000000" w:themeColor="text1"/>
              </w:rPr>
              <w:t>t/a</w:t>
            </w:r>
          </w:p>
        </w:tc>
        <w:tc>
          <w:tcPr>
            <w:tcW w:w="1418"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754"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123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300</w:t>
            </w:r>
            <w:r>
              <w:rPr>
                <w:color w:val="000000" w:themeColor="text1"/>
              </w:rPr>
              <w:t>mg/m³</w:t>
            </w:r>
          </w:p>
        </w:tc>
        <w:tc>
          <w:tcPr>
            <w:tcW w:w="74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达标</w:t>
            </w:r>
          </w:p>
        </w:tc>
        <w:tc>
          <w:tcPr>
            <w:tcW w:w="1061"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焚烧炉</w:t>
            </w:r>
          </w:p>
        </w:tc>
        <w:tc>
          <w:tcPr>
            <w:tcW w:w="426"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有组织</w:t>
            </w:r>
          </w:p>
        </w:tc>
        <w:tc>
          <w:tcPr>
            <w:tcW w:w="9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烟气量</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80万</w:t>
            </w:r>
            <w:r>
              <w:rPr>
                <w:color w:val="000000" w:themeColor="text1"/>
              </w:rPr>
              <w:t>Nm³/a</w:t>
            </w:r>
          </w:p>
        </w:tc>
        <w:tc>
          <w:tcPr>
            <w:tcW w:w="1418"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采用布袋除尘器处理</w:t>
            </w:r>
          </w:p>
        </w:tc>
        <w:tc>
          <w:tcPr>
            <w:tcW w:w="754"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600h/a</w:t>
            </w:r>
          </w:p>
        </w:tc>
        <w:tc>
          <w:tcPr>
            <w:tcW w:w="1984" w:type="dxa"/>
            <w:gridSpan w:val="2"/>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80万</w:t>
            </w:r>
            <w:r>
              <w:rPr>
                <w:color w:val="000000" w:themeColor="text1"/>
              </w:rPr>
              <w:t>Nm³/a</w:t>
            </w:r>
          </w:p>
        </w:tc>
        <w:tc>
          <w:tcPr>
            <w:tcW w:w="1061"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2#排气筒，设置于焚烧炉，高度为25m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vMerge w:val="continue"/>
            <w:tcBorders>
              <w:left w:val="single" w:color="auto" w:sz="4" w:space="0"/>
              <w:right w:val="single" w:color="auto" w:sz="4" w:space="0"/>
            </w:tcBorders>
            <w:vAlign w:val="center"/>
          </w:tcPr>
          <w:p>
            <w:pPr>
              <w:pStyle w:val="55"/>
              <w:rPr>
                <w:color w:val="000000" w:themeColor="text1"/>
              </w:rPr>
            </w:pPr>
          </w:p>
        </w:tc>
        <w:tc>
          <w:tcPr>
            <w:tcW w:w="426" w:type="dxa"/>
            <w:vMerge w:val="continue"/>
            <w:tcBorders>
              <w:left w:val="single" w:color="auto" w:sz="4" w:space="0"/>
              <w:right w:val="single" w:color="auto" w:sz="4" w:space="0"/>
            </w:tcBorders>
            <w:vAlign w:val="center"/>
          </w:tcPr>
          <w:p>
            <w:pPr>
              <w:pStyle w:val="55"/>
              <w:rPr>
                <w:color w:val="000000" w:themeColor="text1"/>
              </w:rPr>
            </w:pPr>
          </w:p>
        </w:tc>
        <w:tc>
          <w:tcPr>
            <w:tcW w:w="9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烟尘</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0.0</w:t>
            </w:r>
            <w:r>
              <w:rPr>
                <w:rFonts w:hint="eastAsia"/>
                <w:color w:val="000000" w:themeColor="text1"/>
              </w:rPr>
              <w:t>134</w:t>
            </w:r>
            <w:r>
              <w:rPr>
                <w:color w:val="000000" w:themeColor="text1"/>
              </w:rPr>
              <w:t>t/a</w:t>
            </w:r>
          </w:p>
        </w:tc>
        <w:tc>
          <w:tcPr>
            <w:tcW w:w="1418" w:type="dxa"/>
            <w:vMerge w:val="continue"/>
            <w:tcBorders>
              <w:left w:val="single" w:color="auto" w:sz="4" w:space="0"/>
              <w:right w:val="single" w:color="auto" w:sz="4" w:space="0"/>
            </w:tcBorders>
            <w:vAlign w:val="center"/>
          </w:tcPr>
          <w:p>
            <w:pPr>
              <w:pStyle w:val="55"/>
              <w:rPr>
                <w:color w:val="000000" w:themeColor="text1"/>
              </w:rPr>
            </w:pPr>
          </w:p>
        </w:tc>
        <w:tc>
          <w:tcPr>
            <w:tcW w:w="754" w:type="dxa"/>
            <w:vMerge w:val="continue"/>
            <w:tcBorders>
              <w:left w:val="single" w:color="auto" w:sz="4" w:space="0"/>
              <w:right w:val="single" w:color="auto" w:sz="4" w:space="0"/>
            </w:tcBorders>
            <w:vAlign w:val="center"/>
          </w:tcPr>
          <w:p>
            <w:pPr>
              <w:pStyle w:val="55"/>
              <w:rPr>
                <w:color w:val="000000" w:themeColor="text1"/>
              </w:rPr>
            </w:pPr>
          </w:p>
        </w:tc>
        <w:tc>
          <w:tcPr>
            <w:tcW w:w="123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100m</w:t>
            </w:r>
            <w:r>
              <w:rPr>
                <w:color w:val="000000" w:themeColor="text1"/>
              </w:rPr>
              <w:t>g/m³</w:t>
            </w:r>
          </w:p>
        </w:tc>
        <w:tc>
          <w:tcPr>
            <w:tcW w:w="74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达标</w:t>
            </w:r>
          </w:p>
        </w:tc>
        <w:tc>
          <w:tcPr>
            <w:tcW w:w="1061" w:type="dxa"/>
            <w:vMerge w:val="continue"/>
            <w:tcBorders>
              <w:left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vMerge w:val="continue"/>
            <w:tcBorders>
              <w:left w:val="single" w:color="auto" w:sz="4" w:space="0"/>
              <w:right w:val="single" w:color="auto" w:sz="4" w:space="0"/>
            </w:tcBorders>
            <w:vAlign w:val="center"/>
          </w:tcPr>
          <w:p>
            <w:pPr>
              <w:pStyle w:val="55"/>
              <w:rPr>
                <w:color w:val="000000" w:themeColor="text1"/>
              </w:rPr>
            </w:pPr>
          </w:p>
        </w:tc>
        <w:tc>
          <w:tcPr>
            <w:tcW w:w="426" w:type="dxa"/>
            <w:vMerge w:val="continue"/>
            <w:tcBorders>
              <w:left w:val="single" w:color="auto" w:sz="4" w:space="0"/>
              <w:right w:val="single" w:color="auto" w:sz="4" w:space="0"/>
            </w:tcBorders>
            <w:vAlign w:val="center"/>
          </w:tcPr>
          <w:p>
            <w:pPr>
              <w:pStyle w:val="55"/>
              <w:rPr>
                <w:color w:val="000000" w:themeColor="text1"/>
              </w:rPr>
            </w:pPr>
          </w:p>
        </w:tc>
        <w:tc>
          <w:tcPr>
            <w:tcW w:w="9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SO</w:t>
            </w:r>
            <w:r>
              <w:rPr>
                <w:color w:val="000000" w:themeColor="text1"/>
                <w:vertAlign w:val="subscript"/>
              </w:rPr>
              <w:t>2</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0.0</w:t>
            </w:r>
            <w:r>
              <w:rPr>
                <w:rFonts w:hint="eastAsia"/>
                <w:color w:val="000000" w:themeColor="text1"/>
              </w:rPr>
              <w:t>14</w:t>
            </w:r>
            <w:r>
              <w:rPr>
                <w:color w:val="000000" w:themeColor="text1"/>
              </w:rPr>
              <w:t>t/a</w:t>
            </w:r>
          </w:p>
        </w:tc>
        <w:tc>
          <w:tcPr>
            <w:tcW w:w="1418" w:type="dxa"/>
            <w:vMerge w:val="continue"/>
            <w:tcBorders>
              <w:left w:val="single" w:color="auto" w:sz="4" w:space="0"/>
              <w:right w:val="single" w:color="auto" w:sz="4" w:space="0"/>
            </w:tcBorders>
            <w:vAlign w:val="center"/>
          </w:tcPr>
          <w:p>
            <w:pPr>
              <w:pStyle w:val="55"/>
              <w:rPr>
                <w:color w:val="000000" w:themeColor="text1"/>
              </w:rPr>
            </w:pPr>
          </w:p>
        </w:tc>
        <w:tc>
          <w:tcPr>
            <w:tcW w:w="754" w:type="dxa"/>
            <w:vMerge w:val="continue"/>
            <w:tcBorders>
              <w:left w:val="single" w:color="auto" w:sz="4" w:space="0"/>
              <w:right w:val="single" w:color="auto" w:sz="4" w:space="0"/>
            </w:tcBorders>
            <w:vAlign w:val="center"/>
          </w:tcPr>
          <w:p>
            <w:pPr>
              <w:pStyle w:val="55"/>
              <w:rPr>
                <w:color w:val="000000" w:themeColor="text1"/>
              </w:rPr>
            </w:pPr>
          </w:p>
        </w:tc>
        <w:tc>
          <w:tcPr>
            <w:tcW w:w="123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400m</w:t>
            </w:r>
            <w:r>
              <w:rPr>
                <w:color w:val="000000" w:themeColor="text1"/>
              </w:rPr>
              <w:t>g/m³</w:t>
            </w:r>
          </w:p>
        </w:tc>
        <w:tc>
          <w:tcPr>
            <w:tcW w:w="74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达标</w:t>
            </w:r>
          </w:p>
        </w:tc>
        <w:tc>
          <w:tcPr>
            <w:tcW w:w="1061" w:type="dxa"/>
            <w:vMerge w:val="continue"/>
            <w:tcBorders>
              <w:left w:val="single" w:color="auto" w:sz="4" w:space="0"/>
              <w:right w:val="single" w:color="auto" w:sz="4" w:space="0"/>
            </w:tcBorders>
            <w:vAlign w:val="center"/>
          </w:tcPr>
          <w:p>
            <w:pPr>
              <w:pStyle w:val="5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426"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916"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氮氧化物</w:t>
            </w:r>
          </w:p>
        </w:tc>
        <w:tc>
          <w:tcPr>
            <w:tcW w:w="113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0.</w:t>
            </w:r>
            <w:r>
              <w:rPr>
                <w:rFonts w:hint="eastAsia"/>
                <w:color w:val="000000" w:themeColor="text1"/>
              </w:rPr>
              <w:t>453</w:t>
            </w:r>
            <w:r>
              <w:rPr>
                <w:color w:val="000000" w:themeColor="text1"/>
              </w:rPr>
              <w:t>t /a</w:t>
            </w:r>
          </w:p>
        </w:tc>
        <w:tc>
          <w:tcPr>
            <w:tcW w:w="1418"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754"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123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500m</w:t>
            </w:r>
            <w:r>
              <w:rPr>
                <w:color w:val="000000" w:themeColor="text1"/>
              </w:rPr>
              <w:t>g/m³</w:t>
            </w:r>
          </w:p>
        </w:tc>
        <w:tc>
          <w:tcPr>
            <w:tcW w:w="747"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达标</w:t>
            </w:r>
          </w:p>
        </w:tc>
        <w:tc>
          <w:tcPr>
            <w:tcW w:w="1061"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r>
    </w:tbl>
    <w:p>
      <w:pPr>
        <w:pStyle w:val="54"/>
        <w:rPr>
          <w:color w:val="000000" w:themeColor="text1"/>
        </w:rPr>
      </w:pPr>
      <w:r>
        <w:rPr>
          <w:rFonts w:hint="eastAsia"/>
          <w:color w:val="000000" w:themeColor="text1"/>
        </w:rPr>
        <w:t>表10.4-3  固废污染物处置清单一览表</w:t>
      </w:r>
    </w:p>
    <w:tbl>
      <w:tblPr>
        <w:tblStyle w:val="42"/>
        <w:tblW w:w="85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1701"/>
        <w:gridCol w:w="1481"/>
        <w:gridCol w:w="2694"/>
        <w:gridCol w:w="1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8" w:type="dxa"/>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排放源</w:t>
            </w:r>
          </w:p>
        </w:tc>
        <w:tc>
          <w:tcPr>
            <w:tcW w:w="1701" w:type="dxa"/>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污染物名称</w:t>
            </w:r>
          </w:p>
        </w:tc>
        <w:tc>
          <w:tcPr>
            <w:tcW w:w="1481" w:type="dxa"/>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产生量</w:t>
            </w:r>
          </w:p>
        </w:tc>
        <w:tc>
          <w:tcPr>
            <w:tcW w:w="2694" w:type="dxa"/>
            <w:tcBorders>
              <w:top w:val="single" w:color="auto" w:sz="4" w:space="0"/>
              <w:left w:val="single" w:color="auto" w:sz="4" w:space="0"/>
              <w:right w:val="single" w:color="auto" w:sz="4" w:space="0"/>
            </w:tcBorders>
            <w:vAlign w:val="center"/>
          </w:tcPr>
          <w:p>
            <w:pPr>
              <w:pStyle w:val="55"/>
              <w:rPr>
                <w:bCs/>
                <w:iCs/>
                <w:color w:val="000000" w:themeColor="text1"/>
                <w:szCs w:val="24"/>
              </w:rPr>
            </w:pPr>
            <w:r>
              <w:rPr>
                <w:rFonts w:hint="eastAsia"/>
                <w:bCs/>
                <w:iCs/>
                <w:color w:val="000000" w:themeColor="text1"/>
                <w:szCs w:val="24"/>
              </w:rPr>
              <w:t>处置方式</w:t>
            </w:r>
          </w:p>
        </w:tc>
        <w:tc>
          <w:tcPr>
            <w:tcW w:w="1288" w:type="dxa"/>
            <w:tcBorders>
              <w:top w:val="single" w:color="auto" w:sz="4" w:space="0"/>
              <w:left w:val="single" w:color="auto" w:sz="4" w:space="0"/>
              <w:right w:val="single" w:color="auto" w:sz="4" w:space="0"/>
            </w:tcBorders>
            <w:vAlign w:val="center"/>
          </w:tcPr>
          <w:p>
            <w:pPr>
              <w:pStyle w:val="55"/>
              <w:rPr>
                <w:bCs/>
                <w:iCs/>
                <w:color w:val="000000" w:themeColor="text1"/>
                <w:szCs w:val="24"/>
              </w:rPr>
            </w:pPr>
            <w:r>
              <w:rPr>
                <w:rFonts w:hint="eastAsia"/>
                <w:bCs/>
                <w:iCs/>
                <w:color w:val="000000" w:themeColor="text1"/>
                <w:szCs w:val="24"/>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8"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生猪待宰、屠宰间</w:t>
            </w:r>
          </w:p>
        </w:tc>
        <w:tc>
          <w:tcPr>
            <w:tcW w:w="170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病死猪、不合格</w:t>
            </w:r>
            <w:r>
              <w:rPr>
                <w:rFonts w:hint="eastAsia"/>
                <w:bCs/>
                <w:iCs/>
                <w:color w:val="000000" w:themeColor="text1"/>
                <w:szCs w:val="24"/>
              </w:rPr>
              <w:t>产品（内脏、胴体）、碎肉等</w:t>
            </w:r>
          </w:p>
        </w:tc>
        <w:tc>
          <w:tcPr>
            <w:tcW w:w="148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93.3</w:t>
            </w:r>
            <w:r>
              <w:rPr>
                <w:color w:val="000000" w:themeColor="text1"/>
              </w:rPr>
              <w:t>t/a</w:t>
            </w:r>
          </w:p>
        </w:tc>
        <w:tc>
          <w:tcPr>
            <w:tcW w:w="269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bCs/>
                <w:iCs/>
                <w:color w:val="000000" w:themeColor="text1"/>
                <w:szCs w:val="24"/>
              </w:rPr>
              <w:t>焚烧炉进行无害化处置</w:t>
            </w:r>
          </w:p>
        </w:tc>
        <w:tc>
          <w:tcPr>
            <w:tcW w:w="1288" w:type="dxa"/>
            <w:tcBorders>
              <w:top w:val="single" w:color="auto" w:sz="4" w:space="0"/>
              <w:left w:val="single" w:color="auto" w:sz="4" w:space="0"/>
              <w:bottom w:val="single" w:color="auto" w:sz="4" w:space="0"/>
              <w:right w:val="single" w:color="auto" w:sz="4" w:space="0"/>
            </w:tcBorders>
            <w:vAlign w:val="center"/>
          </w:tcPr>
          <w:p>
            <w:pPr>
              <w:pStyle w:val="55"/>
              <w:rPr>
                <w:bCs/>
                <w:iCs/>
                <w:color w:val="000000" w:themeColor="text1"/>
                <w:szCs w:val="24"/>
              </w:rPr>
            </w:pPr>
            <w:r>
              <w:rPr>
                <w:rFonts w:hint="eastAsia"/>
                <w:bCs/>
                <w:iCs/>
                <w:color w:val="000000" w:themeColor="text1"/>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70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猪粪</w:t>
            </w:r>
          </w:p>
        </w:tc>
        <w:tc>
          <w:tcPr>
            <w:tcW w:w="148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75</w:t>
            </w:r>
            <w:r>
              <w:rPr>
                <w:color w:val="000000" w:themeColor="text1"/>
              </w:rPr>
              <w:t>t/a</w:t>
            </w:r>
          </w:p>
        </w:tc>
        <w:tc>
          <w:tcPr>
            <w:tcW w:w="2694"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rFonts w:hint="eastAsia"/>
                <w:bCs/>
                <w:iCs/>
                <w:color w:val="000000" w:themeColor="text1"/>
                <w:szCs w:val="24"/>
              </w:rPr>
              <w:t>农户运走堆肥腐熟后</w:t>
            </w:r>
            <w:r>
              <w:rPr>
                <w:rFonts w:hint="eastAsia"/>
                <w:color w:val="000000" w:themeColor="text1"/>
              </w:rPr>
              <w:t>用作农肥</w:t>
            </w:r>
          </w:p>
        </w:tc>
        <w:tc>
          <w:tcPr>
            <w:tcW w:w="1288" w:type="dxa"/>
            <w:tcBorders>
              <w:top w:val="single" w:color="auto" w:sz="4" w:space="0"/>
              <w:left w:val="single" w:color="auto" w:sz="4" w:space="0"/>
              <w:right w:val="single" w:color="auto" w:sz="4" w:space="0"/>
            </w:tcBorders>
            <w:vAlign w:val="center"/>
          </w:tcPr>
          <w:p>
            <w:pPr>
              <w:pStyle w:val="55"/>
              <w:rPr>
                <w:bCs/>
                <w:iCs/>
                <w:color w:val="000000" w:themeColor="text1"/>
                <w:szCs w:val="24"/>
              </w:rPr>
            </w:pPr>
            <w:r>
              <w:rPr>
                <w:rFonts w:hint="eastAsia"/>
                <w:bCs/>
                <w:iCs/>
                <w:color w:val="000000" w:themeColor="text1"/>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8"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70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其他生产固废</w:t>
            </w:r>
          </w:p>
        </w:tc>
        <w:tc>
          <w:tcPr>
            <w:tcW w:w="148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18.2</w:t>
            </w:r>
            <w:r>
              <w:rPr>
                <w:color w:val="000000" w:themeColor="text1"/>
              </w:rPr>
              <w:t>t/a</w:t>
            </w:r>
          </w:p>
        </w:tc>
        <w:tc>
          <w:tcPr>
            <w:tcW w:w="2694"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1288" w:type="dxa"/>
            <w:tcBorders>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8"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color w:val="000000" w:themeColor="text1"/>
              </w:rPr>
              <w:t>宰鸡场</w:t>
            </w:r>
          </w:p>
        </w:tc>
        <w:tc>
          <w:tcPr>
            <w:tcW w:w="170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病死鸡、不合格</w:t>
            </w:r>
            <w:r>
              <w:rPr>
                <w:rFonts w:hint="eastAsia"/>
                <w:bCs/>
                <w:iCs/>
                <w:color w:val="000000" w:themeColor="text1"/>
                <w:szCs w:val="24"/>
              </w:rPr>
              <w:t>产品（内脏、胴体）等</w:t>
            </w:r>
          </w:p>
        </w:tc>
        <w:tc>
          <w:tcPr>
            <w:tcW w:w="148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48.15</w:t>
            </w:r>
            <w:r>
              <w:rPr>
                <w:color w:val="000000" w:themeColor="text1"/>
              </w:rPr>
              <w:t>t/a</w:t>
            </w:r>
          </w:p>
        </w:tc>
        <w:tc>
          <w:tcPr>
            <w:tcW w:w="269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bCs/>
                <w:iCs/>
                <w:color w:val="000000" w:themeColor="text1"/>
                <w:szCs w:val="24"/>
              </w:rPr>
              <w:t>焚烧炉进行无害化处置</w:t>
            </w:r>
          </w:p>
        </w:tc>
        <w:tc>
          <w:tcPr>
            <w:tcW w:w="1288" w:type="dxa"/>
            <w:tcBorders>
              <w:top w:val="single" w:color="auto" w:sz="4" w:space="0"/>
              <w:left w:val="single" w:color="auto" w:sz="4" w:space="0"/>
              <w:bottom w:val="single" w:color="auto" w:sz="4" w:space="0"/>
              <w:right w:val="single" w:color="auto" w:sz="4" w:space="0"/>
            </w:tcBorders>
            <w:vAlign w:val="center"/>
          </w:tcPr>
          <w:p>
            <w:pPr>
              <w:pStyle w:val="55"/>
              <w:rPr>
                <w:bCs/>
                <w:iCs/>
                <w:color w:val="000000" w:themeColor="text1"/>
                <w:szCs w:val="24"/>
              </w:rPr>
            </w:pPr>
            <w:r>
              <w:rPr>
                <w:rFonts w:hint="eastAsia"/>
                <w:bCs/>
                <w:iCs/>
                <w:color w:val="000000" w:themeColor="text1"/>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8" w:type="dxa"/>
            <w:vMerge w:val="continue"/>
            <w:tcBorders>
              <w:left w:val="single" w:color="auto" w:sz="4" w:space="0"/>
              <w:right w:val="single" w:color="auto" w:sz="4" w:space="0"/>
            </w:tcBorders>
            <w:vAlign w:val="center"/>
          </w:tcPr>
          <w:p>
            <w:pPr>
              <w:pStyle w:val="55"/>
              <w:rPr>
                <w:color w:val="000000" w:themeColor="text1"/>
              </w:rPr>
            </w:pPr>
          </w:p>
        </w:tc>
        <w:tc>
          <w:tcPr>
            <w:tcW w:w="170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鸡粪</w:t>
            </w:r>
          </w:p>
        </w:tc>
        <w:tc>
          <w:tcPr>
            <w:tcW w:w="148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64</w:t>
            </w:r>
            <w:r>
              <w:rPr>
                <w:color w:val="000000" w:themeColor="text1"/>
              </w:rPr>
              <w:t>t/a</w:t>
            </w:r>
          </w:p>
        </w:tc>
        <w:tc>
          <w:tcPr>
            <w:tcW w:w="2694"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rFonts w:hint="eastAsia"/>
                <w:bCs/>
                <w:iCs/>
                <w:color w:val="000000" w:themeColor="text1"/>
                <w:szCs w:val="24"/>
              </w:rPr>
              <w:t>农户运走堆肥腐熟后</w:t>
            </w:r>
            <w:r>
              <w:rPr>
                <w:rFonts w:hint="eastAsia"/>
                <w:color w:val="000000" w:themeColor="text1"/>
              </w:rPr>
              <w:t>用作农肥</w:t>
            </w:r>
          </w:p>
        </w:tc>
        <w:tc>
          <w:tcPr>
            <w:tcW w:w="1288" w:type="dxa"/>
            <w:tcBorders>
              <w:top w:val="single" w:color="auto" w:sz="4" w:space="0"/>
              <w:left w:val="single" w:color="auto" w:sz="4" w:space="0"/>
              <w:right w:val="single" w:color="auto" w:sz="4" w:space="0"/>
            </w:tcBorders>
            <w:vAlign w:val="center"/>
          </w:tcPr>
          <w:p>
            <w:pPr>
              <w:pStyle w:val="55"/>
              <w:rPr>
                <w:bCs/>
                <w:iCs/>
                <w:color w:val="000000" w:themeColor="text1"/>
                <w:szCs w:val="24"/>
              </w:rPr>
            </w:pPr>
            <w:r>
              <w:rPr>
                <w:rFonts w:hint="eastAsia"/>
                <w:bCs/>
                <w:iCs/>
                <w:color w:val="000000" w:themeColor="text1"/>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8"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170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其他生产固废</w:t>
            </w:r>
          </w:p>
        </w:tc>
        <w:tc>
          <w:tcPr>
            <w:tcW w:w="148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6</w:t>
            </w:r>
            <w:r>
              <w:rPr>
                <w:color w:val="000000" w:themeColor="text1"/>
              </w:rPr>
              <w:t>t/a</w:t>
            </w:r>
          </w:p>
        </w:tc>
        <w:tc>
          <w:tcPr>
            <w:tcW w:w="2694"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1288" w:type="dxa"/>
            <w:tcBorders>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8" w:type="dxa"/>
            <w:vMerge w:val="restart"/>
            <w:tcBorders>
              <w:top w:val="single" w:color="auto" w:sz="4" w:space="0"/>
              <w:left w:val="single" w:color="auto" w:sz="4" w:space="0"/>
              <w:right w:val="single" w:color="auto" w:sz="4" w:space="0"/>
            </w:tcBorders>
            <w:vAlign w:val="center"/>
          </w:tcPr>
          <w:p>
            <w:pPr>
              <w:pStyle w:val="55"/>
              <w:rPr>
                <w:color w:val="000000" w:themeColor="text1"/>
              </w:rPr>
            </w:pPr>
            <w:r>
              <w:rPr>
                <w:rFonts w:hint="eastAsia"/>
                <w:color w:val="000000" w:themeColor="text1"/>
              </w:rPr>
              <w:t>污水处理系统</w:t>
            </w:r>
          </w:p>
        </w:tc>
        <w:tc>
          <w:tcPr>
            <w:tcW w:w="170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栅渣</w:t>
            </w:r>
          </w:p>
        </w:tc>
        <w:tc>
          <w:tcPr>
            <w:tcW w:w="148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0.2</w:t>
            </w:r>
            <w:r>
              <w:rPr>
                <w:color w:val="000000" w:themeColor="text1"/>
              </w:rPr>
              <w:t>t/a</w:t>
            </w:r>
          </w:p>
        </w:tc>
        <w:tc>
          <w:tcPr>
            <w:tcW w:w="269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按环卫部门要求清运处置</w:t>
            </w:r>
          </w:p>
        </w:tc>
        <w:tc>
          <w:tcPr>
            <w:tcW w:w="128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8" w:type="dxa"/>
            <w:vMerge w:val="continue"/>
            <w:tcBorders>
              <w:left w:val="single" w:color="auto" w:sz="4" w:space="0"/>
              <w:bottom w:val="single" w:color="auto" w:sz="4" w:space="0"/>
              <w:right w:val="single" w:color="auto" w:sz="4" w:space="0"/>
            </w:tcBorders>
            <w:vAlign w:val="center"/>
          </w:tcPr>
          <w:p>
            <w:pPr>
              <w:pStyle w:val="55"/>
              <w:rPr>
                <w:color w:val="000000" w:themeColor="text1"/>
              </w:rPr>
            </w:pPr>
          </w:p>
        </w:tc>
        <w:tc>
          <w:tcPr>
            <w:tcW w:w="170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污泥</w:t>
            </w:r>
          </w:p>
        </w:tc>
        <w:tc>
          <w:tcPr>
            <w:tcW w:w="148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24.59</w:t>
            </w:r>
            <w:r>
              <w:rPr>
                <w:color w:val="000000" w:themeColor="text1"/>
              </w:rPr>
              <w:t>t/a</w:t>
            </w:r>
          </w:p>
        </w:tc>
        <w:tc>
          <w:tcPr>
            <w:tcW w:w="2694"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bCs/>
                <w:iCs/>
                <w:color w:val="000000" w:themeColor="text1"/>
                <w:szCs w:val="24"/>
              </w:rPr>
              <w:t>消毒脱水以后定期由环卫部门清运处置</w:t>
            </w:r>
          </w:p>
        </w:tc>
        <w:tc>
          <w:tcPr>
            <w:tcW w:w="1288" w:type="dxa"/>
            <w:tcBorders>
              <w:top w:val="single" w:color="auto" w:sz="4" w:space="0"/>
              <w:left w:val="single" w:color="auto" w:sz="4" w:space="0"/>
              <w:bottom w:val="single" w:color="auto" w:sz="4" w:space="0"/>
              <w:right w:val="single" w:color="auto" w:sz="4" w:space="0"/>
            </w:tcBorders>
            <w:vAlign w:val="center"/>
          </w:tcPr>
          <w:p>
            <w:pPr>
              <w:pStyle w:val="55"/>
              <w:rPr>
                <w:bCs/>
                <w:iCs/>
                <w:color w:val="000000" w:themeColor="text1"/>
                <w:szCs w:val="24"/>
              </w:rPr>
            </w:pPr>
            <w:r>
              <w:rPr>
                <w:rFonts w:hint="eastAsia"/>
                <w:bCs/>
                <w:iCs/>
                <w:color w:val="000000" w:themeColor="text1"/>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8" w:type="dxa"/>
            <w:tcBorders>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产品检疫</w:t>
            </w:r>
          </w:p>
        </w:tc>
        <w:tc>
          <w:tcPr>
            <w:tcW w:w="170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检疫试纸</w:t>
            </w:r>
          </w:p>
        </w:tc>
        <w:tc>
          <w:tcPr>
            <w:tcW w:w="148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1t/a</w:t>
            </w:r>
          </w:p>
        </w:tc>
        <w:tc>
          <w:tcPr>
            <w:tcW w:w="2694" w:type="dxa"/>
            <w:tcBorders>
              <w:top w:val="single" w:color="auto" w:sz="4" w:space="0"/>
              <w:left w:val="single" w:color="auto" w:sz="4" w:space="0"/>
              <w:bottom w:val="single" w:color="auto" w:sz="4" w:space="0"/>
              <w:right w:val="single" w:color="auto" w:sz="4" w:space="0"/>
            </w:tcBorders>
            <w:vAlign w:val="center"/>
          </w:tcPr>
          <w:p>
            <w:pPr>
              <w:pStyle w:val="55"/>
              <w:rPr>
                <w:bCs/>
                <w:iCs/>
                <w:color w:val="000000" w:themeColor="text1"/>
                <w:szCs w:val="24"/>
              </w:rPr>
            </w:pPr>
            <w:r>
              <w:rPr>
                <w:rFonts w:hint="eastAsia"/>
                <w:bCs/>
                <w:iCs/>
                <w:color w:val="000000" w:themeColor="text1"/>
                <w:szCs w:val="24"/>
              </w:rPr>
              <w:t>由动物卫生监督所的检疫人员带走进行处置</w:t>
            </w:r>
          </w:p>
        </w:tc>
        <w:tc>
          <w:tcPr>
            <w:tcW w:w="1288" w:type="dxa"/>
            <w:tcBorders>
              <w:top w:val="single" w:color="auto" w:sz="4" w:space="0"/>
              <w:left w:val="single" w:color="auto" w:sz="4" w:space="0"/>
              <w:bottom w:val="single" w:color="auto" w:sz="4" w:space="0"/>
              <w:right w:val="single" w:color="auto" w:sz="4" w:space="0"/>
            </w:tcBorders>
            <w:vAlign w:val="center"/>
          </w:tcPr>
          <w:p>
            <w:pPr>
              <w:pStyle w:val="55"/>
              <w:rPr>
                <w:bCs/>
                <w:iCs/>
                <w:color w:val="000000" w:themeColor="text1"/>
                <w:szCs w:val="24"/>
              </w:rPr>
            </w:pPr>
            <w:r>
              <w:rPr>
                <w:rFonts w:hint="eastAsia"/>
                <w:bCs/>
                <w:iCs/>
                <w:color w:val="000000" w:themeColor="text1"/>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焚烧炉</w:t>
            </w:r>
          </w:p>
        </w:tc>
        <w:tc>
          <w:tcPr>
            <w:tcW w:w="170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color w:val="000000" w:themeColor="text1"/>
              </w:rPr>
              <w:t>残渣</w:t>
            </w:r>
          </w:p>
        </w:tc>
        <w:tc>
          <w:tcPr>
            <w:tcW w:w="148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4.24t</w:t>
            </w:r>
            <w:r>
              <w:rPr>
                <w:color w:val="000000" w:themeColor="text1"/>
              </w:rPr>
              <w:t>/a</w:t>
            </w:r>
          </w:p>
        </w:tc>
        <w:tc>
          <w:tcPr>
            <w:tcW w:w="2694" w:type="dxa"/>
            <w:vMerge w:val="restart"/>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bCs/>
                <w:iCs/>
                <w:color w:val="000000" w:themeColor="text1"/>
                <w:szCs w:val="24"/>
              </w:rPr>
              <w:t>定期收集后送至砚山县垃圾填埋场填埋处置</w:t>
            </w:r>
          </w:p>
        </w:tc>
        <w:tc>
          <w:tcPr>
            <w:tcW w:w="1288" w:type="dxa"/>
            <w:tcBorders>
              <w:top w:val="single" w:color="auto" w:sz="4" w:space="0"/>
              <w:left w:val="single" w:color="auto" w:sz="4" w:space="0"/>
              <w:bottom w:val="single" w:color="auto" w:sz="4" w:space="0"/>
              <w:right w:val="single" w:color="auto" w:sz="4" w:space="0"/>
            </w:tcBorders>
            <w:vAlign w:val="center"/>
          </w:tcPr>
          <w:p>
            <w:pPr>
              <w:pStyle w:val="55"/>
              <w:rPr>
                <w:bCs/>
                <w:iCs/>
                <w:color w:val="000000" w:themeColor="text1"/>
                <w:szCs w:val="24"/>
              </w:rPr>
            </w:pPr>
            <w:r>
              <w:rPr>
                <w:rFonts w:hint="eastAsia"/>
                <w:bCs/>
                <w:iCs/>
                <w:color w:val="000000" w:themeColor="text1"/>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生活区</w:t>
            </w:r>
          </w:p>
        </w:tc>
        <w:tc>
          <w:tcPr>
            <w:tcW w:w="170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生活垃圾</w:t>
            </w:r>
          </w:p>
        </w:tc>
        <w:tc>
          <w:tcPr>
            <w:tcW w:w="1481"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7.28</w:t>
            </w:r>
            <w:r>
              <w:rPr>
                <w:color w:val="000000" w:themeColor="text1"/>
              </w:rPr>
              <w:t>t/a</w:t>
            </w:r>
          </w:p>
        </w:tc>
        <w:tc>
          <w:tcPr>
            <w:tcW w:w="2694" w:type="dxa"/>
            <w:vMerge w:val="continue"/>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p>
        </w:tc>
        <w:tc>
          <w:tcPr>
            <w:tcW w:w="1288" w:type="dxa"/>
            <w:tcBorders>
              <w:top w:val="single" w:color="auto" w:sz="4" w:space="0"/>
              <w:left w:val="single" w:color="auto" w:sz="4" w:space="0"/>
              <w:bottom w:val="single" w:color="auto" w:sz="4" w:space="0"/>
              <w:right w:val="single" w:color="auto" w:sz="4" w:space="0"/>
            </w:tcBorders>
            <w:vAlign w:val="center"/>
          </w:tcPr>
          <w:p>
            <w:pPr>
              <w:pStyle w:val="55"/>
              <w:rPr>
                <w:color w:val="000000" w:themeColor="text1"/>
              </w:rPr>
            </w:pPr>
            <w:r>
              <w:rPr>
                <w:rFonts w:hint="eastAsia"/>
                <w:color w:val="000000" w:themeColor="text1"/>
              </w:rPr>
              <w:t>0</w:t>
            </w:r>
          </w:p>
        </w:tc>
      </w:tr>
    </w:tbl>
    <w:p>
      <w:pPr>
        <w:pStyle w:val="2"/>
        <w:spacing w:before="249" w:after="249"/>
        <w:rPr>
          <w:color w:val="000000" w:themeColor="text1"/>
        </w:rPr>
      </w:pPr>
    </w:p>
    <w:p>
      <w:pPr>
        <w:ind w:firstLine="480"/>
        <w:rPr>
          <w:color w:val="000000" w:themeColor="text1"/>
          <w:sz w:val="32"/>
        </w:rPr>
      </w:pPr>
      <w:r>
        <w:rPr>
          <w:color w:val="000000" w:themeColor="text1"/>
        </w:rPr>
        <w:br w:type="page"/>
      </w:r>
    </w:p>
    <w:p>
      <w:pPr>
        <w:pStyle w:val="2"/>
        <w:spacing w:before="249" w:after="249"/>
        <w:rPr>
          <w:color w:val="000000" w:themeColor="text1"/>
        </w:rPr>
      </w:pPr>
      <w:bookmarkStart w:id="414" w:name="_Toc47375942"/>
      <w:r>
        <w:rPr>
          <w:rFonts w:hint="eastAsia"/>
          <w:color w:val="000000" w:themeColor="text1"/>
        </w:rPr>
        <w:t>11.结论</w:t>
      </w:r>
      <w:bookmarkEnd w:id="414"/>
    </w:p>
    <w:p>
      <w:pPr>
        <w:pStyle w:val="3"/>
        <w:rPr>
          <w:color w:val="000000" w:themeColor="text1"/>
        </w:rPr>
      </w:pPr>
      <w:bookmarkStart w:id="415" w:name="_Toc47375943"/>
      <w:r>
        <w:rPr>
          <w:rFonts w:hint="eastAsia"/>
          <w:color w:val="000000" w:themeColor="text1"/>
        </w:rPr>
        <w:t>11.1环境影响评价结论</w:t>
      </w:r>
      <w:bookmarkEnd w:id="415"/>
    </w:p>
    <w:p>
      <w:pPr>
        <w:pStyle w:val="38"/>
        <w:ind w:firstLine="281"/>
        <w:rPr>
          <w:color w:val="000000" w:themeColor="text1"/>
        </w:rPr>
      </w:pPr>
      <w:bookmarkStart w:id="416" w:name="_Toc47375944"/>
      <w:r>
        <w:rPr>
          <w:rFonts w:hint="eastAsia"/>
          <w:color w:val="000000" w:themeColor="text1"/>
        </w:rPr>
        <w:t>11.1.1项目概述</w:t>
      </w:r>
      <w:bookmarkEnd w:id="416"/>
    </w:p>
    <w:p>
      <w:pPr>
        <w:ind w:firstLine="480"/>
        <w:rPr>
          <w:rStyle w:val="52"/>
          <w:b w:val="0"/>
          <w:bCs w:val="0"/>
          <w:i w:val="0"/>
          <w:iCs w:val="0"/>
          <w:color w:val="000000" w:themeColor="text1"/>
          <w:szCs w:val="24"/>
        </w:rPr>
      </w:pPr>
      <w:r>
        <w:rPr>
          <w:rStyle w:val="52"/>
          <w:rFonts w:hint="eastAsia"/>
          <w:b w:val="0"/>
          <w:bCs w:val="0"/>
          <w:i w:val="0"/>
          <w:iCs w:val="0"/>
          <w:color w:val="000000" w:themeColor="text1"/>
          <w:szCs w:val="24"/>
        </w:rPr>
        <w:t>砚山县康乐生猪屠宰场拟在砚山县干河乡小龙白村西北侧500m处，永红公路西侧空地建设砚山县康乐生猪屠宰场搬迁项目(以下简称“本项目”)，建设工期约为6个月。项目占地约14.42亩(约9613.84m</w:t>
      </w:r>
      <w:r>
        <w:rPr>
          <w:rStyle w:val="52"/>
          <w:rFonts w:hint="eastAsia"/>
          <w:b w:val="0"/>
          <w:bCs w:val="0"/>
          <w:i w:val="0"/>
          <w:iCs w:val="0"/>
          <w:color w:val="000000" w:themeColor="text1"/>
          <w:szCs w:val="24"/>
          <w:vertAlign w:val="superscript"/>
        </w:rPr>
        <w:t>2</w:t>
      </w:r>
      <w:r>
        <w:rPr>
          <w:rStyle w:val="52"/>
          <w:rFonts w:hint="eastAsia"/>
          <w:b w:val="0"/>
          <w:bCs w:val="0"/>
          <w:i w:val="0"/>
          <w:iCs w:val="0"/>
          <w:color w:val="000000" w:themeColor="text1"/>
          <w:szCs w:val="24"/>
        </w:rPr>
        <w:t>)，总建筑面积4115.29m</w:t>
      </w:r>
      <w:r>
        <w:rPr>
          <w:rStyle w:val="52"/>
          <w:rFonts w:hint="eastAsia"/>
          <w:b w:val="0"/>
          <w:bCs w:val="0"/>
          <w:i w:val="0"/>
          <w:iCs w:val="0"/>
          <w:color w:val="000000" w:themeColor="text1"/>
          <w:szCs w:val="24"/>
          <w:vertAlign w:val="superscript"/>
        </w:rPr>
        <w:t>2</w:t>
      </w:r>
      <w:r>
        <w:rPr>
          <w:rStyle w:val="52"/>
          <w:rFonts w:hint="eastAsia"/>
          <w:b w:val="0"/>
          <w:bCs w:val="0"/>
          <w:i w:val="0"/>
          <w:iCs w:val="0"/>
          <w:color w:val="000000" w:themeColor="text1"/>
          <w:szCs w:val="24"/>
        </w:rPr>
        <w:t>。主要新建构筑物为生猪待宰圈、生猪屠宰间、生鸡待宰圈、宰鸡场、冷库、办公生活用房、辅助用房、值班室等，同时建设配套污水处理站、废气处理设施、焚烧炉等环保设施。</w:t>
      </w:r>
    </w:p>
    <w:p>
      <w:pPr>
        <w:ind w:firstLine="480"/>
        <w:rPr>
          <w:color w:val="000000" w:themeColor="text1"/>
        </w:rPr>
      </w:pPr>
      <w:r>
        <w:rPr>
          <w:rFonts w:hint="eastAsia"/>
          <w:color w:val="000000" w:themeColor="text1"/>
        </w:rPr>
        <w:t>项目</w:t>
      </w:r>
      <w:r>
        <w:rPr>
          <w:rStyle w:val="52"/>
          <w:rFonts w:hint="eastAsia"/>
          <w:b w:val="0"/>
          <w:bCs w:val="0"/>
          <w:i w:val="0"/>
          <w:iCs w:val="0"/>
          <w:color w:val="000000" w:themeColor="text1"/>
          <w:szCs w:val="24"/>
        </w:rPr>
        <w:t>总投资2000万元</w:t>
      </w:r>
      <w:r>
        <w:rPr>
          <w:rFonts w:hint="eastAsia"/>
          <w:color w:val="000000" w:themeColor="text1"/>
        </w:rPr>
        <w:t>，其中环保投资243.5万元，计划于2020年9月开工建设，2021年3月投产。劳动定员及工作制度：定员20人，每年工作364天，双班制，每班工作 8小时。</w:t>
      </w:r>
    </w:p>
    <w:p>
      <w:pPr>
        <w:pStyle w:val="38"/>
        <w:ind w:firstLine="281"/>
        <w:rPr>
          <w:rFonts w:cs="Times New Roman"/>
          <w:color w:val="000000" w:themeColor="text1"/>
        </w:rPr>
      </w:pPr>
      <w:bookmarkStart w:id="417" w:name="_Toc401477833"/>
      <w:bookmarkStart w:id="418" w:name="_Toc6428773"/>
      <w:bookmarkStart w:id="419" w:name="_Toc47375945"/>
      <w:r>
        <w:rPr>
          <w:rFonts w:cs="Times New Roman"/>
          <w:color w:val="000000" w:themeColor="text1"/>
        </w:rPr>
        <w:t>11.1</w:t>
      </w:r>
      <w:r>
        <w:rPr>
          <w:rFonts w:hint="eastAsia" w:cs="Times New Roman"/>
          <w:color w:val="000000" w:themeColor="text1"/>
        </w:rPr>
        <w:t>.2</w:t>
      </w:r>
      <w:r>
        <w:rPr>
          <w:rFonts w:hint="eastAsia"/>
          <w:color w:val="000000" w:themeColor="text1"/>
        </w:rPr>
        <w:t>产业政策</w:t>
      </w:r>
      <w:bookmarkEnd w:id="417"/>
      <w:bookmarkEnd w:id="418"/>
      <w:r>
        <w:rPr>
          <w:rFonts w:hint="eastAsia"/>
          <w:color w:val="000000" w:themeColor="text1"/>
        </w:rPr>
        <w:t>、行业管理办法、规划符合性分析结论</w:t>
      </w:r>
      <w:bookmarkEnd w:id="419"/>
    </w:p>
    <w:p>
      <w:pPr>
        <w:ind w:firstLine="480"/>
        <w:rPr>
          <w:color w:val="000000" w:themeColor="text1"/>
          <w:kern w:val="0"/>
          <w:szCs w:val="24"/>
        </w:rPr>
      </w:pPr>
      <w:r>
        <w:rPr>
          <w:rFonts w:hint="eastAsia"/>
          <w:color w:val="000000" w:themeColor="text1"/>
          <w:kern w:val="0"/>
          <w:szCs w:val="24"/>
        </w:rPr>
        <w:t>根据《产业结构调整指导目录（</w:t>
      </w:r>
      <w:r>
        <w:rPr>
          <w:color w:val="000000" w:themeColor="text1"/>
          <w:kern w:val="0"/>
          <w:szCs w:val="24"/>
        </w:rPr>
        <w:t>201</w:t>
      </w:r>
      <w:r>
        <w:rPr>
          <w:rFonts w:hint="eastAsia"/>
          <w:color w:val="000000" w:themeColor="text1"/>
          <w:kern w:val="0"/>
          <w:szCs w:val="24"/>
        </w:rPr>
        <w:t>9年本）》，</w:t>
      </w:r>
      <w:r>
        <w:rPr>
          <w:rFonts w:hint="eastAsia"/>
          <w:color w:val="000000" w:themeColor="text1"/>
        </w:rPr>
        <w:t>本项目不属于《产业结构调整指导目录(2019 年)》中的限制类项目，属于《产业结构调整指导目录(2019 年本)》中的第一类鼓励类项目、“一、农林业”、“26.农林牧渔产品储运、保鲜、加工及综合利用”</w:t>
      </w:r>
      <w:r>
        <w:rPr>
          <w:rFonts w:hint="eastAsia"/>
          <w:color w:val="000000" w:themeColor="text1"/>
          <w:kern w:val="0"/>
          <w:szCs w:val="24"/>
        </w:rPr>
        <w:t>。且</w:t>
      </w:r>
      <w:r>
        <w:rPr>
          <w:rFonts w:hint="eastAsia"/>
          <w:color w:val="000000" w:themeColor="text1"/>
        </w:rPr>
        <w:t>本项目已取得了砚山县发展和改革局《投资项目备案证》（项目代码：2018-532622-05-03-013029），</w:t>
      </w:r>
      <w:r>
        <w:rPr>
          <w:rFonts w:hint="eastAsia"/>
          <w:color w:val="000000" w:themeColor="text1"/>
          <w:kern w:val="0"/>
          <w:szCs w:val="24"/>
        </w:rPr>
        <w:t>因此，本项目符合现行的国家和地方现行产业政策要求。</w:t>
      </w:r>
    </w:p>
    <w:p>
      <w:pPr>
        <w:ind w:firstLine="480"/>
        <w:rPr>
          <w:color w:val="000000" w:themeColor="text1"/>
        </w:rPr>
      </w:pPr>
      <w:r>
        <w:rPr>
          <w:rFonts w:hint="eastAsia"/>
          <w:color w:val="000000" w:themeColor="text1"/>
          <w:kern w:val="0"/>
          <w:szCs w:val="24"/>
        </w:rPr>
        <w:t>根据对比</w:t>
      </w:r>
      <w:r>
        <w:rPr>
          <w:rFonts w:hint="eastAsia"/>
          <w:color w:val="000000" w:themeColor="text1"/>
        </w:rPr>
        <w:t>《生猪屠宰管理条例》的相关要求，本项目建设符合《生猪屠宰管理条例》的相关规定。</w:t>
      </w:r>
    </w:p>
    <w:p>
      <w:pPr>
        <w:ind w:firstLine="480"/>
        <w:rPr>
          <w:color w:val="000000" w:themeColor="text1"/>
        </w:rPr>
      </w:pPr>
      <w:r>
        <w:rPr>
          <w:rFonts w:hint="eastAsia"/>
          <w:color w:val="000000" w:themeColor="text1"/>
          <w:kern w:val="0"/>
          <w:szCs w:val="24"/>
        </w:rPr>
        <w:t>根据对比</w:t>
      </w:r>
      <w:r>
        <w:rPr>
          <w:rFonts w:hint="eastAsia"/>
          <w:color w:val="000000" w:themeColor="text1"/>
        </w:rPr>
        <w:t>《国务院关于印发〈大气污染防治行动计划〉的通知》（国发〔2013〕37号）、《国务院关于印发水污染防治行动计划的通知》（国发[2015]17号）、《土壤污染防治行动计划》中的水、气、土十条中与项目建设相关的规定，本项目符合水、气、土十条相关规定。</w:t>
      </w:r>
    </w:p>
    <w:p>
      <w:pPr>
        <w:ind w:firstLine="480"/>
        <w:rPr>
          <w:color w:val="000000" w:themeColor="text1"/>
        </w:rPr>
      </w:pPr>
      <w:r>
        <w:rPr>
          <w:rFonts w:hint="eastAsia"/>
          <w:color w:val="000000" w:themeColor="text1"/>
          <w:kern w:val="0"/>
          <w:szCs w:val="24"/>
        </w:rPr>
        <w:t>根据对比</w:t>
      </w:r>
      <w:r>
        <w:rPr>
          <w:color w:val="000000" w:themeColor="text1"/>
        </w:rPr>
        <w:t>《云南省环境保护“十三五”规划纲要》（云环发[2016]68 号）</w:t>
      </w:r>
      <w:r>
        <w:rPr>
          <w:rFonts w:hint="eastAsia"/>
          <w:color w:val="000000" w:themeColor="text1"/>
        </w:rPr>
        <w:t>，</w:t>
      </w:r>
      <w:r>
        <w:rPr>
          <w:color w:val="000000" w:themeColor="text1"/>
        </w:rPr>
        <w:t>项目符合《云南省环境保护“十三五”规划纲要》</w:t>
      </w:r>
      <w:r>
        <w:rPr>
          <w:rFonts w:hint="eastAsia"/>
          <w:color w:val="000000" w:themeColor="text1"/>
        </w:rPr>
        <w:t>。</w:t>
      </w:r>
    </w:p>
    <w:p>
      <w:pPr>
        <w:ind w:firstLine="480"/>
        <w:rPr>
          <w:color w:val="000000" w:themeColor="text1"/>
        </w:rPr>
      </w:pPr>
      <w:r>
        <w:rPr>
          <w:rFonts w:hint="eastAsia"/>
          <w:color w:val="000000" w:themeColor="text1"/>
        </w:rPr>
        <w:t>根据对比《文山州</w:t>
      </w:r>
      <w:r>
        <w:rPr>
          <w:color w:val="000000" w:themeColor="text1"/>
        </w:rPr>
        <w:t>“</w:t>
      </w:r>
      <w:r>
        <w:rPr>
          <w:rFonts w:hint="eastAsia"/>
          <w:color w:val="000000" w:themeColor="text1"/>
        </w:rPr>
        <w:t>十三五</w:t>
      </w:r>
      <w:r>
        <w:rPr>
          <w:color w:val="000000" w:themeColor="text1"/>
        </w:rPr>
        <w:t>”</w:t>
      </w:r>
      <w:r>
        <w:rPr>
          <w:rFonts w:hint="eastAsia"/>
          <w:color w:val="000000" w:themeColor="text1"/>
        </w:rPr>
        <w:t>工业经济发展规划》的总体特点，本项目总体上符合《文山州</w:t>
      </w:r>
      <w:r>
        <w:rPr>
          <w:color w:val="000000" w:themeColor="text1"/>
        </w:rPr>
        <w:t>“</w:t>
      </w:r>
      <w:r>
        <w:rPr>
          <w:rFonts w:hint="eastAsia"/>
          <w:color w:val="000000" w:themeColor="text1"/>
        </w:rPr>
        <w:t>十三五</w:t>
      </w:r>
      <w:r>
        <w:rPr>
          <w:color w:val="000000" w:themeColor="text1"/>
        </w:rPr>
        <w:t>”</w:t>
      </w:r>
      <w:r>
        <w:rPr>
          <w:rFonts w:hint="eastAsia"/>
          <w:color w:val="000000" w:themeColor="text1"/>
        </w:rPr>
        <w:t>工业经济发展规划》。</w:t>
      </w:r>
    </w:p>
    <w:p>
      <w:pPr>
        <w:ind w:firstLine="480"/>
        <w:rPr>
          <w:color w:val="000000" w:themeColor="text1"/>
          <w:kern w:val="0"/>
          <w:szCs w:val="24"/>
        </w:rPr>
      </w:pPr>
      <w:r>
        <w:rPr>
          <w:rFonts w:hint="eastAsia"/>
          <w:color w:val="000000" w:themeColor="text1"/>
        </w:rPr>
        <w:t>本项目</w:t>
      </w:r>
      <w:r>
        <w:rPr>
          <w:color w:val="000000" w:themeColor="text1"/>
        </w:rPr>
        <w:t>选址位于砚山县北的干河乡</w:t>
      </w:r>
      <w:r>
        <w:rPr>
          <w:rFonts w:hint="eastAsia"/>
          <w:color w:val="000000" w:themeColor="text1"/>
        </w:rPr>
        <w:t>碧云村委会</w:t>
      </w:r>
      <w:r>
        <w:rPr>
          <w:color w:val="000000" w:themeColor="text1"/>
        </w:rPr>
        <w:t>小龙白村西北侧</w:t>
      </w:r>
      <w:r>
        <w:rPr>
          <w:rFonts w:hint="eastAsia"/>
          <w:color w:val="000000" w:themeColor="text1"/>
        </w:rPr>
        <w:t>500m处</w:t>
      </w:r>
      <w:r>
        <w:rPr>
          <w:color w:val="000000" w:themeColor="text1"/>
        </w:rPr>
        <w:t>，距离县城直线距离约</w:t>
      </w:r>
      <w:r>
        <w:rPr>
          <w:rFonts w:hint="eastAsia"/>
          <w:color w:val="000000" w:themeColor="text1"/>
        </w:rPr>
        <w:t>3</w:t>
      </w:r>
      <w:r>
        <w:rPr>
          <w:color w:val="000000" w:themeColor="text1"/>
        </w:rPr>
        <w:t>km，不在城市总规范围内，不属于规划禁止建设区和限制建设区，</w:t>
      </w:r>
      <w:r>
        <w:rPr>
          <w:rFonts w:hint="eastAsia"/>
          <w:color w:val="000000" w:themeColor="text1"/>
        </w:rPr>
        <w:t>本项目</w:t>
      </w:r>
      <w:r>
        <w:rPr>
          <w:color w:val="000000" w:themeColor="text1"/>
        </w:rPr>
        <w:t>符合《砚山县城市总体规划（2016－2030 年）》</w:t>
      </w:r>
      <w:r>
        <w:rPr>
          <w:rFonts w:hint="eastAsia"/>
          <w:color w:val="000000" w:themeColor="text1"/>
        </w:rPr>
        <w:t>。</w:t>
      </w:r>
    </w:p>
    <w:p>
      <w:pPr>
        <w:pStyle w:val="38"/>
        <w:ind w:firstLine="281"/>
        <w:rPr>
          <w:rFonts w:cs="Times New Roman"/>
          <w:color w:val="000000" w:themeColor="text1"/>
          <w:sz w:val="32"/>
        </w:rPr>
      </w:pPr>
      <w:bookmarkStart w:id="420" w:name="_Toc6428774"/>
      <w:bookmarkStart w:id="421" w:name="_Toc401477834"/>
      <w:bookmarkStart w:id="422" w:name="_Toc47375946"/>
      <w:r>
        <w:rPr>
          <w:rFonts w:cs="Times New Roman"/>
          <w:color w:val="000000" w:themeColor="text1"/>
        </w:rPr>
        <w:t>11.</w:t>
      </w:r>
      <w:r>
        <w:rPr>
          <w:rFonts w:hint="eastAsia" w:cs="Times New Roman"/>
          <w:color w:val="000000" w:themeColor="text1"/>
        </w:rPr>
        <w:t>1.3</w:t>
      </w:r>
      <w:r>
        <w:rPr>
          <w:rFonts w:hint="eastAsia"/>
          <w:color w:val="000000" w:themeColor="text1"/>
        </w:rPr>
        <w:t>项目选址合理性分析结论</w:t>
      </w:r>
      <w:bookmarkEnd w:id="420"/>
      <w:bookmarkEnd w:id="421"/>
      <w:bookmarkEnd w:id="422"/>
    </w:p>
    <w:p>
      <w:pPr>
        <w:ind w:firstLine="480"/>
        <w:rPr>
          <w:color w:val="000000" w:themeColor="text1"/>
          <w:kern w:val="0"/>
          <w:szCs w:val="24"/>
        </w:rPr>
      </w:pPr>
      <w:r>
        <w:rPr>
          <w:rFonts w:hint="eastAsia"/>
          <w:color w:val="000000" w:themeColor="text1"/>
        </w:rPr>
        <w:t>经过对照《肉类加工厂卫生规范》（</w:t>
      </w:r>
      <w:r>
        <w:rPr>
          <w:color w:val="000000" w:themeColor="text1"/>
        </w:rPr>
        <w:t>GB12694-1990</w:t>
      </w:r>
      <w:r>
        <w:rPr>
          <w:rFonts w:hint="eastAsia"/>
          <w:color w:val="000000" w:themeColor="text1"/>
        </w:rPr>
        <w:t>）、《畜类屠宰加工通用技术条件》（</w:t>
      </w:r>
      <w:r>
        <w:rPr>
          <w:color w:val="000000" w:themeColor="text1"/>
        </w:rPr>
        <w:t>GB/T17237-2008</w:t>
      </w:r>
      <w:r>
        <w:rPr>
          <w:rFonts w:hint="eastAsia"/>
          <w:color w:val="000000" w:themeColor="text1"/>
        </w:rPr>
        <w:t>）中屠宰场的选址要求，本项目</w:t>
      </w:r>
      <w:r>
        <w:rPr>
          <w:rFonts w:hint="eastAsia"/>
          <w:color w:val="000000" w:themeColor="text1"/>
          <w:kern w:val="0"/>
          <w:szCs w:val="24"/>
        </w:rPr>
        <w:t>位于</w:t>
      </w:r>
      <w:r>
        <w:rPr>
          <w:rStyle w:val="52"/>
          <w:rFonts w:hint="eastAsia"/>
          <w:b w:val="0"/>
          <w:bCs w:val="0"/>
          <w:i w:val="0"/>
          <w:iCs w:val="0"/>
          <w:color w:val="000000" w:themeColor="text1"/>
          <w:szCs w:val="24"/>
        </w:rPr>
        <w:t>砚山县干河乡小龙白村西北侧500m处</w:t>
      </w:r>
      <w:r>
        <w:rPr>
          <w:rFonts w:hint="eastAsia"/>
          <w:color w:val="000000" w:themeColor="text1"/>
          <w:kern w:val="0"/>
          <w:szCs w:val="24"/>
        </w:rPr>
        <w:t>，</w:t>
      </w:r>
      <w:r>
        <w:rPr>
          <w:rFonts w:hint="eastAsia"/>
          <w:color w:val="000000" w:themeColor="text1"/>
        </w:rPr>
        <w:t>项目所在地交通运输方便，水源电源来源于市政统一供给，环境卫生条件良好，无有害气体、粉尘、污浊水及其他污染源的地区，敏感点都位于项目区常年风向的侧风向和上风向，且项目</w:t>
      </w:r>
      <w:r>
        <w:rPr>
          <w:rFonts w:hint="eastAsia"/>
          <w:bCs/>
          <w:color w:val="000000" w:themeColor="text1"/>
          <w:kern w:val="0"/>
          <w:szCs w:val="24"/>
        </w:rPr>
        <w:t>符合砚山县城市总体规划的要求，</w:t>
      </w:r>
      <w:r>
        <w:rPr>
          <w:rFonts w:hint="eastAsia"/>
          <w:color w:val="000000" w:themeColor="text1"/>
        </w:rPr>
        <w:t>现已取得砚山县自然资源局颁发的建设用地规划许可证（砚山县地字第202000012号）</w:t>
      </w:r>
      <w:r>
        <w:rPr>
          <w:rFonts w:hint="eastAsia"/>
          <w:bCs/>
          <w:color w:val="000000" w:themeColor="text1"/>
          <w:kern w:val="0"/>
          <w:szCs w:val="24"/>
        </w:rPr>
        <w:t>。项目采取一系列措施减小了对周围大气环境，声环境，水环境的影响，不会对周围环境敏感目标产生明显影响，项目所在地</w:t>
      </w:r>
      <w:r>
        <w:rPr>
          <w:bCs/>
          <w:color w:val="000000" w:themeColor="text1"/>
          <w:kern w:val="0"/>
          <w:szCs w:val="24"/>
        </w:rPr>
        <w:t>500m</w:t>
      </w:r>
      <w:r>
        <w:rPr>
          <w:rFonts w:hint="eastAsia"/>
          <w:bCs/>
          <w:color w:val="000000" w:themeColor="text1"/>
          <w:kern w:val="0"/>
          <w:szCs w:val="24"/>
        </w:rPr>
        <w:t>范围内无自然保护区、文物景观、水源保护地，无居民饮用水取水点等环境敏感点，因此，项目选址合理。</w:t>
      </w:r>
    </w:p>
    <w:p>
      <w:pPr>
        <w:pStyle w:val="3"/>
        <w:rPr>
          <w:rFonts w:cs="Times New Roman"/>
          <w:color w:val="000000" w:themeColor="text1"/>
          <w:sz w:val="32"/>
        </w:rPr>
      </w:pPr>
      <w:bookmarkStart w:id="423" w:name="_Toc401477832"/>
      <w:bookmarkStart w:id="424" w:name="_Toc6428775"/>
      <w:bookmarkStart w:id="425" w:name="_Toc401477835"/>
      <w:bookmarkStart w:id="426" w:name="_Toc47375947"/>
      <w:r>
        <w:rPr>
          <w:rFonts w:cs="Times New Roman"/>
          <w:color w:val="000000" w:themeColor="text1"/>
        </w:rPr>
        <w:t>11.</w:t>
      </w:r>
      <w:bookmarkEnd w:id="423"/>
      <w:r>
        <w:rPr>
          <w:rFonts w:hint="eastAsia" w:cs="Times New Roman"/>
          <w:color w:val="000000" w:themeColor="text1"/>
        </w:rPr>
        <w:t>2</w:t>
      </w:r>
      <w:r>
        <w:rPr>
          <w:rFonts w:hint="eastAsia"/>
          <w:color w:val="000000" w:themeColor="text1"/>
        </w:rPr>
        <w:t>评价区域的环境质量状况</w:t>
      </w:r>
      <w:bookmarkEnd w:id="424"/>
      <w:bookmarkEnd w:id="425"/>
      <w:bookmarkEnd w:id="426"/>
    </w:p>
    <w:p>
      <w:pPr>
        <w:ind w:firstLine="480"/>
        <w:rPr>
          <w:rFonts w:cs="Times New Roman"/>
          <w:color w:val="000000" w:themeColor="text1"/>
          <w:kern w:val="0"/>
        </w:rPr>
      </w:pPr>
      <w:bookmarkStart w:id="427" w:name="_Toc401477836"/>
      <w:r>
        <w:rPr>
          <w:rFonts w:hint="eastAsia"/>
          <w:color w:val="000000" w:themeColor="text1"/>
          <w:kern w:val="0"/>
        </w:rPr>
        <w:t>（</w:t>
      </w:r>
      <w:r>
        <w:rPr>
          <w:color w:val="000000" w:themeColor="text1"/>
          <w:kern w:val="0"/>
        </w:rPr>
        <w:t>1</w:t>
      </w:r>
      <w:r>
        <w:rPr>
          <w:rFonts w:hint="eastAsia"/>
          <w:color w:val="000000" w:themeColor="text1"/>
          <w:kern w:val="0"/>
        </w:rPr>
        <w:t>）环境空气质量现状</w:t>
      </w:r>
      <w:bookmarkEnd w:id="427"/>
    </w:p>
    <w:p>
      <w:pPr>
        <w:ind w:firstLine="480"/>
        <w:rPr>
          <w:color w:val="000000" w:themeColor="text1"/>
          <w:kern w:val="0"/>
        </w:rPr>
      </w:pPr>
      <w:r>
        <w:rPr>
          <w:rFonts w:hint="eastAsia"/>
          <w:color w:val="000000" w:themeColor="text1"/>
          <w:kern w:val="0"/>
        </w:rPr>
        <w:t>根据《</w:t>
      </w:r>
      <w:r>
        <w:rPr>
          <w:rFonts w:hint="eastAsia"/>
          <w:color w:val="000000" w:themeColor="text1"/>
        </w:rPr>
        <w:t>文山州</w:t>
      </w:r>
      <w:r>
        <w:rPr>
          <w:color w:val="000000" w:themeColor="text1"/>
        </w:rPr>
        <w:t>201</w:t>
      </w:r>
      <w:r>
        <w:rPr>
          <w:rFonts w:hint="eastAsia"/>
          <w:color w:val="000000" w:themeColor="text1"/>
        </w:rPr>
        <w:t>9年环境状况公报</w:t>
      </w:r>
      <w:r>
        <w:rPr>
          <w:rFonts w:hint="eastAsia"/>
          <w:color w:val="000000" w:themeColor="text1"/>
          <w:kern w:val="0"/>
        </w:rPr>
        <w:t>》，</w:t>
      </w:r>
      <w:r>
        <w:rPr>
          <w:rFonts w:hint="eastAsia"/>
          <w:color w:val="000000" w:themeColor="text1"/>
        </w:rPr>
        <w:t>砚山县环境空气质量总体良好，年评价结果</w:t>
      </w:r>
      <w:r>
        <w:rPr>
          <w:rFonts w:hint="eastAsia"/>
          <w:color w:val="000000" w:themeColor="text1"/>
          <w:kern w:val="0"/>
        </w:rPr>
        <w:t>均达到《环境空气质量标准》（</w:t>
      </w:r>
      <w:r>
        <w:rPr>
          <w:color w:val="000000" w:themeColor="text1"/>
          <w:kern w:val="0"/>
        </w:rPr>
        <w:t>GB3095-2012</w:t>
      </w:r>
      <w:r>
        <w:rPr>
          <w:rFonts w:hint="eastAsia"/>
          <w:color w:val="000000" w:themeColor="text1"/>
          <w:kern w:val="0"/>
        </w:rPr>
        <w:t>）二级标准要求。</w:t>
      </w:r>
    </w:p>
    <w:p>
      <w:pPr>
        <w:ind w:firstLine="480"/>
        <w:rPr>
          <w:bCs/>
          <w:color w:val="000000" w:themeColor="text1"/>
          <w:kern w:val="0"/>
        </w:rPr>
      </w:pPr>
      <w:r>
        <w:rPr>
          <w:rFonts w:hint="eastAsia"/>
          <w:color w:val="000000" w:themeColor="text1"/>
          <w:kern w:val="0"/>
        </w:rPr>
        <w:t>根据本项目环境空气现状补充监测结果，项目厂址中心、小舍克村</w:t>
      </w:r>
      <w:r>
        <w:rPr>
          <w:color w:val="000000" w:themeColor="text1"/>
          <w:kern w:val="0"/>
        </w:rPr>
        <w:t>2</w:t>
      </w:r>
      <w:r>
        <w:rPr>
          <w:rFonts w:hint="eastAsia"/>
          <w:color w:val="000000" w:themeColor="text1"/>
          <w:kern w:val="0"/>
        </w:rPr>
        <w:t>个监测点的</w:t>
      </w:r>
      <w:r>
        <w:rPr>
          <w:color w:val="000000" w:themeColor="text1"/>
          <w:szCs w:val="24"/>
        </w:rPr>
        <w:t>NH</w:t>
      </w:r>
      <w:r>
        <w:rPr>
          <w:color w:val="000000" w:themeColor="text1"/>
          <w:szCs w:val="24"/>
          <w:vertAlign w:val="subscript"/>
        </w:rPr>
        <w:t>3</w:t>
      </w:r>
      <w:r>
        <w:rPr>
          <w:rFonts w:hint="eastAsia"/>
          <w:color w:val="000000" w:themeColor="text1"/>
          <w:szCs w:val="24"/>
        </w:rPr>
        <w:t>、</w:t>
      </w:r>
      <w:r>
        <w:rPr>
          <w:color w:val="000000" w:themeColor="text1"/>
          <w:szCs w:val="24"/>
        </w:rPr>
        <w:t>H</w:t>
      </w:r>
      <w:r>
        <w:rPr>
          <w:color w:val="000000" w:themeColor="text1"/>
          <w:szCs w:val="24"/>
          <w:vertAlign w:val="subscript"/>
        </w:rPr>
        <w:t>2</w:t>
      </w:r>
      <w:r>
        <w:rPr>
          <w:color w:val="000000" w:themeColor="text1"/>
          <w:szCs w:val="24"/>
        </w:rPr>
        <w:t>S</w:t>
      </w:r>
      <w:r>
        <w:rPr>
          <w:rFonts w:hint="eastAsia"/>
          <w:color w:val="000000" w:themeColor="text1"/>
          <w:kern w:val="0"/>
        </w:rPr>
        <w:t>、臭气浓度，在</w:t>
      </w:r>
      <w:r>
        <w:rPr>
          <w:color w:val="000000" w:themeColor="text1"/>
          <w:kern w:val="0"/>
        </w:rPr>
        <w:t xml:space="preserve"> 20</w:t>
      </w:r>
      <w:r>
        <w:rPr>
          <w:rFonts w:hint="eastAsia"/>
          <w:color w:val="000000" w:themeColor="text1"/>
          <w:kern w:val="0"/>
        </w:rPr>
        <w:t>20</w:t>
      </w:r>
      <w:r>
        <w:rPr>
          <w:color w:val="000000" w:themeColor="text1"/>
          <w:kern w:val="0"/>
        </w:rPr>
        <w:t>.</w:t>
      </w:r>
      <w:r>
        <w:rPr>
          <w:rFonts w:hint="eastAsia"/>
          <w:color w:val="000000" w:themeColor="text1"/>
          <w:kern w:val="0"/>
        </w:rPr>
        <w:t>05</w:t>
      </w:r>
      <w:r>
        <w:rPr>
          <w:color w:val="000000" w:themeColor="text1"/>
          <w:kern w:val="0"/>
        </w:rPr>
        <w:t>.</w:t>
      </w:r>
      <w:r>
        <w:rPr>
          <w:rFonts w:hint="eastAsia"/>
          <w:color w:val="000000" w:themeColor="text1"/>
          <w:kern w:val="0"/>
        </w:rPr>
        <w:t>09～</w:t>
      </w:r>
      <w:r>
        <w:rPr>
          <w:color w:val="000000" w:themeColor="text1"/>
          <w:kern w:val="0"/>
        </w:rPr>
        <w:t>20</w:t>
      </w:r>
      <w:r>
        <w:rPr>
          <w:rFonts w:hint="eastAsia"/>
          <w:color w:val="000000" w:themeColor="text1"/>
          <w:kern w:val="0"/>
        </w:rPr>
        <w:t>20</w:t>
      </w:r>
      <w:r>
        <w:rPr>
          <w:color w:val="000000" w:themeColor="text1"/>
          <w:kern w:val="0"/>
        </w:rPr>
        <w:t>.</w:t>
      </w:r>
      <w:r>
        <w:rPr>
          <w:rFonts w:hint="eastAsia"/>
          <w:color w:val="000000" w:themeColor="text1"/>
          <w:kern w:val="0"/>
        </w:rPr>
        <w:t>05</w:t>
      </w:r>
      <w:r>
        <w:rPr>
          <w:color w:val="000000" w:themeColor="text1"/>
          <w:kern w:val="0"/>
        </w:rPr>
        <w:t>.</w:t>
      </w:r>
      <w:r>
        <w:rPr>
          <w:rFonts w:hint="eastAsia"/>
          <w:color w:val="000000" w:themeColor="text1"/>
          <w:kern w:val="0"/>
        </w:rPr>
        <w:t>15</w:t>
      </w:r>
      <w:r>
        <w:rPr>
          <w:color w:val="000000" w:themeColor="text1"/>
          <w:kern w:val="0"/>
        </w:rPr>
        <w:t xml:space="preserve"> </w:t>
      </w:r>
      <w:r>
        <w:rPr>
          <w:rFonts w:hint="eastAsia"/>
          <w:color w:val="000000" w:themeColor="text1"/>
          <w:kern w:val="0"/>
        </w:rPr>
        <w:t>监测时段内，</w:t>
      </w:r>
      <w:r>
        <w:rPr>
          <w:color w:val="000000" w:themeColor="text1"/>
          <w:szCs w:val="24"/>
        </w:rPr>
        <w:t>NH</w:t>
      </w:r>
      <w:r>
        <w:rPr>
          <w:color w:val="000000" w:themeColor="text1"/>
          <w:szCs w:val="24"/>
          <w:vertAlign w:val="subscript"/>
        </w:rPr>
        <w:t>3</w:t>
      </w:r>
      <w:r>
        <w:rPr>
          <w:rFonts w:hint="eastAsia"/>
          <w:color w:val="000000" w:themeColor="text1"/>
          <w:szCs w:val="24"/>
        </w:rPr>
        <w:t>、</w:t>
      </w:r>
      <w:r>
        <w:rPr>
          <w:color w:val="000000" w:themeColor="text1"/>
          <w:szCs w:val="24"/>
        </w:rPr>
        <w:t>H</w:t>
      </w:r>
      <w:r>
        <w:rPr>
          <w:color w:val="000000" w:themeColor="text1"/>
          <w:szCs w:val="24"/>
          <w:vertAlign w:val="subscript"/>
        </w:rPr>
        <w:t>2</w:t>
      </w:r>
      <w:r>
        <w:rPr>
          <w:color w:val="000000" w:themeColor="text1"/>
          <w:szCs w:val="24"/>
        </w:rPr>
        <w:t>S</w:t>
      </w:r>
      <w:r>
        <w:rPr>
          <w:rFonts w:hint="eastAsia" w:cs="Times New Roman"/>
          <w:color w:val="000000" w:themeColor="text1"/>
          <w:szCs w:val="24"/>
        </w:rPr>
        <w:t>均</w:t>
      </w:r>
      <w:r>
        <w:rPr>
          <w:rFonts w:cs="Times New Roman"/>
          <w:color w:val="000000" w:themeColor="text1"/>
          <w:szCs w:val="24"/>
        </w:rPr>
        <w:t>可</w:t>
      </w:r>
      <w:r>
        <w:rPr>
          <w:rFonts w:hint="eastAsia" w:hAnsi="宋体" w:cs="Times New Roman"/>
          <w:color w:val="000000" w:themeColor="text1"/>
          <w:szCs w:val="24"/>
        </w:rPr>
        <w:t>满足</w:t>
      </w:r>
      <w:r>
        <w:rPr>
          <w:rFonts w:hAnsi="宋体" w:cs="Times New Roman"/>
          <w:color w:val="000000" w:themeColor="text1"/>
          <w:szCs w:val="24"/>
        </w:rPr>
        <w:t>《环境影响评价技术导则</w:t>
      </w:r>
      <w:r>
        <w:rPr>
          <w:rFonts w:cs="Times New Roman"/>
          <w:color w:val="000000" w:themeColor="text1"/>
          <w:szCs w:val="24"/>
        </w:rPr>
        <w:t xml:space="preserve">  </w:t>
      </w:r>
      <w:r>
        <w:rPr>
          <w:rFonts w:hAnsi="宋体" w:cs="Times New Roman"/>
          <w:color w:val="000000" w:themeColor="text1"/>
          <w:szCs w:val="24"/>
        </w:rPr>
        <w:t>大气环境》（</w:t>
      </w:r>
      <w:r>
        <w:rPr>
          <w:rFonts w:cs="Times New Roman"/>
          <w:color w:val="000000" w:themeColor="text1"/>
          <w:szCs w:val="24"/>
        </w:rPr>
        <w:t>HJ2.2</w:t>
      </w:r>
      <w:r>
        <w:rPr>
          <w:rFonts w:hAnsi="宋体" w:cs="Times New Roman"/>
          <w:color w:val="000000" w:themeColor="text1"/>
          <w:szCs w:val="24"/>
        </w:rPr>
        <w:t>－</w:t>
      </w:r>
      <w:r>
        <w:rPr>
          <w:rFonts w:cs="Times New Roman"/>
          <w:color w:val="000000" w:themeColor="text1"/>
          <w:szCs w:val="24"/>
        </w:rPr>
        <w:t>2018</w:t>
      </w:r>
      <w:r>
        <w:rPr>
          <w:rFonts w:hAnsi="宋体" w:cs="Times New Roman"/>
          <w:color w:val="000000" w:themeColor="text1"/>
          <w:szCs w:val="24"/>
        </w:rPr>
        <w:t>）附录</w:t>
      </w:r>
      <w:r>
        <w:rPr>
          <w:rFonts w:cs="Times New Roman"/>
          <w:color w:val="000000" w:themeColor="text1"/>
          <w:szCs w:val="24"/>
        </w:rPr>
        <w:t>D</w:t>
      </w:r>
      <w:r>
        <w:rPr>
          <w:rFonts w:hAnsi="宋体" w:cs="Times New Roman"/>
          <w:color w:val="000000" w:themeColor="text1"/>
          <w:szCs w:val="24"/>
        </w:rPr>
        <w:t>表</w:t>
      </w:r>
      <w:r>
        <w:rPr>
          <w:rFonts w:cs="Times New Roman"/>
          <w:color w:val="000000" w:themeColor="text1"/>
          <w:szCs w:val="24"/>
        </w:rPr>
        <w:t>D.1</w:t>
      </w:r>
      <w:r>
        <w:rPr>
          <w:rFonts w:hAnsi="宋体" w:cs="Times New Roman"/>
          <w:color w:val="000000" w:themeColor="text1"/>
          <w:szCs w:val="24"/>
        </w:rPr>
        <w:t>标准</w:t>
      </w:r>
      <w:r>
        <w:rPr>
          <w:rFonts w:hint="eastAsia"/>
          <w:bCs/>
          <w:color w:val="000000" w:themeColor="text1"/>
          <w:kern w:val="0"/>
        </w:rPr>
        <w:t>，臭气浓度满足</w:t>
      </w:r>
      <w:r>
        <w:rPr>
          <w:rFonts w:hint="eastAsia"/>
          <w:color w:val="000000" w:themeColor="text1"/>
          <w:kern w:val="0"/>
          <w:szCs w:val="24"/>
        </w:rPr>
        <w:t>《恶臭污染物排放标准》表</w:t>
      </w:r>
      <w:r>
        <w:rPr>
          <w:color w:val="000000" w:themeColor="text1"/>
          <w:kern w:val="0"/>
          <w:szCs w:val="24"/>
        </w:rPr>
        <w:t>1</w:t>
      </w:r>
      <w:r>
        <w:rPr>
          <w:rFonts w:hint="eastAsia"/>
          <w:color w:val="000000" w:themeColor="text1"/>
          <w:kern w:val="0"/>
          <w:szCs w:val="24"/>
        </w:rPr>
        <w:t>中的二级标准限值</w:t>
      </w:r>
      <w:r>
        <w:rPr>
          <w:rFonts w:hint="eastAsia"/>
          <w:bCs/>
          <w:color w:val="000000" w:themeColor="text1"/>
          <w:kern w:val="0"/>
        </w:rPr>
        <w:t>。</w:t>
      </w:r>
    </w:p>
    <w:p>
      <w:pPr>
        <w:ind w:firstLine="480"/>
        <w:rPr>
          <w:color w:val="000000" w:themeColor="text1"/>
          <w:kern w:val="0"/>
          <w:szCs w:val="24"/>
        </w:rPr>
      </w:pPr>
      <w:r>
        <w:rPr>
          <w:rFonts w:hint="eastAsia"/>
          <w:bCs/>
          <w:color w:val="000000" w:themeColor="text1"/>
          <w:kern w:val="0"/>
        </w:rPr>
        <w:t>综上所述，项目所在区域环境空气质量良好。</w:t>
      </w:r>
    </w:p>
    <w:p>
      <w:pPr>
        <w:ind w:firstLine="480"/>
        <w:rPr>
          <w:color w:val="000000" w:themeColor="text1"/>
          <w:kern w:val="0"/>
        </w:rPr>
      </w:pPr>
      <w:bookmarkStart w:id="428" w:name="_Toc401477837"/>
      <w:r>
        <w:rPr>
          <w:rFonts w:hint="eastAsia"/>
          <w:color w:val="000000" w:themeColor="text1"/>
          <w:kern w:val="0"/>
        </w:rPr>
        <w:t>（</w:t>
      </w:r>
      <w:r>
        <w:rPr>
          <w:color w:val="000000" w:themeColor="text1"/>
          <w:kern w:val="0"/>
        </w:rPr>
        <w:t>2</w:t>
      </w:r>
      <w:r>
        <w:rPr>
          <w:rFonts w:hint="eastAsia"/>
          <w:color w:val="000000" w:themeColor="text1"/>
          <w:kern w:val="0"/>
        </w:rPr>
        <w:t>）水环境质量现状</w:t>
      </w:r>
      <w:bookmarkEnd w:id="428"/>
    </w:p>
    <w:p>
      <w:pPr>
        <w:ind w:firstLine="480"/>
        <w:rPr>
          <w:color w:val="000000" w:themeColor="text1"/>
          <w:kern w:val="0"/>
        </w:rPr>
      </w:pPr>
      <w:r>
        <w:rPr>
          <w:rFonts w:hint="eastAsia"/>
          <w:color w:val="000000" w:themeColor="text1"/>
        </w:rPr>
        <w:t>听湖水库水质监测数据分析，除总磷、总氮二项指标无法满足</w:t>
      </w:r>
      <w:r>
        <w:rPr>
          <w:color w:val="000000" w:themeColor="text1"/>
        </w:rPr>
        <w:t>III</w:t>
      </w:r>
      <w:r>
        <w:rPr>
          <w:rFonts w:hint="eastAsia"/>
          <w:color w:val="000000" w:themeColor="text1"/>
        </w:rPr>
        <w:t>类标准外，其他指标均满足《地表水环境质量标准》（</w:t>
      </w:r>
      <w:r>
        <w:rPr>
          <w:color w:val="000000" w:themeColor="text1"/>
        </w:rPr>
        <w:t>GB3838-2002</w:t>
      </w:r>
      <w:r>
        <w:rPr>
          <w:rFonts w:hint="eastAsia"/>
          <w:color w:val="000000" w:themeColor="text1"/>
        </w:rPr>
        <w:t>）</w:t>
      </w:r>
      <w:r>
        <w:rPr>
          <w:color w:val="000000" w:themeColor="text1"/>
        </w:rPr>
        <w:t>III</w:t>
      </w:r>
      <w:r>
        <w:rPr>
          <w:rFonts w:hint="eastAsia"/>
          <w:color w:val="000000" w:themeColor="text1"/>
        </w:rPr>
        <w:t>类标准。听湖水库水质主要受到砚山县城区居民生活面源污染。听湖水库地表水环境一般</w:t>
      </w:r>
      <w:r>
        <w:rPr>
          <w:rFonts w:hint="eastAsia"/>
          <w:color w:val="000000" w:themeColor="text1"/>
          <w:kern w:val="0"/>
        </w:rPr>
        <w:t>。</w:t>
      </w:r>
    </w:p>
    <w:p>
      <w:pPr>
        <w:ind w:firstLine="480"/>
        <w:rPr>
          <w:color w:val="000000" w:themeColor="text1"/>
          <w:kern w:val="0"/>
        </w:rPr>
      </w:pPr>
      <w:bookmarkStart w:id="429" w:name="_Toc401477838"/>
      <w:r>
        <w:rPr>
          <w:rFonts w:hint="eastAsia"/>
          <w:color w:val="000000" w:themeColor="text1"/>
          <w:kern w:val="0"/>
        </w:rPr>
        <w:t>（</w:t>
      </w:r>
      <w:r>
        <w:rPr>
          <w:color w:val="000000" w:themeColor="text1"/>
          <w:kern w:val="0"/>
        </w:rPr>
        <w:t>3</w:t>
      </w:r>
      <w:r>
        <w:rPr>
          <w:rFonts w:hint="eastAsia"/>
          <w:color w:val="000000" w:themeColor="text1"/>
          <w:kern w:val="0"/>
        </w:rPr>
        <w:t>）地下水环境质量现状</w:t>
      </w:r>
    </w:p>
    <w:p>
      <w:pPr>
        <w:ind w:firstLine="480"/>
        <w:rPr>
          <w:bCs/>
          <w:color w:val="000000" w:themeColor="text1"/>
          <w:kern w:val="0"/>
          <w:szCs w:val="24"/>
        </w:rPr>
      </w:pPr>
      <w:r>
        <w:rPr>
          <w:rFonts w:hint="eastAsia"/>
          <w:color w:val="000000" w:themeColor="text1"/>
          <w:szCs w:val="21"/>
        </w:rPr>
        <w:t>布标村、上舍克村、小龙白、碧云村检测点位的各项检测因子均能满足</w:t>
      </w:r>
      <w:r>
        <w:rPr>
          <w:rFonts w:hint="eastAsia"/>
          <w:color w:val="000000" w:themeColor="text1"/>
        </w:rPr>
        <w:t>《地下水质量标准》（</w:t>
      </w:r>
      <w:r>
        <w:rPr>
          <w:color w:val="000000" w:themeColor="text1"/>
        </w:rPr>
        <w:t>GB/T14848-2017</w:t>
      </w:r>
      <w:r>
        <w:rPr>
          <w:rFonts w:hint="eastAsia"/>
          <w:color w:val="000000" w:themeColor="text1"/>
        </w:rPr>
        <w:t>）</w:t>
      </w:r>
      <w:r>
        <w:rPr>
          <w:color w:val="000000" w:themeColor="text1"/>
        </w:rPr>
        <w:t>III</w:t>
      </w:r>
      <w:r>
        <w:rPr>
          <w:rFonts w:hint="eastAsia"/>
          <w:color w:val="000000" w:themeColor="text1"/>
        </w:rPr>
        <w:t>类标准，该区域地下水质量现状良好。</w:t>
      </w:r>
    </w:p>
    <w:p>
      <w:pPr>
        <w:ind w:firstLine="480"/>
        <w:rPr>
          <w:bCs/>
          <w:color w:val="000000" w:themeColor="text1"/>
          <w:kern w:val="0"/>
          <w:szCs w:val="24"/>
        </w:rPr>
      </w:pPr>
      <w:r>
        <w:rPr>
          <w:rFonts w:hint="eastAsia"/>
          <w:bCs/>
          <w:color w:val="000000" w:themeColor="text1"/>
          <w:kern w:val="0"/>
          <w:szCs w:val="24"/>
        </w:rPr>
        <w:t>（4）声环境质量现状</w:t>
      </w:r>
      <w:bookmarkEnd w:id="429"/>
    </w:p>
    <w:p>
      <w:pPr>
        <w:ind w:firstLine="480"/>
        <w:rPr>
          <w:color w:val="000000" w:themeColor="text1"/>
          <w:kern w:val="0"/>
        </w:rPr>
      </w:pPr>
      <w:r>
        <w:rPr>
          <w:rFonts w:hint="eastAsia"/>
          <w:bCs/>
          <w:color w:val="000000" w:themeColor="text1"/>
        </w:rPr>
        <w:t>项目四周厂界及敏感点小龙白村均可达到《声环境质量标准》（</w:t>
      </w:r>
      <w:r>
        <w:rPr>
          <w:bCs/>
          <w:color w:val="000000" w:themeColor="text1"/>
        </w:rPr>
        <w:t>GB3096-2008</w:t>
      </w:r>
      <w:r>
        <w:rPr>
          <w:rFonts w:hint="eastAsia"/>
          <w:bCs/>
          <w:color w:val="000000" w:themeColor="text1"/>
        </w:rPr>
        <w:t>）2类标准，声环境质量良好。</w:t>
      </w:r>
    </w:p>
    <w:p>
      <w:pPr>
        <w:pStyle w:val="3"/>
        <w:rPr>
          <w:rFonts w:cs="Times New Roman"/>
          <w:color w:val="000000" w:themeColor="text1"/>
          <w:sz w:val="32"/>
        </w:rPr>
      </w:pPr>
      <w:bookmarkStart w:id="430" w:name="_Toc6428776"/>
      <w:bookmarkStart w:id="431" w:name="_Toc47375948"/>
      <w:bookmarkStart w:id="432" w:name="_Toc401477840"/>
      <w:r>
        <w:rPr>
          <w:rFonts w:cs="Times New Roman"/>
          <w:color w:val="000000" w:themeColor="text1"/>
        </w:rPr>
        <w:t>11.4</w:t>
      </w:r>
      <w:r>
        <w:rPr>
          <w:rFonts w:hint="eastAsia"/>
          <w:color w:val="000000" w:themeColor="text1"/>
        </w:rPr>
        <w:t>总量控制结论</w:t>
      </w:r>
      <w:bookmarkEnd w:id="430"/>
      <w:bookmarkEnd w:id="431"/>
      <w:bookmarkEnd w:id="432"/>
    </w:p>
    <w:p>
      <w:pPr>
        <w:ind w:firstLine="480"/>
        <w:rPr>
          <w:rFonts w:cs="Times New Roman"/>
          <w:color w:val="000000" w:themeColor="text1"/>
          <w:kern w:val="0"/>
          <w:szCs w:val="24"/>
        </w:rPr>
      </w:pPr>
      <w:r>
        <w:rPr>
          <w:rFonts w:hint="eastAsia"/>
          <w:color w:val="000000" w:themeColor="text1"/>
          <w:kern w:val="0"/>
          <w:szCs w:val="24"/>
        </w:rPr>
        <w:t>本项目的污染物控制总量建议如下：</w:t>
      </w:r>
    </w:p>
    <w:p>
      <w:pPr>
        <w:ind w:firstLine="480"/>
        <w:rPr>
          <w:color w:val="000000" w:themeColor="text1"/>
          <w:kern w:val="0"/>
          <w:szCs w:val="24"/>
        </w:rPr>
      </w:pPr>
      <w:r>
        <w:rPr>
          <w:rFonts w:hint="eastAsia"/>
          <w:color w:val="000000" w:themeColor="text1"/>
          <w:kern w:val="0"/>
          <w:szCs w:val="24"/>
        </w:rPr>
        <w:t>（</w:t>
      </w:r>
      <w:r>
        <w:rPr>
          <w:color w:val="000000" w:themeColor="text1"/>
          <w:kern w:val="0"/>
          <w:szCs w:val="24"/>
        </w:rPr>
        <w:t>1</w:t>
      </w:r>
      <w:r>
        <w:rPr>
          <w:rFonts w:hint="eastAsia"/>
          <w:color w:val="000000" w:themeColor="text1"/>
          <w:kern w:val="0"/>
          <w:szCs w:val="24"/>
        </w:rPr>
        <w:t>）废水</w:t>
      </w:r>
    </w:p>
    <w:p>
      <w:pPr>
        <w:ind w:firstLine="480"/>
        <w:rPr>
          <w:color w:val="000000" w:themeColor="text1"/>
          <w:kern w:val="0"/>
        </w:rPr>
      </w:pPr>
      <w:r>
        <w:rPr>
          <w:rFonts w:hint="eastAsia"/>
          <w:color w:val="000000" w:themeColor="text1"/>
        </w:rPr>
        <w:t>项目废水污染物总量：废水排放量为8.518万t/a；CODcr排放量为5.098t/a；NH</w:t>
      </w:r>
      <w:r>
        <w:rPr>
          <w:rFonts w:hint="eastAsia"/>
          <w:color w:val="000000" w:themeColor="text1"/>
          <w:vertAlign w:val="subscript"/>
        </w:rPr>
        <w:t>3</w:t>
      </w:r>
      <w:r>
        <w:rPr>
          <w:rFonts w:hint="eastAsia"/>
          <w:color w:val="000000" w:themeColor="text1"/>
        </w:rPr>
        <w:t>-N排放量为0.798t/a</w:t>
      </w:r>
      <w:r>
        <w:rPr>
          <w:rFonts w:hint="eastAsia"/>
          <w:color w:val="000000" w:themeColor="text1"/>
          <w:kern w:val="0"/>
        </w:rPr>
        <w:t>。</w:t>
      </w:r>
    </w:p>
    <w:p>
      <w:pPr>
        <w:ind w:firstLine="480"/>
        <w:rPr>
          <w:color w:val="000000" w:themeColor="text1"/>
          <w:kern w:val="0"/>
          <w:szCs w:val="24"/>
        </w:rPr>
      </w:pPr>
      <w:r>
        <w:rPr>
          <w:rFonts w:hint="eastAsia"/>
          <w:color w:val="000000" w:themeColor="text1"/>
          <w:kern w:val="0"/>
          <w:szCs w:val="24"/>
        </w:rPr>
        <w:t>（</w:t>
      </w:r>
      <w:r>
        <w:rPr>
          <w:color w:val="000000" w:themeColor="text1"/>
          <w:kern w:val="0"/>
          <w:szCs w:val="24"/>
        </w:rPr>
        <w:t>2</w:t>
      </w:r>
      <w:r>
        <w:rPr>
          <w:rFonts w:hint="eastAsia"/>
          <w:color w:val="000000" w:themeColor="text1"/>
          <w:kern w:val="0"/>
          <w:szCs w:val="24"/>
        </w:rPr>
        <w:t>）废气</w:t>
      </w:r>
    </w:p>
    <w:p>
      <w:pPr>
        <w:ind w:firstLine="480"/>
        <w:rPr>
          <w:color w:val="000000" w:themeColor="text1"/>
          <w:kern w:val="0"/>
        </w:rPr>
      </w:pPr>
      <w:r>
        <w:rPr>
          <w:rFonts w:hint="eastAsia"/>
          <w:color w:val="000000" w:themeColor="text1"/>
          <w:kern w:val="0"/>
        </w:rPr>
        <w:t>①有组织排放废气</w:t>
      </w:r>
    </w:p>
    <w:p>
      <w:pPr>
        <w:ind w:firstLine="480"/>
        <w:rPr>
          <w:color w:val="000000" w:themeColor="text1"/>
          <w:kern w:val="0"/>
        </w:rPr>
      </w:pPr>
      <w:r>
        <w:rPr>
          <w:rFonts w:hint="eastAsia"/>
          <w:color w:val="000000" w:themeColor="text1"/>
        </w:rPr>
        <w:t>废气排放量为193.479万</w:t>
      </w:r>
      <w:r>
        <w:rPr>
          <w:bCs/>
          <w:snapToGrid w:val="0"/>
          <w:color w:val="000000" w:themeColor="text1"/>
        </w:rPr>
        <w:t>m</w:t>
      </w:r>
      <w:r>
        <w:rPr>
          <w:bCs/>
          <w:snapToGrid w:val="0"/>
          <w:color w:val="000000" w:themeColor="text1"/>
          <w:vertAlign w:val="superscript"/>
        </w:rPr>
        <w:t>3</w:t>
      </w:r>
      <w:r>
        <w:rPr>
          <w:bCs/>
          <w:snapToGrid w:val="0"/>
          <w:color w:val="000000" w:themeColor="text1"/>
        </w:rPr>
        <w:t>/a</w:t>
      </w:r>
      <w:r>
        <w:rPr>
          <w:rFonts w:hint="eastAsia"/>
          <w:bCs/>
          <w:snapToGrid w:val="0"/>
          <w:color w:val="000000" w:themeColor="text1"/>
        </w:rPr>
        <w:t>；颗粒物排放量为0.0451t/a；SO</w:t>
      </w:r>
      <w:r>
        <w:rPr>
          <w:rFonts w:hint="eastAsia"/>
          <w:bCs/>
          <w:snapToGrid w:val="0"/>
          <w:color w:val="000000" w:themeColor="text1"/>
          <w:vertAlign w:val="subscript"/>
        </w:rPr>
        <w:t>2</w:t>
      </w:r>
      <w:r>
        <w:rPr>
          <w:rFonts w:hint="eastAsia"/>
          <w:bCs/>
          <w:snapToGrid w:val="0"/>
          <w:color w:val="000000" w:themeColor="text1"/>
        </w:rPr>
        <w:t>排放量为0.0455t/a；NOx排放量为0.475t/a</w:t>
      </w:r>
      <w:r>
        <w:rPr>
          <w:rFonts w:hint="eastAsia"/>
          <w:color w:val="000000" w:themeColor="text1"/>
          <w:kern w:val="0"/>
        </w:rPr>
        <w:t>。</w:t>
      </w:r>
    </w:p>
    <w:p>
      <w:pPr>
        <w:ind w:firstLine="480"/>
        <w:rPr>
          <w:color w:val="000000" w:themeColor="text1"/>
          <w:kern w:val="0"/>
        </w:rPr>
      </w:pPr>
      <w:r>
        <w:rPr>
          <w:rFonts w:hint="eastAsia"/>
          <w:color w:val="000000" w:themeColor="text1"/>
          <w:kern w:val="0"/>
        </w:rPr>
        <w:t>②无组织排放废气</w:t>
      </w:r>
    </w:p>
    <w:p>
      <w:pPr>
        <w:ind w:firstLine="480"/>
        <w:rPr>
          <w:color w:val="000000" w:themeColor="text1"/>
          <w:kern w:val="0"/>
          <w:szCs w:val="24"/>
        </w:rPr>
      </w:pPr>
      <w:r>
        <w:rPr>
          <w:rFonts w:hint="eastAsia"/>
          <w:color w:val="000000" w:themeColor="text1"/>
          <w:kern w:val="0"/>
          <w:szCs w:val="24"/>
        </w:rPr>
        <w:t>本项目待宰及屠宰车间、污水处理站产生的恶臭均为无组织排放</w:t>
      </w:r>
      <w:r>
        <w:rPr>
          <w:rFonts w:hint="eastAsia"/>
          <w:color w:val="000000" w:themeColor="text1"/>
          <w:kern w:val="0"/>
        </w:rPr>
        <w:t>，</w:t>
      </w:r>
      <w:r>
        <w:rPr>
          <w:color w:val="000000" w:themeColor="text1"/>
          <w:position w:val="1"/>
        </w:rPr>
        <w:t>NH</w:t>
      </w:r>
      <w:r>
        <w:rPr>
          <w:color w:val="000000" w:themeColor="text1"/>
          <w:vertAlign w:val="subscript"/>
        </w:rPr>
        <w:t>3</w:t>
      </w:r>
      <w:r>
        <w:rPr>
          <w:rFonts w:hint="eastAsia"/>
          <w:color w:val="000000" w:themeColor="text1"/>
          <w:kern w:val="0"/>
        </w:rPr>
        <w:t>排放量为</w:t>
      </w:r>
      <w:r>
        <w:rPr>
          <w:rFonts w:hint="eastAsia"/>
          <w:color w:val="000000" w:themeColor="text1"/>
          <w:lang w:bidi="zh-CN"/>
        </w:rPr>
        <w:t>0.3393</w:t>
      </w:r>
      <w:r>
        <w:rPr>
          <w:rFonts w:hint="eastAsia"/>
          <w:color w:val="000000" w:themeColor="text1"/>
          <w:kern w:val="0"/>
        </w:rPr>
        <w:t>t</w:t>
      </w:r>
      <w:r>
        <w:rPr>
          <w:color w:val="000000" w:themeColor="text1"/>
          <w:kern w:val="0"/>
        </w:rPr>
        <w:t>/a</w:t>
      </w:r>
      <w:r>
        <w:rPr>
          <w:rFonts w:hint="eastAsia"/>
          <w:color w:val="000000" w:themeColor="text1"/>
          <w:kern w:val="0"/>
        </w:rPr>
        <w:t>，</w:t>
      </w:r>
      <w:r>
        <w:rPr>
          <w:color w:val="000000" w:themeColor="text1"/>
          <w:position w:val="1"/>
        </w:rPr>
        <w:t>H</w:t>
      </w:r>
      <w:r>
        <w:rPr>
          <w:color w:val="000000" w:themeColor="text1"/>
          <w:vertAlign w:val="subscript"/>
        </w:rPr>
        <w:t>2</w:t>
      </w:r>
      <w:r>
        <w:rPr>
          <w:color w:val="000000" w:themeColor="text1"/>
          <w:position w:val="1"/>
        </w:rPr>
        <w:t>S</w:t>
      </w:r>
      <w:r>
        <w:rPr>
          <w:rFonts w:hint="eastAsia"/>
          <w:color w:val="000000" w:themeColor="text1"/>
          <w:kern w:val="0"/>
        </w:rPr>
        <w:t>排放量为</w:t>
      </w:r>
      <w:r>
        <w:rPr>
          <w:rFonts w:hint="eastAsia"/>
          <w:color w:val="000000" w:themeColor="text1"/>
          <w:lang w:bidi="zh-CN"/>
        </w:rPr>
        <w:t>0.01322</w:t>
      </w:r>
      <w:r>
        <w:rPr>
          <w:rFonts w:hint="eastAsia"/>
          <w:color w:val="000000" w:themeColor="text1"/>
          <w:kern w:val="0"/>
        </w:rPr>
        <w:t xml:space="preserve"> t</w:t>
      </w:r>
      <w:r>
        <w:rPr>
          <w:color w:val="000000" w:themeColor="text1"/>
          <w:kern w:val="0"/>
        </w:rPr>
        <w:t>/a</w:t>
      </w:r>
      <w:r>
        <w:rPr>
          <w:rFonts w:hint="eastAsia"/>
          <w:color w:val="000000" w:themeColor="text1"/>
          <w:kern w:val="0"/>
        </w:rPr>
        <w:t>。无组织排放恶臭不作总量控制。</w:t>
      </w:r>
    </w:p>
    <w:p>
      <w:pPr>
        <w:ind w:firstLine="480"/>
        <w:rPr>
          <w:color w:val="000000" w:themeColor="text1"/>
          <w:kern w:val="0"/>
        </w:rPr>
      </w:pPr>
      <w:r>
        <w:rPr>
          <w:rFonts w:hint="eastAsia"/>
          <w:color w:val="000000" w:themeColor="text1"/>
          <w:kern w:val="0"/>
        </w:rPr>
        <w:t>（</w:t>
      </w:r>
      <w:r>
        <w:rPr>
          <w:color w:val="000000" w:themeColor="text1"/>
          <w:kern w:val="0"/>
        </w:rPr>
        <w:t>3</w:t>
      </w:r>
      <w:r>
        <w:rPr>
          <w:rFonts w:hint="eastAsia"/>
          <w:color w:val="000000" w:themeColor="text1"/>
          <w:kern w:val="0"/>
        </w:rPr>
        <w:t>）固体废弃物</w:t>
      </w:r>
    </w:p>
    <w:p>
      <w:pPr>
        <w:ind w:firstLine="480"/>
        <w:rPr>
          <w:color w:val="000000" w:themeColor="text1"/>
          <w:kern w:val="0"/>
          <w:szCs w:val="24"/>
        </w:rPr>
      </w:pPr>
      <w:bookmarkStart w:id="433" w:name="_Toc401477841"/>
      <w:r>
        <w:rPr>
          <w:rFonts w:hint="eastAsia"/>
          <w:color w:val="000000" w:themeColor="text1"/>
        </w:rPr>
        <w:t>本项目待宰过程的死猪（鸡）、屠宰过程中的不合格产品、碎骨肉等采用项目自建的一体化无害化焚烧炉进行处理；肠胃内容物、粪便</w:t>
      </w:r>
      <w:r>
        <w:rPr>
          <w:rFonts w:hint="eastAsia"/>
          <w:bCs/>
          <w:iCs/>
          <w:color w:val="000000" w:themeColor="text1"/>
          <w:szCs w:val="24"/>
        </w:rPr>
        <w:t>由当地农户运走堆肥腐熟后作为农用肥料使用；</w:t>
      </w:r>
      <w:r>
        <w:rPr>
          <w:rFonts w:hint="eastAsia"/>
          <w:color w:val="000000" w:themeColor="text1"/>
        </w:rPr>
        <w:t>焚烧炉残渣收集后运至砚山县垃圾填埋场填埋处置；污水处理系统产生的栅渣和污泥以及员工日常生活产生的生活垃圾等</w:t>
      </w:r>
      <w:r>
        <w:rPr>
          <w:rFonts w:hint="eastAsia"/>
          <w:bCs/>
          <w:iCs/>
          <w:color w:val="000000" w:themeColor="text1"/>
          <w:szCs w:val="24"/>
        </w:rPr>
        <w:t>统一收集后按照环卫部门要求清运处置；危险废物</w:t>
      </w:r>
      <w:r>
        <w:rPr>
          <w:rFonts w:hint="eastAsia"/>
          <w:color w:val="000000" w:themeColor="text1"/>
        </w:rPr>
        <w:t>检疫试纸</w:t>
      </w:r>
      <w:r>
        <w:rPr>
          <w:rFonts w:hint="eastAsia"/>
          <w:bCs/>
          <w:iCs/>
          <w:color w:val="000000" w:themeColor="text1"/>
          <w:szCs w:val="24"/>
        </w:rPr>
        <w:t>由动物卫生监督所的检疫人员带走进行处置</w:t>
      </w:r>
      <w:r>
        <w:rPr>
          <w:rFonts w:hint="eastAsia"/>
          <w:bCs/>
          <w:color w:val="000000" w:themeColor="text1"/>
          <w:kern w:val="0"/>
        </w:rPr>
        <w:t>。</w:t>
      </w:r>
      <w:r>
        <w:rPr>
          <w:rFonts w:hint="eastAsia"/>
          <w:color w:val="000000" w:themeColor="text1"/>
          <w:kern w:val="0"/>
          <w:szCs w:val="24"/>
        </w:rPr>
        <w:t>固体废物处置率为</w:t>
      </w:r>
      <w:r>
        <w:rPr>
          <w:color w:val="000000" w:themeColor="text1"/>
          <w:kern w:val="0"/>
          <w:szCs w:val="24"/>
        </w:rPr>
        <w:t>100%</w:t>
      </w:r>
      <w:r>
        <w:rPr>
          <w:rFonts w:hint="eastAsia"/>
          <w:color w:val="000000" w:themeColor="text1"/>
          <w:kern w:val="0"/>
          <w:szCs w:val="24"/>
        </w:rPr>
        <w:t>，因此</w:t>
      </w:r>
      <w:r>
        <w:rPr>
          <w:rFonts w:hint="eastAsia"/>
          <w:color w:val="000000" w:themeColor="text1"/>
          <w:kern w:val="0"/>
        </w:rPr>
        <w:t>不作总量控制。</w:t>
      </w:r>
    </w:p>
    <w:p>
      <w:pPr>
        <w:pStyle w:val="3"/>
        <w:rPr>
          <w:rFonts w:cs="Times New Roman"/>
          <w:color w:val="000000" w:themeColor="text1"/>
          <w:sz w:val="32"/>
        </w:rPr>
      </w:pPr>
      <w:bookmarkStart w:id="434" w:name="_Toc47375949"/>
      <w:bookmarkStart w:id="435" w:name="_Toc6428777"/>
      <w:r>
        <w:rPr>
          <w:rFonts w:cs="Times New Roman"/>
          <w:color w:val="000000" w:themeColor="text1"/>
        </w:rPr>
        <w:t>11.5</w:t>
      </w:r>
      <w:r>
        <w:rPr>
          <w:rFonts w:hint="eastAsia"/>
          <w:color w:val="000000" w:themeColor="text1"/>
        </w:rPr>
        <w:t>建设项目环境影响分析结论</w:t>
      </w:r>
      <w:bookmarkEnd w:id="433"/>
      <w:bookmarkEnd w:id="434"/>
      <w:bookmarkEnd w:id="435"/>
    </w:p>
    <w:p>
      <w:pPr>
        <w:ind w:firstLine="480"/>
        <w:rPr>
          <w:rFonts w:cs="Times New Roman"/>
          <w:bCs/>
          <w:color w:val="000000" w:themeColor="text1"/>
          <w:kern w:val="0"/>
        </w:rPr>
      </w:pPr>
      <w:r>
        <w:rPr>
          <w:rFonts w:hint="eastAsia"/>
          <w:bCs/>
          <w:color w:val="000000" w:themeColor="text1"/>
          <w:kern w:val="0"/>
        </w:rPr>
        <w:t>（</w:t>
      </w:r>
      <w:r>
        <w:rPr>
          <w:bCs/>
          <w:color w:val="000000" w:themeColor="text1"/>
          <w:kern w:val="0"/>
        </w:rPr>
        <w:t>1</w:t>
      </w:r>
      <w:r>
        <w:rPr>
          <w:rFonts w:hint="eastAsia"/>
          <w:bCs/>
          <w:color w:val="000000" w:themeColor="text1"/>
          <w:kern w:val="0"/>
        </w:rPr>
        <w:t>）空气环境影响分析</w:t>
      </w:r>
    </w:p>
    <w:p>
      <w:pPr>
        <w:ind w:firstLine="480"/>
        <w:rPr>
          <w:color w:val="000000" w:themeColor="text1"/>
          <w:kern w:val="0"/>
        </w:rPr>
      </w:pPr>
      <w:r>
        <w:rPr>
          <w:rFonts w:hint="eastAsia"/>
          <w:color w:val="000000" w:themeColor="text1"/>
          <w:kern w:val="0"/>
        </w:rPr>
        <w:t>项目生产过程中产生的废气主要包括待宰及屠宰过程中的恶臭、污水处理站恶臭、生物质锅炉废气、焚烧炉尾气等。项目恶臭均为无组织排放，在采取每日清理粪便、对车间等进行冲洗消毒、喷洒生物除臭剂等措施后影响较小；生物质锅炉废气经过水膜除尘系统处理后达标排放；焚烧炉尾气经过布袋除尘器处理后达标排放；汽车尾气和制冷剂逸散废气对环境的影响小，因此，大气环境影响是可以接受的。</w:t>
      </w:r>
    </w:p>
    <w:p>
      <w:pPr>
        <w:ind w:firstLine="480"/>
        <w:rPr>
          <w:color w:val="000000" w:themeColor="text1"/>
          <w:kern w:val="0"/>
        </w:rPr>
      </w:pPr>
      <w:r>
        <w:rPr>
          <w:rFonts w:hint="eastAsia"/>
          <w:color w:val="000000" w:themeColor="text1"/>
          <w:kern w:val="0"/>
        </w:rPr>
        <w:t>（</w:t>
      </w:r>
      <w:r>
        <w:rPr>
          <w:color w:val="000000" w:themeColor="text1"/>
          <w:kern w:val="0"/>
        </w:rPr>
        <w:t>2</w:t>
      </w:r>
      <w:r>
        <w:rPr>
          <w:rFonts w:hint="eastAsia"/>
          <w:color w:val="000000" w:themeColor="text1"/>
          <w:kern w:val="0"/>
        </w:rPr>
        <w:t>）废水影响分析</w:t>
      </w:r>
    </w:p>
    <w:p>
      <w:pPr>
        <w:ind w:firstLine="480"/>
        <w:rPr>
          <w:color w:val="000000" w:themeColor="text1"/>
          <w:kern w:val="0"/>
        </w:rPr>
      </w:pPr>
      <w:r>
        <w:rPr>
          <w:rFonts w:hint="eastAsia"/>
          <w:color w:val="000000" w:themeColor="text1"/>
          <w:kern w:val="0"/>
        </w:rPr>
        <w:t>项目建设污水处理站处理屠宰废水、生活废水等，</w:t>
      </w:r>
      <w:r>
        <w:rPr>
          <w:rFonts w:hint="eastAsia"/>
          <w:color w:val="000000" w:themeColor="text1"/>
        </w:rPr>
        <w:t>采用“隔油沉砂</w:t>
      </w:r>
      <w:r>
        <w:rPr>
          <w:color w:val="000000" w:themeColor="text1"/>
        </w:rPr>
        <w:t>+</w:t>
      </w:r>
      <w:r>
        <w:rPr>
          <w:rFonts w:hint="eastAsia"/>
          <w:color w:val="000000" w:themeColor="text1"/>
        </w:rPr>
        <w:t>调节</w:t>
      </w:r>
      <w:r>
        <w:rPr>
          <w:color w:val="000000" w:themeColor="text1"/>
        </w:rPr>
        <w:t>+</w:t>
      </w:r>
      <w:r>
        <w:rPr>
          <w:rFonts w:hint="eastAsia"/>
          <w:color w:val="000000" w:themeColor="text1"/>
        </w:rPr>
        <w:t>气浮</w:t>
      </w:r>
      <w:r>
        <w:rPr>
          <w:color w:val="000000" w:themeColor="text1"/>
        </w:rPr>
        <w:t>+</w:t>
      </w:r>
      <w:r>
        <w:rPr>
          <w:rFonts w:hint="eastAsia"/>
          <w:color w:val="000000" w:themeColor="text1"/>
        </w:rPr>
        <w:t>厌氧</w:t>
      </w:r>
      <w:r>
        <w:rPr>
          <w:color w:val="000000" w:themeColor="text1"/>
        </w:rPr>
        <w:t>+</w:t>
      </w:r>
      <w:r>
        <w:rPr>
          <w:rFonts w:hint="eastAsia"/>
          <w:color w:val="000000" w:themeColor="text1"/>
        </w:rPr>
        <w:t>接触氧化</w:t>
      </w:r>
      <w:r>
        <w:rPr>
          <w:color w:val="000000" w:themeColor="text1"/>
        </w:rPr>
        <w:t>+</w:t>
      </w:r>
      <w:r>
        <w:rPr>
          <w:rFonts w:hint="eastAsia"/>
          <w:color w:val="000000" w:themeColor="text1"/>
        </w:rPr>
        <w:t>沉淀消毒”的工艺进行处理，废水经过污水处理站处理后出水水质可同时达到</w:t>
      </w:r>
      <w:r>
        <w:rPr>
          <w:rFonts w:hint="eastAsia"/>
          <w:bCs/>
          <w:color w:val="000000" w:themeColor="text1"/>
          <w:kern w:val="0"/>
          <w:szCs w:val="24"/>
        </w:rPr>
        <w:t>《肉类加工工业水污染物排放标准》（GB 13457-92）中较严格的禽类屠宰加工三级标准和《污水排入城镇下水道水质标准》（GB/T 31962-2015）表1中的B级标准，之后排入城镇污水管网，进入砚山县污水处理厂进一步处理，项目废水对周围环境影响较小</w:t>
      </w:r>
      <w:r>
        <w:rPr>
          <w:rFonts w:hint="eastAsia"/>
          <w:bCs/>
          <w:color w:val="000000" w:themeColor="text1"/>
          <w:kern w:val="0"/>
        </w:rPr>
        <w:t>。</w:t>
      </w:r>
    </w:p>
    <w:p>
      <w:pPr>
        <w:ind w:firstLine="480"/>
        <w:rPr>
          <w:color w:val="000000" w:themeColor="text1"/>
          <w:kern w:val="0"/>
        </w:rPr>
      </w:pPr>
      <w:r>
        <w:rPr>
          <w:rFonts w:hint="eastAsia"/>
          <w:color w:val="000000" w:themeColor="text1"/>
          <w:kern w:val="0"/>
        </w:rPr>
        <w:t>（</w:t>
      </w:r>
      <w:r>
        <w:rPr>
          <w:color w:val="000000" w:themeColor="text1"/>
          <w:kern w:val="0"/>
        </w:rPr>
        <w:t>3</w:t>
      </w:r>
      <w:r>
        <w:rPr>
          <w:rFonts w:hint="eastAsia"/>
          <w:color w:val="000000" w:themeColor="text1"/>
          <w:kern w:val="0"/>
        </w:rPr>
        <w:t>）声环境影响分析</w:t>
      </w:r>
    </w:p>
    <w:p>
      <w:pPr>
        <w:ind w:firstLine="480"/>
        <w:rPr>
          <w:bCs/>
          <w:color w:val="000000" w:themeColor="text1"/>
          <w:kern w:val="0"/>
        </w:rPr>
      </w:pPr>
      <w:r>
        <w:rPr>
          <w:rFonts w:hint="eastAsia"/>
          <w:bCs/>
          <w:color w:val="000000" w:themeColor="text1"/>
          <w:kern w:val="0"/>
        </w:rPr>
        <w:t>项目运营期噪声主要为猪（鸡）叫声、生产设备噪声、社会噪声和车辆噪声，经采取措施后，项目厂界可达到《工业企业厂界环境噪声排放标准》（</w:t>
      </w:r>
      <w:r>
        <w:rPr>
          <w:bCs/>
          <w:color w:val="000000" w:themeColor="text1"/>
          <w:kern w:val="0"/>
        </w:rPr>
        <w:t>GB12348-2008</w:t>
      </w:r>
      <w:r>
        <w:rPr>
          <w:rFonts w:hint="eastAsia"/>
          <w:bCs/>
          <w:color w:val="000000" w:themeColor="text1"/>
          <w:kern w:val="0"/>
        </w:rPr>
        <w:t>）2类标准要求，对周围环境影响不大。</w:t>
      </w:r>
    </w:p>
    <w:p>
      <w:pPr>
        <w:ind w:firstLine="480"/>
        <w:rPr>
          <w:color w:val="000000" w:themeColor="text1"/>
          <w:kern w:val="0"/>
        </w:rPr>
      </w:pPr>
      <w:r>
        <w:rPr>
          <w:rFonts w:hint="eastAsia"/>
          <w:color w:val="000000" w:themeColor="text1"/>
          <w:kern w:val="0"/>
        </w:rPr>
        <w:t>（</w:t>
      </w:r>
      <w:r>
        <w:rPr>
          <w:color w:val="000000" w:themeColor="text1"/>
          <w:kern w:val="0"/>
        </w:rPr>
        <w:t>4</w:t>
      </w:r>
      <w:r>
        <w:rPr>
          <w:rFonts w:hint="eastAsia"/>
          <w:color w:val="000000" w:themeColor="text1"/>
          <w:kern w:val="0"/>
        </w:rPr>
        <w:t>）固体废物影响分析</w:t>
      </w:r>
    </w:p>
    <w:p>
      <w:pPr>
        <w:ind w:firstLine="480"/>
        <w:rPr>
          <w:bCs/>
          <w:color w:val="000000" w:themeColor="text1"/>
          <w:kern w:val="0"/>
        </w:rPr>
      </w:pPr>
      <w:bookmarkStart w:id="436" w:name="_Toc401477844"/>
      <w:r>
        <w:rPr>
          <w:rFonts w:hint="eastAsia"/>
          <w:color w:val="000000" w:themeColor="text1"/>
        </w:rPr>
        <w:t>项目待宰过程的死猪（鸡）、屠宰过程中的不合格产品、碎骨肉等采用项目自建的一体化无害化焚烧炉进行处理；肠胃内容物、粪便</w:t>
      </w:r>
      <w:r>
        <w:rPr>
          <w:rFonts w:hint="eastAsia"/>
          <w:bCs/>
          <w:iCs/>
          <w:color w:val="000000" w:themeColor="text1"/>
          <w:szCs w:val="24"/>
        </w:rPr>
        <w:t>由当地农户运走堆肥腐熟后作为农用肥料使用；</w:t>
      </w:r>
      <w:r>
        <w:rPr>
          <w:rFonts w:hint="eastAsia"/>
          <w:color w:val="000000" w:themeColor="text1"/>
        </w:rPr>
        <w:t>焚烧炉残渣收集后运至砚山县垃圾填埋场填埋处置；污水处理系统产生的栅渣和污泥以及员工日常生活产生的生活垃圾等</w:t>
      </w:r>
      <w:r>
        <w:rPr>
          <w:rFonts w:hint="eastAsia"/>
          <w:bCs/>
          <w:iCs/>
          <w:color w:val="000000" w:themeColor="text1"/>
          <w:szCs w:val="24"/>
        </w:rPr>
        <w:t>统一收集后按照环卫部门要求清运处置；危险废物</w:t>
      </w:r>
      <w:r>
        <w:rPr>
          <w:rFonts w:hint="eastAsia"/>
          <w:color w:val="000000" w:themeColor="text1"/>
        </w:rPr>
        <w:t>检疫试纸</w:t>
      </w:r>
      <w:r>
        <w:rPr>
          <w:rFonts w:hint="eastAsia"/>
          <w:bCs/>
          <w:iCs/>
          <w:color w:val="000000" w:themeColor="text1"/>
          <w:szCs w:val="24"/>
        </w:rPr>
        <w:t>由动物卫生监督所的检疫人员带走进行处置</w:t>
      </w:r>
      <w:r>
        <w:rPr>
          <w:rFonts w:hint="eastAsia"/>
          <w:bCs/>
          <w:color w:val="000000" w:themeColor="text1"/>
          <w:kern w:val="0"/>
        </w:rPr>
        <w:t>。本项目产生的各种固体废物能够得到</w:t>
      </w:r>
      <w:r>
        <w:rPr>
          <w:bCs/>
          <w:color w:val="000000" w:themeColor="text1"/>
          <w:kern w:val="0"/>
        </w:rPr>
        <w:t>100</w:t>
      </w:r>
      <w:r>
        <w:rPr>
          <w:rFonts w:hint="eastAsia"/>
          <w:bCs/>
          <w:color w:val="000000" w:themeColor="text1"/>
          <w:kern w:val="0"/>
        </w:rPr>
        <w:t>％处置，对周围环境影响较小。</w:t>
      </w:r>
    </w:p>
    <w:p>
      <w:pPr>
        <w:ind w:firstLine="480"/>
        <w:rPr>
          <w:color w:val="000000" w:themeColor="text1"/>
          <w:kern w:val="0"/>
        </w:rPr>
      </w:pPr>
      <w:r>
        <w:rPr>
          <w:rFonts w:hint="eastAsia"/>
          <w:color w:val="000000" w:themeColor="text1"/>
          <w:kern w:val="0"/>
        </w:rPr>
        <w:t>（</w:t>
      </w:r>
      <w:r>
        <w:rPr>
          <w:color w:val="000000" w:themeColor="text1"/>
          <w:kern w:val="0"/>
        </w:rPr>
        <w:t>5</w:t>
      </w:r>
      <w:r>
        <w:rPr>
          <w:rFonts w:hint="eastAsia"/>
          <w:color w:val="000000" w:themeColor="text1"/>
          <w:kern w:val="0"/>
        </w:rPr>
        <w:t>）风险分析结论</w:t>
      </w:r>
    </w:p>
    <w:p>
      <w:pPr>
        <w:ind w:firstLine="480"/>
        <w:rPr>
          <w:color w:val="000000" w:themeColor="text1"/>
          <w:kern w:val="0"/>
          <w:szCs w:val="24"/>
        </w:rPr>
      </w:pPr>
      <w:r>
        <w:rPr>
          <w:rFonts w:hint="eastAsia"/>
          <w:color w:val="000000" w:themeColor="text1"/>
          <w:kern w:val="0"/>
        </w:rPr>
        <w:t>通过分析，项目不存在重大危险源，项目建成后对环境产生的风险主要原料，通过采取本报告中的一些措施后，可在较大程度上避免风险的产生。同时项目建设方针对本报告提出的环境风险，制定相应的应急预案，可在较短时间内控制风险对环境的影响范围和程度，因此项目方在项目建设阶段就应充分考虑风险的发生及处理措施、方案，将可能的风险产生及影响降低到最低。项目存在的环境风险是可以接受的</w:t>
      </w:r>
      <w:r>
        <w:rPr>
          <w:rFonts w:hint="eastAsia"/>
          <w:color w:val="000000" w:themeColor="text1"/>
          <w:kern w:val="0"/>
          <w:szCs w:val="24"/>
        </w:rPr>
        <w:t>。</w:t>
      </w:r>
    </w:p>
    <w:p>
      <w:pPr>
        <w:ind w:firstLine="480"/>
        <w:rPr>
          <w:color w:val="000000" w:themeColor="text1"/>
          <w:kern w:val="0"/>
        </w:rPr>
      </w:pPr>
      <w:r>
        <w:rPr>
          <w:rFonts w:hint="eastAsia"/>
          <w:color w:val="000000" w:themeColor="text1"/>
          <w:kern w:val="0"/>
        </w:rPr>
        <w:t>（</w:t>
      </w:r>
      <w:r>
        <w:rPr>
          <w:color w:val="000000" w:themeColor="text1"/>
          <w:kern w:val="0"/>
        </w:rPr>
        <w:t>6</w:t>
      </w:r>
      <w:r>
        <w:rPr>
          <w:rFonts w:hint="eastAsia"/>
          <w:color w:val="000000" w:themeColor="text1"/>
          <w:kern w:val="0"/>
        </w:rPr>
        <w:t>）公众参与结果</w:t>
      </w:r>
    </w:p>
    <w:p>
      <w:pPr>
        <w:ind w:firstLine="480"/>
        <w:rPr>
          <w:bCs/>
          <w:color w:val="000000" w:themeColor="text1"/>
          <w:kern w:val="0"/>
          <w:szCs w:val="24"/>
        </w:rPr>
      </w:pPr>
      <w:r>
        <w:rPr>
          <w:rFonts w:hint="eastAsia"/>
          <w:color w:val="000000" w:themeColor="text1"/>
          <w:szCs w:val="24"/>
        </w:rPr>
        <w:t>依据《环境影响评价公众参与办法》（生态环境部令第4号）等相关要求，为使各社会团体及公众了解、参与项目的环境影响评价工作，</w:t>
      </w:r>
      <w:r>
        <w:rPr>
          <w:rFonts w:hint="eastAsia"/>
          <w:bCs/>
          <w:color w:val="000000" w:themeColor="text1"/>
          <w:kern w:val="0"/>
          <w:szCs w:val="24"/>
        </w:rPr>
        <w:t>本次项目环境影响评价期间一共进行了两轮</w:t>
      </w:r>
      <w:r>
        <w:rPr>
          <w:rFonts w:hint="eastAsia"/>
          <w:color w:val="000000" w:themeColor="text1"/>
          <w:kern w:val="0"/>
          <w:szCs w:val="24"/>
        </w:rPr>
        <w:t>公众参与</w:t>
      </w:r>
      <w:r>
        <w:rPr>
          <w:rFonts w:hint="eastAsia"/>
          <w:bCs/>
          <w:color w:val="000000" w:themeColor="text1"/>
          <w:kern w:val="0"/>
          <w:szCs w:val="24"/>
        </w:rPr>
        <w:t>公示。</w:t>
      </w:r>
    </w:p>
    <w:p>
      <w:pPr>
        <w:ind w:firstLine="480"/>
        <w:rPr>
          <w:color w:val="000000" w:themeColor="text1"/>
        </w:rPr>
      </w:pPr>
      <w:r>
        <w:rPr>
          <w:rFonts w:hint="eastAsia"/>
          <w:color w:val="000000" w:themeColor="text1"/>
        </w:rPr>
        <w:t>第一次公示于2020年5月6日在砚山县人民政府网站进行了公示，公示内容主要为项目基本情况、建设单位基本情况、环境影响报告书编制单位基本情况等。</w:t>
      </w:r>
    </w:p>
    <w:p>
      <w:pPr>
        <w:ind w:firstLine="480"/>
        <w:rPr>
          <w:color w:val="000000" w:themeColor="text1"/>
        </w:rPr>
      </w:pPr>
      <w:r>
        <w:rPr>
          <w:rFonts w:hint="eastAsia"/>
          <w:bCs/>
          <w:color w:val="000000" w:themeColor="text1"/>
          <w:kern w:val="0"/>
        </w:rPr>
        <w:t>第二次公示为2020年7月22日在砚山县人民政府网站网上公示、2020年7月23日及7月28日在云南信息报两次登报公示、2020年7月22日于砚山县七都广场告示栏张贴公示，三个途径同期公示。</w:t>
      </w:r>
      <w:r>
        <w:rPr>
          <w:rFonts w:hint="eastAsia"/>
          <w:color w:val="000000" w:themeColor="text1"/>
        </w:rPr>
        <w:t>公示内容主要为环评报告书征求意见稿等。</w:t>
      </w:r>
    </w:p>
    <w:p>
      <w:pPr>
        <w:ind w:firstLine="480"/>
        <w:rPr>
          <w:bCs/>
          <w:color w:val="000000" w:themeColor="text1"/>
          <w:kern w:val="0"/>
        </w:rPr>
      </w:pPr>
      <w:r>
        <w:rPr>
          <w:rFonts w:hint="eastAsia"/>
          <w:bCs/>
          <w:color w:val="000000" w:themeColor="text1"/>
          <w:kern w:val="0"/>
        </w:rPr>
        <w:t>两次公示期间均未得到公众的相关意见反馈。</w:t>
      </w:r>
    </w:p>
    <w:bookmarkEnd w:id="436"/>
    <w:p>
      <w:pPr>
        <w:pStyle w:val="3"/>
        <w:rPr>
          <w:b w:val="0"/>
          <w:color w:val="000000" w:themeColor="text1"/>
          <w:sz w:val="32"/>
        </w:rPr>
      </w:pPr>
      <w:bookmarkStart w:id="437" w:name="_Toc6428778"/>
      <w:bookmarkStart w:id="438" w:name="_Toc47375950"/>
      <w:r>
        <w:rPr>
          <w:color w:val="000000" w:themeColor="text1"/>
        </w:rPr>
        <w:t>11.</w:t>
      </w:r>
      <w:bookmarkStart w:id="439" w:name="_Toc401477846"/>
      <w:r>
        <w:rPr>
          <w:color w:val="000000" w:themeColor="text1"/>
        </w:rPr>
        <w:t>6</w:t>
      </w:r>
      <w:r>
        <w:rPr>
          <w:rFonts w:hint="eastAsia"/>
          <w:color w:val="000000" w:themeColor="text1"/>
        </w:rPr>
        <w:t>总结论</w:t>
      </w:r>
      <w:bookmarkEnd w:id="437"/>
      <w:bookmarkEnd w:id="438"/>
      <w:bookmarkEnd w:id="439"/>
    </w:p>
    <w:p>
      <w:pPr>
        <w:ind w:firstLine="480"/>
        <w:rPr>
          <w:rFonts w:cs="Times New Roman"/>
          <w:bCs/>
          <w:color w:val="000000" w:themeColor="text1"/>
          <w:kern w:val="0"/>
        </w:rPr>
      </w:pPr>
      <w:r>
        <w:rPr>
          <w:rFonts w:hint="eastAsia"/>
          <w:bCs/>
          <w:color w:val="000000" w:themeColor="text1"/>
          <w:kern w:val="0"/>
        </w:rPr>
        <w:t>本项目建设符合国家及地方产业政策，选址符合当地相关规划；项目采用的生产工艺成熟可靠，预测结果表明，项目废气和噪声可达标排放、废水可达标排入市政管网、固废处置率</w:t>
      </w:r>
      <w:r>
        <w:rPr>
          <w:bCs/>
          <w:color w:val="000000" w:themeColor="text1"/>
          <w:kern w:val="0"/>
        </w:rPr>
        <w:t>100%</w:t>
      </w:r>
      <w:r>
        <w:rPr>
          <w:rFonts w:hint="eastAsia"/>
          <w:bCs/>
          <w:color w:val="000000" w:themeColor="text1"/>
          <w:kern w:val="0"/>
        </w:rPr>
        <w:t>，正常情况下对当地环境质量影响不大，对主要关心点影响较小，项目的建设符合相关规划、环境功能区划、清洁生产、达标排放和总量控制等评价原则的要求。综上所述，建设项目在采取本评价提出的对策措施，达标排放的前提下，在运行期对周围环境的影响可控制在允许范围内，本项目从环境保护角度分析是可行的。</w:t>
      </w:r>
    </w:p>
    <w:p>
      <w:pPr>
        <w:ind w:firstLine="480"/>
        <w:rPr>
          <w:color w:val="000000" w:themeColor="text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华文细黑">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A0000287" w:usb1="28CF3C52" w:usb2="00000016" w:usb3="00000000" w:csb0="0004001F" w:csb1="00000000"/>
  </w:font>
  <w:font w:name="Cambria Math">
    <w:panose1 w:val="02040503050406030204"/>
    <w:charset w:val="00"/>
    <w:family w:val="roman"/>
    <w:pitch w:val="default"/>
    <w:sig w:usb0="E00002FF" w:usb1="420024FF" w:usb2="00000000" w:usb3="00000000" w:csb0="2000019F" w:csb1="00000000"/>
  </w:font>
  <w:font w:name="MS Mincho">
    <w:panose1 w:val="02020609040205080304"/>
    <w:charset w:val="80"/>
    <w:family w:val="modern"/>
    <w:pitch w:val="default"/>
    <w:sig w:usb0="E00002FF" w:usb1="6AC7FDFB" w:usb2="08000012" w:usb3="00000000" w:csb0="4002009F" w:csb1="DFD70000"/>
  </w:font>
  <w:font w:name="Wingdings 2">
    <w:panose1 w:val="05020102010507070707"/>
    <w:charset w:val="02"/>
    <w:family w:val="roman"/>
    <w:pitch w:val="default"/>
    <w:sig w:usb0="00000000" w:usb1="00000000" w:usb2="00000000" w:usb3="00000000" w:csb0="80000000" w:csb1="00000000"/>
  </w:font>
  <w:font w:name="方正仿宋_GBK">
    <w:panose1 w:val="03000509000000000000"/>
    <w:charset w:val="86"/>
    <w:family w:val="roman"/>
    <w:pitch w:val="default"/>
    <w:sig w:usb0="00000001" w:usb1="080E0000" w:usb2="00000000" w:usb3="00000000" w:csb0="00040000" w:csb1="00000000"/>
  </w:font>
  <w:font w:name="方正楷体_GBK">
    <w:panose1 w:val="03000509000000000000"/>
    <w:charset w:val="86"/>
    <w:family w:val="roma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2344912"/>
      <w:docPartObj>
        <w:docPartGallery w:val="autotext"/>
      </w:docPartObj>
    </w:sdtPr>
    <w:sdtContent>
      <w:p>
        <w:pPr>
          <w:pStyle w:val="25"/>
          <w:jc w:val="center"/>
        </w:pPr>
        <w:r>
          <w:fldChar w:fldCharType="begin"/>
        </w:r>
        <w:r>
          <w:instrText xml:space="preserve"> PAGE   \* MERGEFORMAT </w:instrText>
        </w:r>
        <w:r>
          <w:fldChar w:fldCharType="separate"/>
        </w:r>
        <w:r>
          <w:rPr>
            <w:lang w:val="zh-CN"/>
          </w:rPr>
          <w:t>1</w:t>
        </w:r>
        <w:r>
          <w:rPr>
            <w:lang w:val="zh-CN"/>
          </w:rPr>
          <w:fldChar w:fldCharType="end"/>
        </w:r>
      </w:p>
    </w:sdtContent>
  </w:sdt>
  <w:p>
    <w:pPr>
      <w:pStyle w:val="2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both"/>
    </w:pPr>
  </w:p>
  <w:p>
    <w:pPr>
      <w:pStyle w:val="26"/>
    </w:pPr>
    <w:r>
      <w:rPr>
        <w:rFonts w:hint="eastAsia"/>
      </w:rPr>
      <w:t>砚山</w:t>
    </w:r>
    <w:r>
      <w:t>县康乐生猪屠宰场搬迁项目环境影响评价报告书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75A6D"/>
    <w:multiLevelType w:val="multilevel"/>
    <w:tmpl w:val="0F375A6D"/>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HorizontalSpacing w:val="1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543A8"/>
    <w:rsid w:val="0000087F"/>
    <w:rsid w:val="00001F26"/>
    <w:rsid w:val="0000799B"/>
    <w:rsid w:val="000110AF"/>
    <w:rsid w:val="00011C2E"/>
    <w:rsid w:val="00012262"/>
    <w:rsid w:val="000148F1"/>
    <w:rsid w:val="000211B8"/>
    <w:rsid w:val="000227E3"/>
    <w:rsid w:val="000251CE"/>
    <w:rsid w:val="000266B4"/>
    <w:rsid w:val="00027726"/>
    <w:rsid w:val="000317AC"/>
    <w:rsid w:val="00031CDB"/>
    <w:rsid w:val="00033A31"/>
    <w:rsid w:val="0003405B"/>
    <w:rsid w:val="00034095"/>
    <w:rsid w:val="0003576D"/>
    <w:rsid w:val="00035C2E"/>
    <w:rsid w:val="00037D34"/>
    <w:rsid w:val="00040F55"/>
    <w:rsid w:val="00051E39"/>
    <w:rsid w:val="000544E4"/>
    <w:rsid w:val="00054F6A"/>
    <w:rsid w:val="00056257"/>
    <w:rsid w:val="00061502"/>
    <w:rsid w:val="00061BDB"/>
    <w:rsid w:val="00065F5B"/>
    <w:rsid w:val="00066980"/>
    <w:rsid w:val="0006711E"/>
    <w:rsid w:val="00067A23"/>
    <w:rsid w:val="00067BFA"/>
    <w:rsid w:val="000722CA"/>
    <w:rsid w:val="00072BE3"/>
    <w:rsid w:val="00083346"/>
    <w:rsid w:val="000867D5"/>
    <w:rsid w:val="00093CA5"/>
    <w:rsid w:val="000945D6"/>
    <w:rsid w:val="0009485C"/>
    <w:rsid w:val="00094888"/>
    <w:rsid w:val="000A11E4"/>
    <w:rsid w:val="000A222E"/>
    <w:rsid w:val="000A3916"/>
    <w:rsid w:val="000A67F0"/>
    <w:rsid w:val="000B03DE"/>
    <w:rsid w:val="000B13B3"/>
    <w:rsid w:val="000B174B"/>
    <w:rsid w:val="000B3785"/>
    <w:rsid w:val="000B37FC"/>
    <w:rsid w:val="000B61B9"/>
    <w:rsid w:val="000C0C95"/>
    <w:rsid w:val="000C0FB6"/>
    <w:rsid w:val="000C1EDB"/>
    <w:rsid w:val="000C3951"/>
    <w:rsid w:val="000C3E12"/>
    <w:rsid w:val="000C44AC"/>
    <w:rsid w:val="000C7C3D"/>
    <w:rsid w:val="000D0212"/>
    <w:rsid w:val="000D0501"/>
    <w:rsid w:val="000D0BC2"/>
    <w:rsid w:val="000D1C8D"/>
    <w:rsid w:val="000D6361"/>
    <w:rsid w:val="000E0E9F"/>
    <w:rsid w:val="000E1084"/>
    <w:rsid w:val="000E37C2"/>
    <w:rsid w:val="000E4071"/>
    <w:rsid w:val="000F14C2"/>
    <w:rsid w:val="000F3DE6"/>
    <w:rsid w:val="000F4719"/>
    <w:rsid w:val="000F4ACA"/>
    <w:rsid w:val="000F5B8B"/>
    <w:rsid w:val="001001FD"/>
    <w:rsid w:val="001035F6"/>
    <w:rsid w:val="0011047C"/>
    <w:rsid w:val="001138A2"/>
    <w:rsid w:val="001143E9"/>
    <w:rsid w:val="0011489B"/>
    <w:rsid w:val="00115ADB"/>
    <w:rsid w:val="0011715A"/>
    <w:rsid w:val="001214FD"/>
    <w:rsid w:val="00125CB0"/>
    <w:rsid w:val="00130FAF"/>
    <w:rsid w:val="001324BB"/>
    <w:rsid w:val="0013543F"/>
    <w:rsid w:val="00136B99"/>
    <w:rsid w:val="001379A0"/>
    <w:rsid w:val="0014232F"/>
    <w:rsid w:val="0014333A"/>
    <w:rsid w:val="00144D82"/>
    <w:rsid w:val="001453F3"/>
    <w:rsid w:val="00145DBB"/>
    <w:rsid w:val="00151FCB"/>
    <w:rsid w:val="0015432D"/>
    <w:rsid w:val="00154F13"/>
    <w:rsid w:val="00160C96"/>
    <w:rsid w:val="00163003"/>
    <w:rsid w:val="001631FF"/>
    <w:rsid w:val="00163F01"/>
    <w:rsid w:val="00165467"/>
    <w:rsid w:val="00165882"/>
    <w:rsid w:val="00166563"/>
    <w:rsid w:val="001677B1"/>
    <w:rsid w:val="00170000"/>
    <w:rsid w:val="00170862"/>
    <w:rsid w:val="00171B9D"/>
    <w:rsid w:val="00174537"/>
    <w:rsid w:val="00174675"/>
    <w:rsid w:val="0017593A"/>
    <w:rsid w:val="00176BB6"/>
    <w:rsid w:val="00180F63"/>
    <w:rsid w:val="00181902"/>
    <w:rsid w:val="00183C59"/>
    <w:rsid w:val="0018559B"/>
    <w:rsid w:val="0018748C"/>
    <w:rsid w:val="001952C9"/>
    <w:rsid w:val="001A43FC"/>
    <w:rsid w:val="001A5DAB"/>
    <w:rsid w:val="001A63F8"/>
    <w:rsid w:val="001A723B"/>
    <w:rsid w:val="001A786A"/>
    <w:rsid w:val="001B02EC"/>
    <w:rsid w:val="001B102D"/>
    <w:rsid w:val="001B46D9"/>
    <w:rsid w:val="001B4824"/>
    <w:rsid w:val="001B4E1D"/>
    <w:rsid w:val="001C02C6"/>
    <w:rsid w:val="001C0C97"/>
    <w:rsid w:val="001C3AFF"/>
    <w:rsid w:val="001C3DC5"/>
    <w:rsid w:val="001C58E2"/>
    <w:rsid w:val="001D119B"/>
    <w:rsid w:val="001D1B60"/>
    <w:rsid w:val="001D2654"/>
    <w:rsid w:val="001D29BC"/>
    <w:rsid w:val="001D6946"/>
    <w:rsid w:val="001E43A0"/>
    <w:rsid w:val="001E44F5"/>
    <w:rsid w:val="001E61EC"/>
    <w:rsid w:val="001E689D"/>
    <w:rsid w:val="001E78AD"/>
    <w:rsid w:val="002014BC"/>
    <w:rsid w:val="00201FE6"/>
    <w:rsid w:val="002049EF"/>
    <w:rsid w:val="00204CCD"/>
    <w:rsid w:val="002072FF"/>
    <w:rsid w:val="00207697"/>
    <w:rsid w:val="00207A34"/>
    <w:rsid w:val="002123C9"/>
    <w:rsid w:val="002145F3"/>
    <w:rsid w:val="00216CCE"/>
    <w:rsid w:val="00217FAA"/>
    <w:rsid w:val="00220DD5"/>
    <w:rsid w:val="002239C0"/>
    <w:rsid w:val="002245B8"/>
    <w:rsid w:val="00230842"/>
    <w:rsid w:val="002314A0"/>
    <w:rsid w:val="002329EC"/>
    <w:rsid w:val="00234F27"/>
    <w:rsid w:val="00236F24"/>
    <w:rsid w:val="00245082"/>
    <w:rsid w:val="00246630"/>
    <w:rsid w:val="00246BC0"/>
    <w:rsid w:val="00247F9A"/>
    <w:rsid w:val="002508A9"/>
    <w:rsid w:val="002518B0"/>
    <w:rsid w:val="0025213A"/>
    <w:rsid w:val="00252A17"/>
    <w:rsid w:val="00254293"/>
    <w:rsid w:val="002634AC"/>
    <w:rsid w:val="002729E0"/>
    <w:rsid w:val="002734FF"/>
    <w:rsid w:val="00273A19"/>
    <w:rsid w:val="00275166"/>
    <w:rsid w:val="002757F2"/>
    <w:rsid w:val="00284E8E"/>
    <w:rsid w:val="0028554A"/>
    <w:rsid w:val="002875E8"/>
    <w:rsid w:val="00293439"/>
    <w:rsid w:val="00294A2C"/>
    <w:rsid w:val="00294A72"/>
    <w:rsid w:val="00295CCF"/>
    <w:rsid w:val="00296F8C"/>
    <w:rsid w:val="002970E3"/>
    <w:rsid w:val="002A2063"/>
    <w:rsid w:val="002A2101"/>
    <w:rsid w:val="002A5226"/>
    <w:rsid w:val="002A6627"/>
    <w:rsid w:val="002B04A4"/>
    <w:rsid w:val="002B1BDE"/>
    <w:rsid w:val="002B29B9"/>
    <w:rsid w:val="002B4497"/>
    <w:rsid w:val="002B4965"/>
    <w:rsid w:val="002B5DAA"/>
    <w:rsid w:val="002B5DC1"/>
    <w:rsid w:val="002B663A"/>
    <w:rsid w:val="002B67A8"/>
    <w:rsid w:val="002C5838"/>
    <w:rsid w:val="002C7DC8"/>
    <w:rsid w:val="002D0D3C"/>
    <w:rsid w:val="002D1E03"/>
    <w:rsid w:val="002D2A8F"/>
    <w:rsid w:val="002D47C6"/>
    <w:rsid w:val="002D47D8"/>
    <w:rsid w:val="002E02C8"/>
    <w:rsid w:val="002E0E51"/>
    <w:rsid w:val="002E1BAB"/>
    <w:rsid w:val="002E1F28"/>
    <w:rsid w:val="002E20BD"/>
    <w:rsid w:val="002E2818"/>
    <w:rsid w:val="002E7689"/>
    <w:rsid w:val="002F0204"/>
    <w:rsid w:val="002F0908"/>
    <w:rsid w:val="002F0D5E"/>
    <w:rsid w:val="002F5474"/>
    <w:rsid w:val="003027B4"/>
    <w:rsid w:val="00304717"/>
    <w:rsid w:val="003056AD"/>
    <w:rsid w:val="00306051"/>
    <w:rsid w:val="00312804"/>
    <w:rsid w:val="00312B5F"/>
    <w:rsid w:val="003158DD"/>
    <w:rsid w:val="003170C0"/>
    <w:rsid w:val="00317820"/>
    <w:rsid w:val="00323505"/>
    <w:rsid w:val="003243CB"/>
    <w:rsid w:val="00324A91"/>
    <w:rsid w:val="0032651E"/>
    <w:rsid w:val="00331832"/>
    <w:rsid w:val="00332CA6"/>
    <w:rsid w:val="00333841"/>
    <w:rsid w:val="00333CF3"/>
    <w:rsid w:val="0033451A"/>
    <w:rsid w:val="00334E35"/>
    <w:rsid w:val="00341981"/>
    <w:rsid w:val="0034305C"/>
    <w:rsid w:val="00345261"/>
    <w:rsid w:val="00346896"/>
    <w:rsid w:val="00346A30"/>
    <w:rsid w:val="003511FD"/>
    <w:rsid w:val="00352D0F"/>
    <w:rsid w:val="00355FB3"/>
    <w:rsid w:val="00356C30"/>
    <w:rsid w:val="00363FF7"/>
    <w:rsid w:val="00364BDA"/>
    <w:rsid w:val="00365B77"/>
    <w:rsid w:val="00367BB5"/>
    <w:rsid w:val="003708A1"/>
    <w:rsid w:val="0037415D"/>
    <w:rsid w:val="00374891"/>
    <w:rsid w:val="00377FA1"/>
    <w:rsid w:val="00383778"/>
    <w:rsid w:val="00386C50"/>
    <w:rsid w:val="00386E92"/>
    <w:rsid w:val="003872E9"/>
    <w:rsid w:val="00390B7A"/>
    <w:rsid w:val="003911EB"/>
    <w:rsid w:val="00392065"/>
    <w:rsid w:val="003928AC"/>
    <w:rsid w:val="00392B13"/>
    <w:rsid w:val="00394D48"/>
    <w:rsid w:val="00395DE5"/>
    <w:rsid w:val="00397211"/>
    <w:rsid w:val="003A1804"/>
    <w:rsid w:val="003A2419"/>
    <w:rsid w:val="003A2B83"/>
    <w:rsid w:val="003A35E8"/>
    <w:rsid w:val="003A54FF"/>
    <w:rsid w:val="003A5729"/>
    <w:rsid w:val="003B2D19"/>
    <w:rsid w:val="003B3A77"/>
    <w:rsid w:val="003B782C"/>
    <w:rsid w:val="003C00C4"/>
    <w:rsid w:val="003C0F96"/>
    <w:rsid w:val="003C4D33"/>
    <w:rsid w:val="003C5C5B"/>
    <w:rsid w:val="003C7A83"/>
    <w:rsid w:val="003D11F9"/>
    <w:rsid w:val="003D2204"/>
    <w:rsid w:val="003D7018"/>
    <w:rsid w:val="003E19C4"/>
    <w:rsid w:val="003E20E2"/>
    <w:rsid w:val="003E3E24"/>
    <w:rsid w:val="003E5B0D"/>
    <w:rsid w:val="003F438D"/>
    <w:rsid w:val="003F4FBE"/>
    <w:rsid w:val="003F5711"/>
    <w:rsid w:val="003F700A"/>
    <w:rsid w:val="0040072F"/>
    <w:rsid w:val="004036BF"/>
    <w:rsid w:val="00403784"/>
    <w:rsid w:val="004129DF"/>
    <w:rsid w:val="00412D67"/>
    <w:rsid w:val="0041599D"/>
    <w:rsid w:val="0041755F"/>
    <w:rsid w:val="00417A01"/>
    <w:rsid w:val="00422A32"/>
    <w:rsid w:val="00423FF6"/>
    <w:rsid w:val="004258A9"/>
    <w:rsid w:val="00426F9A"/>
    <w:rsid w:val="0042743B"/>
    <w:rsid w:val="004303E3"/>
    <w:rsid w:val="00433642"/>
    <w:rsid w:val="00434D78"/>
    <w:rsid w:val="004362AF"/>
    <w:rsid w:val="0044137E"/>
    <w:rsid w:val="0044306C"/>
    <w:rsid w:val="004434FF"/>
    <w:rsid w:val="004446D4"/>
    <w:rsid w:val="00445A39"/>
    <w:rsid w:val="004515B3"/>
    <w:rsid w:val="00453834"/>
    <w:rsid w:val="004549E4"/>
    <w:rsid w:val="004551A1"/>
    <w:rsid w:val="0045637E"/>
    <w:rsid w:val="004564B0"/>
    <w:rsid w:val="004609CC"/>
    <w:rsid w:val="00464F1B"/>
    <w:rsid w:val="00470C1E"/>
    <w:rsid w:val="004724F9"/>
    <w:rsid w:val="0047307A"/>
    <w:rsid w:val="00473B28"/>
    <w:rsid w:val="004828C3"/>
    <w:rsid w:val="00485BE2"/>
    <w:rsid w:val="004868CD"/>
    <w:rsid w:val="00486F81"/>
    <w:rsid w:val="00490444"/>
    <w:rsid w:val="00491BE4"/>
    <w:rsid w:val="00494569"/>
    <w:rsid w:val="00494E19"/>
    <w:rsid w:val="0049631E"/>
    <w:rsid w:val="00497278"/>
    <w:rsid w:val="004A3CB7"/>
    <w:rsid w:val="004A5360"/>
    <w:rsid w:val="004A5A9D"/>
    <w:rsid w:val="004A5B08"/>
    <w:rsid w:val="004A7466"/>
    <w:rsid w:val="004B0F33"/>
    <w:rsid w:val="004B40B4"/>
    <w:rsid w:val="004B4112"/>
    <w:rsid w:val="004B76F3"/>
    <w:rsid w:val="004C1037"/>
    <w:rsid w:val="004C1ACC"/>
    <w:rsid w:val="004C4CD0"/>
    <w:rsid w:val="004C55A3"/>
    <w:rsid w:val="004C664E"/>
    <w:rsid w:val="004D0A6D"/>
    <w:rsid w:val="004D1B6F"/>
    <w:rsid w:val="004D2260"/>
    <w:rsid w:val="004D3039"/>
    <w:rsid w:val="004D4C4B"/>
    <w:rsid w:val="004D679D"/>
    <w:rsid w:val="004D7DC9"/>
    <w:rsid w:val="004E11AF"/>
    <w:rsid w:val="004E41BB"/>
    <w:rsid w:val="004E6AA5"/>
    <w:rsid w:val="004E6B39"/>
    <w:rsid w:val="004F0047"/>
    <w:rsid w:val="004F3E66"/>
    <w:rsid w:val="004F7F96"/>
    <w:rsid w:val="005037B6"/>
    <w:rsid w:val="005043D6"/>
    <w:rsid w:val="00507E66"/>
    <w:rsid w:val="00511C81"/>
    <w:rsid w:val="00511F72"/>
    <w:rsid w:val="00512316"/>
    <w:rsid w:val="00513D2C"/>
    <w:rsid w:val="00513F4B"/>
    <w:rsid w:val="005178BC"/>
    <w:rsid w:val="005240FF"/>
    <w:rsid w:val="00524826"/>
    <w:rsid w:val="00526C93"/>
    <w:rsid w:val="00527ECD"/>
    <w:rsid w:val="005300E0"/>
    <w:rsid w:val="00530FE6"/>
    <w:rsid w:val="00531E0E"/>
    <w:rsid w:val="00544F53"/>
    <w:rsid w:val="00546EF1"/>
    <w:rsid w:val="0055215C"/>
    <w:rsid w:val="00553B58"/>
    <w:rsid w:val="0055524C"/>
    <w:rsid w:val="005557A9"/>
    <w:rsid w:val="00562956"/>
    <w:rsid w:val="00567075"/>
    <w:rsid w:val="005733BD"/>
    <w:rsid w:val="00573672"/>
    <w:rsid w:val="00574614"/>
    <w:rsid w:val="005750DD"/>
    <w:rsid w:val="00576AD5"/>
    <w:rsid w:val="00581403"/>
    <w:rsid w:val="0058325F"/>
    <w:rsid w:val="00584B68"/>
    <w:rsid w:val="00585554"/>
    <w:rsid w:val="0058731F"/>
    <w:rsid w:val="00590EA9"/>
    <w:rsid w:val="005922EA"/>
    <w:rsid w:val="005A5045"/>
    <w:rsid w:val="005A57BE"/>
    <w:rsid w:val="005B176C"/>
    <w:rsid w:val="005B392E"/>
    <w:rsid w:val="005B7657"/>
    <w:rsid w:val="005C02E3"/>
    <w:rsid w:val="005C1A95"/>
    <w:rsid w:val="005C1FC2"/>
    <w:rsid w:val="005C216A"/>
    <w:rsid w:val="005C297F"/>
    <w:rsid w:val="005C379C"/>
    <w:rsid w:val="005C432A"/>
    <w:rsid w:val="005C491B"/>
    <w:rsid w:val="005C5445"/>
    <w:rsid w:val="005C7A51"/>
    <w:rsid w:val="005D11EE"/>
    <w:rsid w:val="005D1FA3"/>
    <w:rsid w:val="005D405B"/>
    <w:rsid w:val="005D5873"/>
    <w:rsid w:val="005D72CC"/>
    <w:rsid w:val="005E15EB"/>
    <w:rsid w:val="005E38D1"/>
    <w:rsid w:val="005E4293"/>
    <w:rsid w:val="005E6EAC"/>
    <w:rsid w:val="005E7D82"/>
    <w:rsid w:val="005E7FAC"/>
    <w:rsid w:val="005F2CA2"/>
    <w:rsid w:val="005F2D8B"/>
    <w:rsid w:val="005F59E8"/>
    <w:rsid w:val="00602A93"/>
    <w:rsid w:val="006035BB"/>
    <w:rsid w:val="00611424"/>
    <w:rsid w:val="00613EAD"/>
    <w:rsid w:val="006155F3"/>
    <w:rsid w:val="00616DB7"/>
    <w:rsid w:val="00622D6C"/>
    <w:rsid w:val="00623798"/>
    <w:rsid w:val="0062423A"/>
    <w:rsid w:val="006243C5"/>
    <w:rsid w:val="00626259"/>
    <w:rsid w:val="006265B7"/>
    <w:rsid w:val="006307C8"/>
    <w:rsid w:val="00631FC0"/>
    <w:rsid w:val="006350E4"/>
    <w:rsid w:val="00635289"/>
    <w:rsid w:val="00637761"/>
    <w:rsid w:val="00640539"/>
    <w:rsid w:val="00640967"/>
    <w:rsid w:val="00640DA2"/>
    <w:rsid w:val="006423A0"/>
    <w:rsid w:val="00644CB0"/>
    <w:rsid w:val="00647A8C"/>
    <w:rsid w:val="0065395F"/>
    <w:rsid w:val="006548BB"/>
    <w:rsid w:val="00656773"/>
    <w:rsid w:val="00657DCF"/>
    <w:rsid w:val="00660BD6"/>
    <w:rsid w:val="006612D2"/>
    <w:rsid w:val="006623B7"/>
    <w:rsid w:val="006628C2"/>
    <w:rsid w:val="006650B5"/>
    <w:rsid w:val="006655C4"/>
    <w:rsid w:val="00665BB3"/>
    <w:rsid w:val="0067068C"/>
    <w:rsid w:val="0067259D"/>
    <w:rsid w:val="00672A93"/>
    <w:rsid w:val="00673B31"/>
    <w:rsid w:val="0067401C"/>
    <w:rsid w:val="00675D86"/>
    <w:rsid w:val="0067741D"/>
    <w:rsid w:val="006777C5"/>
    <w:rsid w:val="006824C7"/>
    <w:rsid w:val="006834CC"/>
    <w:rsid w:val="00684AAC"/>
    <w:rsid w:val="00687E0C"/>
    <w:rsid w:val="006A5E53"/>
    <w:rsid w:val="006B053E"/>
    <w:rsid w:val="006B350A"/>
    <w:rsid w:val="006B40E2"/>
    <w:rsid w:val="006B43EA"/>
    <w:rsid w:val="006B55C3"/>
    <w:rsid w:val="006C147B"/>
    <w:rsid w:val="006C2762"/>
    <w:rsid w:val="006C3A78"/>
    <w:rsid w:val="006D379A"/>
    <w:rsid w:val="006D4355"/>
    <w:rsid w:val="006E05DA"/>
    <w:rsid w:val="006E3C46"/>
    <w:rsid w:val="006E6CD0"/>
    <w:rsid w:val="006F1DF6"/>
    <w:rsid w:val="006F25A0"/>
    <w:rsid w:val="006F3DB3"/>
    <w:rsid w:val="006F46A4"/>
    <w:rsid w:val="006F5474"/>
    <w:rsid w:val="007023B8"/>
    <w:rsid w:val="0070299B"/>
    <w:rsid w:val="00704BD3"/>
    <w:rsid w:val="0070708E"/>
    <w:rsid w:val="0071135D"/>
    <w:rsid w:val="00711429"/>
    <w:rsid w:val="00713441"/>
    <w:rsid w:val="00714A4C"/>
    <w:rsid w:val="00716781"/>
    <w:rsid w:val="0071776B"/>
    <w:rsid w:val="0072021F"/>
    <w:rsid w:val="0072109F"/>
    <w:rsid w:val="0072137E"/>
    <w:rsid w:val="00721458"/>
    <w:rsid w:val="00724C05"/>
    <w:rsid w:val="00726B46"/>
    <w:rsid w:val="00731429"/>
    <w:rsid w:val="007323E2"/>
    <w:rsid w:val="00732AC7"/>
    <w:rsid w:val="00733FD0"/>
    <w:rsid w:val="00736AE7"/>
    <w:rsid w:val="0073768A"/>
    <w:rsid w:val="0073774D"/>
    <w:rsid w:val="00750B90"/>
    <w:rsid w:val="00754682"/>
    <w:rsid w:val="007617A1"/>
    <w:rsid w:val="00764A66"/>
    <w:rsid w:val="00765727"/>
    <w:rsid w:val="007674F5"/>
    <w:rsid w:val="00770B5B"/>
    <w:rsid w:val="00771D0F"/>
    <w:rsid w:val="00772F72"/>
    <w:rsid w:val="007739F7"/>
    <w:rsid w:val="00773D8E"/>
    <w:rsid w:val="007763FD"/>
    <w:rsid w:val="007766D5"/>
    <w:rsid w:val="007813A2"/>
    <w:rsid w:val="00781D9B"/>
    <w:rsid w:val="0078248D"/>
    <w:rsid w:val="0078474E"/>
    <w:rsid w:val="00785B1E"/>
    <w:rsid w:val="00785C87"/>
    <w:rsid w:val="007869C7"/>
    <w:rsid w:val="0079074E"/>
    <w:rsid w:val="007911E0"/>
    <w:rsid w:val="00791E2C"/>
    <w:rsid w:val="00793FCD"/>
    <w:rsid w:val="007972D6"/>
    <w:rsid w:val="00797FDC"/>
    <w:rsid w:val="007A0785"/>
    <w:rsid w:val="007A3A02"/>
    <w:rsid w:val="007A6466"/>
    <w:rsid w:val="007B0CFA"/>
    <w:rsid w:val="007B1003"/>
    <w:rsid w:val="007B1190"/>
    <w:rsid w:val="007B3E50"/>
    <w:rsid w:val="007B4A9D"/>
    <w:rsid w:val="007C1082"/>
    <w:rsid w:val="007C2BBB"/>
    <w:rsid w:val="007C40FD"/>
    <w:rsid w:val="007C5690"/>
    <w:rsid w:val="007D0443"/>
    <w:rsid w:val="007D287C"/>
    <w:rsid w:val="007D29BF"/>
    <w:rsid w:val="007D3C38"/>
    <w:rsid w:val="007D7885"/>
    <w:rsid w:val="007E0A47"/>
    <w:rsid w:val="007E1A0C"/>
    <w:rsid w:val="007E36AF"/>
    <w:rsid w:val="007E5821"/>
    <w:rsid w:val="007E7B6B"/>
    <w:rsid w:val="007F2EB8"/>
    <w:rsid w:val="007F4A7B"/>
    <w:rsid w:val="007F4D58"/>
    <w:rsid w:val="007F7012"/>
    <w:rsid w:val="007F7522"/>
    <w:rsid w:val="008010A0"/>
    <w:rsid w:val="008020DA"/>
    <w:rsid w:val="0080428A"/>
    <w:rsid w:val="008121B5"/>
    <w:rsid w:val="00812D71"/>
    <w:rsid w:val="00813481"/>
    <w:rsid w:val="00813D76"/>
    <w:rsid w:val="00813F1B"/>
    <w:rsid w:val="00815977"/>
    <w:rsid w:val="0082056F"/>
    <w:rsid w:val="008257B9"/>
    <w:rsid w:val="00826409"/>
    <w:rsid w:val="008328A3"/>
    <w:rsid w:val="00833588"/>
    <w:rsid w:val="0083452E"/>
    <w:rsid w:val="00835756"/>
    <w:rsid w:val="00835B74"/>
    <w:rsid w:val="00836466"/>
    <w:rsid w:val="00842FD5"/>
    <w:rsid w:val="008441F4"/>
    <w:rsid w:val="00845710"/>
    <w:rsid w:val="00855D0C"/>
    <w:rsid w:val="008561E0"/>
    <w:rsid w:val="00862079"/>
    <w:rsid w:val="00864C35"/>
    <w:rsid w:val="008650EB"/>
    <w:rsid w:val="00867D21"/>
    <w:rsid w:val="008845B9"/>
    <w:rsid w:val="00884F7D"/>
    <w:rsid w:val="008860A7"/>
    <w:rsid w:val="00887A8A"/>
    <w:rsid w:val="00891F0E"/>
    <w:rsid w:val="00893BC2"/>
    <w:rsid w:val="00894381"/>
    <w:rsid w:val="00894D70"/>
    <w:rsid w:val="00896C1E"/>
    <w:rsid w:val="008A4C45"/>
    <w:rsid w:val="008A50FC"/>
    <w:rsid w:val="008A7FA0"/>
    <w:rsid w:val="008B06E4"/>
    <w:rsid w:val="008B088B"/>
    <w:rsid w:val="008B5004"/>
    <w:rsid w:val="008B74ED"/>
    <w:rsid w:val="008B7838"/>
    <w:rsid w:val="008C0E6C"/>
    <w:rsid w:val="008C29CD"/>
    <w:rsid w:val="008D2FCE"/>
    <w:rsid w:val="008E15CA"/>
    <w:rsid w:val="008F6C4C"/>
    <w:rsid w:val="008F7F7D"/>
    <w:rsid w:val="00900B54"/>
    <w:rsid w:val="0090328D"/>
    <w:rsid w:val="00903742"/>
    <w:rsid w:val="00904CF2"/>
    <w:rsid w:val="00905CC8"/>
    <w:rsid w:val="00913C22"/>
    <w:rsid w:val="00922914"/>
    <w:rsid w:val="0092430A"/>
    <w:rsid w:val="00924BCC"/>
    <w:rsid w:val="00926611"/>
    <w:rsid w:val="00927469"/>
    <w:rsid w:val="00927618"/>
    <w:rsid w:val="00931D62"/>
    <w:rsid w:val="00933A89"/>
    <w:rsid w:val="00934A8E"/>
    <w:rsid w:val="00935032"/>
    <w:rsid w:val="00935259"/>
    <w:rsid w:val="0093577A"/>
    <w:rsid w:val="0094339B"/>
    <w:rsid w:val="0094346E"/>
    <w:rsid w:val="00943AA7"/>
    <w:rsid w:val="009446D8"/>
    <w:rsid w:val="009529F9"/>
    <w:rsid w:val="00953214"/>
    <w:rsid w:val="00954AB3"/>
    <w:rsid w:val="0095621F"/>
    <w:rsid w:val="00960344"/>
    <w:rsid w:val="00961A11"/>
    <w:rsid w:val="009647C4"/>
    <w:rsid w:val="009740FA"/>
    <w:rsid w:val="0097609C"/>
    <w:rsid w:val="00981C30"/>
    <w:rsid w:val="0098256C"/>
    <w:rsid w:val="00983BA2"/>
    <w:rsid w:val="00983DDE"/>
    <w:rsid w:val="00986387"/>
    <w:rsid w:val="00991548"/>
    <w:rsid w:val="00994F06"/>
    <w:rsid w:val="009950A2"/>
    <w:rsid w:val="009960EE"/>
    <w:rsid w:val="009969E3"/>
    <w:rsid w:val="009A118F"/>
    <w:rsid w:val="009A1212"/>
    <w:rsid w:val="009A1C12"/>
    <w:rsid w:val="009A28DE"/>
    <w:rsid w:val="009A3A8C"/>
    <w:rsid w:val="009A45DA"/>
    <w:rsid w:val="009A6792"/>
    <w:rsid w:val="009B13D8"/>
    <w:rsid w:val="009B3EED"/>
    <w:rsid w:val="009B526C"/>
    <w:rsid w:val="009B6AF1"/>
    <w:rsid w:val="009B786E"/>
    <w:rsid w:val="009C5FD3"/>
    <w:rsid w:val="009C68EF"/>
    <w:rsid w:val="009D0017"/>
    <w:rsid w:val="009D0188"/>
    <w:rsid w:val="009D0B26"/>
    <w:rsid w:val="009D368C"/>
    <w:rsid w:val="009D44A1"/>
    <w:rsid w:val="009D7226"/>
    <w:rsid w:val="009E4097"/>
    <w:rsid w:val="009E4A11"/>
    <w:rsid w:val="009E65AB"/>
    <w:rsid w:val="009E7D5E"/>
    <w:rsid w:val="009E7DB4"/>
    <w:rsid w:val="009F13F2"/>
    <w:rsid w:val="009F2828"/>
    <w:rsid w:val="009F7D63"/>
    <w:rsid w:val="00A00B61"/>
    <w:rsid w:val="00A0391E"/>
    <w:rsid w:val="00A045E8"/>
    <w:rsid w:val="00A0637D"/>
    <w:rsid w:val="00A079A2"/>
    <w:rsid w:val="00A10403"/>
    <w:rsid w:val="00A10C68"/>
    <w:rsid w:val="00A117C9"/>
    <w:rsid w:val="00A1202E"/>
    <w:rsid w:val="00A1212F"/>
    <w:rsid w:val="00A123E5"/>
    <w:rsid w:val="00A17CA5"/>
    <w:rsid w:val="00A203FD"/>
    <w:rsid w:val="00A214DD"/>
    <w:rsid w:val="00A22C82"/>
    <w:rsid w:val="00A24548"/>
    <w:rsid w:val="00A25F1C"/>
    <w:rsid w:val="00A2705F"/>
    <w:rsid w:val="00A273A6"/>
    <w:rsid w:val="00A329B5"/>
    <w:rsid w:val="00A35700"/>
    <w:rsid w:val="00A40A79"/>
    <w:rsid w:val="00A4505C"/>
    <w:rsid w:val="00A4539D"/>
    <w:rsid w:val="00A47904"/>
    <w:rsid w:val="00A51986"/>
    <w:rsid w:val="00A51C4A"/>
    <w:rsid w:val="00A52E21"/>
    <w:rsid w:val="00A53D1B"/>
    <w:rsid w:val="00A543A8"/>
    <w:rsid w:val="00A55EB1"/>
    <w:rsid w:val="00A577B6"/>
    <w:rsid w:val="00A63C72"/>
    <w:rsid w:val="00A64441"/>
    <w:rsid w:val="00A67609"/>
    <w:rsid w:val="00A72EE5"/>
    <w:rsid w:val="00A80143"/>
    <w:rsid w:val="00A82DE5"/>
    <w:rsid w:val="00A8654B"/>
    <w:rsid w:val="00A908BF"/>
    <w:rsid w:val="00A93C60"/>
    <w:rsid w:val="00A94782"/>
    <w:rsid w:val="00AA07BB"/>
    <w:rsid w:val="00AA299F"/>
    <w:rsid w:val="00AA417B"/>
    <w:rsid w:val="00AA5191"/>
    <w:rsid w:val="00AA5583"/>
    <w:rsid w:val="00AA5717"/>
    <w:rsid w:val="00AB021A"/>
    <w:rsid w:val="00AB39D6"/>
    <w:rsid w:val="00AB4761"/>
    <w:rsid w:val="00AB47AD"/>
    <w:rsid w:val="00AB65D7"/>
    <w:rsid w:val="00AB7BBE"/>
    <w:rsid w:val="00AC3C0F"/>
    <w:rsid w:val="00AC6D29"/>
    <w:rsid w:val="00AC7857"/>
    <w:rsid w:val="00AD4219"/>
    <w:rsid w:val="00AD4A2B"/>
    <w:rsid w:val="00AD5DD6"/>
    <w:rsid w:val="00AE17ED"/>
    <w:rsid w:val="00AE254C"/>
    <w:rsid w:val="00AE5665"/>
    <w:rsid w:val="00AE5786"/>
    <w:rsid w:val="00AE71BC"/>
    <w:rsid w:val="00AF2CF7"/>
    <w:rsid w:val="00AF35F1"/>
    <w:rsid w:val="00AF4D2D"/>
    <w:rsid w:val="00AF520F"/>
    <w:rsid w:val="00AF5476"/>
    <w:rsid w:val="00AF7B1C"/>
    <w:rsid w:val="00B03121"/>
    <w:rsid w:val="00B10639"/>
    <w:rsid w:val="00B121CC"/>
    <w:rsid w:val="00B122D8"/>
    <w:rsid w:val="00B134C9"/>
    <w:rsid w:val="00B138BB"/>
    <w:rsid w:val="00B14FA2"/>
    <w:rsid w:val="00B15943"/>
    <w:rsid w:val="00B16A45"/>
    <w:rsid w:val="00B16AF8"/>
    <w:rsid w:val="00B16FA8"/>
    <w:rsid w:val="00B2286C"/>
    <w:rsid w:val="00B24757"/>
    <w:rsid w:val="00B25FD1"/>
    <w:rsid w:val="00B27331"/>
    <w:rsid w:val="00B330BA"/>
    <w:rsid w:val="00B40556"/>
    <w:rsid w:val="00B43F62"/>
    <w:rsid w:val="00B44DF4"/>
    <w:rsid w:val="00B458C4"/>
    <w:rsid w:val="00B46C42"/>
    <w:rsid w:val="00B52770"/>
    <w:rsid w:val="00B53BE3"/>
    <w:rsid w:val="00B56ADC"/>
    <w:rsid w:val="00B57AAF"/>
    <w:rsid w:val="00B57C12"/>
    <w:rsid w:val="00B66F58"/>
    <w:rsid w:val="00B71867"/>
    <w:rsid w:val="00B72DE6"/>
    <w:rsid w:val="00B734C1"/>
    <w:rsid w:val="00B74198"/>
    <w:rsid w:val="00B76238"/>
    <w:rsid w:val="00B7796D"/>
    <w:rsid w:val="00B77C76"/>
    <w:rsid w:val="00B82642"/>
    <w:rsid w:val="00B85344"/>
    <w:rsid w:val="00B9284E"/>
    <w:rsid w:val="00B93893"/>
    <w:rsid w:val="00B93BDC"/>
    <w:rsid w:val="00B94E6D"/>
    <w:rsid w:val="00B95B77"/>
    <w:rsid w:val="00B960C9"/>
    <w:rsid w:val="00BA07A2"/>
    <w:rsid w:val="00BA3058"/>
    <w:rsid w:val="00BA576C"/>
    <w:rsid w:val="00BB227D"/>
    <w:rsid w:val="00BB4134"/>
    <w:rsid w:val="00BC28B3"/>
    <w:rsid w:val="00BC318C"/>
    <w:rsid w:val="00BC4F35"/>
    <w:rsid w:val="00BC6EBB"/>
    <w:rsid w:val="00BD525C"/>
    <w:rsid w:val="00BD7BF4"/>
    <w:rsid w:val="00BE03BC"/>
    <w:rsid w:val="00BE0DE6"/>
    <w:rsid w:val="00BE209F"/>
    <w:rsid w:val="00BE29E5"/>
    <w:rsid w:val="00BE418D"/>
    <w:rsid w:val="00BE473A"/>
    <w:rsid w:val="00BE6302"/>
    <w:rsid w:val="00BE7202"/>
    <w:rsid w:val="00BE7901"/>
    <w:rsid w:val="00BF6495"/>
    <w:rsid w:val="00BF7AD3"/>
    <w:rsid w:val="00BF7C68"/>
    <w:rsid w:val="00C02A29"/>
    <w:rsid w:val="00C030DA"/>
    <w:rsid w:val="00C04475"/>
    <w:rsid w:val="00C04D05"/>
    <w:rsid w:val="00C068C5"/>
    <w:rsid w:val="00C071D5"/>
    <w:rsid w:val="00C1303F"/>
    <w:rsid w:val="00C139EE"/>
    <w:rsid w:val="00C13FAF"/>
    <w:rsid w:val="00C170F6"/>
    <w:rsid w:val="00C2035E"/>
    <w:rsid w:val="00C2517B"/>
    <w:rsid w:val="00C25EFE"/>
    <w:rsid w:val="00C26A0B"/>
    <w:rsid w:val="00C36D52"/>
    <w:rsid w:val="00C414DB"/>
    <w:rsid w:val="00C4368B"/>
    <w:rsid w:val="00C436C9"/>
    <w:rsid w:val="00C438F4"/>
    <w:rsid w:val="00C43ACA"/>
    <w:rsid w:val="00C44F0D"/>
    <w:rsid w:val="00C4569A"/>
    <w:rsid w:val="00C57139"/>
    <w:rsid w:val="00C6164A"/>
    <w:rsid w:val="00C61B94"/>
    <w:rsid w:val="00C62472"/>
    <w:rsid w:val="00C7247E"/>
    <w:rsid w:val="00C72495"/>
    <w:rsid w:val="00C72554"/>
    <w:rsid w:val="00C73717"/>
    <w:rsid w:val="00C7401E"/>
    <w:rsid w:val="00C74BA8"/>
    <w:rsid w:val="00C74BF3"/>
    <w:rsid w:val="00C75AC7"/>
    <w:rsid w:val="00C7669C"/>
    <w:rsid w:val="00C80661"/>
    <w:rsid w:val="00C82950"/>
    <w:rsid w:val="00C83A4A"/>
    <w:rsid w:val="00C83EBA"/>
    <w:rsid w:val="00C8485D"/>
    <w:rsid w:val="00C86304"/>
    <w:rsid w:val="00C86B9A"/>
    <w:rsid w:val="00C9149A"/>
    <w:rsid w:val="00C93168"/>
    <w:rsid w:val="00C933C3"/>
    <w:rsid w:val="00C94062"/>
    <w:rsid w:val="00C96FF0"/>
    <w:rsid w:val="00CA1664"/>
    <w:rsid w:val="00CA344C"/>
    <w:rsid w:val="00CA49CD"/>
    <w:rsid w:val="00CA5915"/>
    <w:rsid w:val="00CA6146"/>
    <w:rsid w:val="00CB0CCE"/>
    <w:rsid w:val="00CB0DC7"/>
    <w:rsid w:val="00CB1291"/>
    <w:rsid w:val="00CB34D4"/>
    <w:rsid w:val="00CB5597"/>
    <w:rsid w:val="00CB6914"/>
    <w:rsid w:val="00CC15AE"/>
    <w:rsid w:val="00CC1D22"/>
    <w:rsid w:val="00CC2EA9"/>
    <w:rsid w:val="00CC47E5"/>
    <w:rsid w:val="00CC536D"/>
    <w:rsid w:val="00CC6D2E"/>
    <w:rsid w:val="00CD0025"/>
    <w:rsid w:val="00CD12EA"/>
    <w:rsid w:val="00CD2017"/>
    <w:rsid w:val="00CD2449"/>
    <w:rsid w:val="00CD4840"/>
    <w:rsid w:val="00CD79E4"/>
    <w:rsid w:val="00CE05DC"/>
    <w:rsid w:val="00CE164B"/>
    <w:rsid w:val="00CE32E7"/>
    <w:rsid w:val="00CE4615"/>
    <w:rsid w:val="00CF6826"/>
    <w:rsid w:val="00D02ADF"/>
    <w:rsid w:val="00D0476E"/>
    <w:rsid w:val="00D10199"/>
    <w:rsid w:val="00D13A62"/>
    <w:rsid w:val="00D14154"/>
    <w:rsid w:val="00D1559F"/>
    <w:rsid w:val="00D16B85"/>
    <w:rsid w:val="00D24993"/>
    <w:rsid w:val="00D260A8"/>
    <w:rsid w:val="00D263DD"/>
    <w:rsid w:val="00D26F99"/>
    <w:rsid w:val="00D32906"/>
    <w:rsid w:val="00D35EF0"/>
    <w:rsid w:val="00D40E25"/>
    <w:rsid w:val="00D4556A"/>
    <w:rsid w:val="00D467CE"/>
    <w:rsid w:val="00D46CDF"/>
    <w:rsid w:val="00D509C6"/>
    <w:rsid w:val="00D50B27"/>
    <w:rsid w:val="00D52F11"/>
    <w:rsid w:val="00D543A0"/>
    <w:rsid w:val="00D54F0D"/>
    <w:rsid w:val="00D55DF1"/>
    <w:rsid w:val="00D565E6"/>
    <w:rsid w:val="00D56B1A"/>
    <w:rsid w:val="00D57C54"/>
    <w:rsid w:val="00D57F82"/>
    <w:rsid w:val="00D60973"/>
    <w:rsid w:val="00D6122D"/>
    <w:rsid w:val="00D6322E"/>
    <w:rsid w:val="00D643EC"/>
    <w:rsid w:val="00D659DB"/>
    <w:rsid w:val="00D65BA1"/>
    <w:rsid w:val="00D677D1"/>
    <w:rsid w:val="00D72B46"/>
    <w:rsid w:val="00D76EAC"/>
    <w:rsid w:val="00D77487"/>
    <w:rsid w:val="00D82ADA"/>
    <w:rsid w:val="00D8516C"/>
    <w:rsid w:val="00D8669B"/>
    <w:rsid w:val="00D879AC"/>
    <w:rsid w:val="00D978F7"/>
    <w:rsid w:val="00DA3256"/>
    <w:rsid w:val="00DA77DC"/>
    <w:rsid w:val="00DB13C5"/>
    <w:rsid w:val="00DB1F79"/>
    <w:rsid w:val="00DB61C0"/>
    <w:rsid w:val="00DC0C88"/>
    <w:rsid w:val="00DC14D6"/>
    <w:rsid w:val="00DC3B48"/>
    <w:rsid w:val="00DC435D"/>
    <w:rsid w:val="00DC4617"/>
    <w:rsid w:val="00DD06BF"/>
    <w:rsid w:val="00DD096D"/>
    <w:rsid w:val="00DD6FF4"/>
    <w:rsid w:val="00DE06ED"/>
    <w:rsid w:val="00DE1B14"/>
    <w:rsid w:val="00DE2BC3"/>
    <w:rsid w:val="00DE3248"/>
    <w:rsid w:val="00DE34E2"/>
    <w:rsid w:val="00DE5F80"/>
    <w:rsid w:val="00DF0966"/>
    <w:rsid w:val="00DF4041"/>
    <w:rsid w:val="00DF7063"/>
    <w:rsid w:val="00E01F86"/>
    <w:rsid w:val="00E03189"/>
    <w:rsid w:val="00E05098"/>
    <w:rsid w:val="00E06138"/>
    <w:rsid w:val="00E063BB"/>
    <w:rsid w:val="00E11CA1"/>
    <w:rsid w:val="00E13116"/>
    <w:rsid w:val="00E142A2"/>
    <w:rsid w:val="00E14DCE"/>
    <w:rsid w:val="00E15480"/>
    <w:rsid w:val="00E15E10"/>
    <w:rsid w:val="00E17B92"/>
    <w:rsid w:val="00E21EF0"/>
    <w:rsid w:val="00E22D7F"/>
    <w:rsid w:val="00E23A2E"/>
    <w:rsid w:val="00E2687C"/>
    <w:rsid w:val="00E33687"/>
    <w:rsid w:val="00E401DB"/>
    <w:rsid w:val="00E40842"/>
    <w:rsid w:val="00E41529"/>
    <w:rsid w:val="00E4289C"/>
    <w:rsid w:val="00E44F4F"/>
    <w:rsid w:val="00E531AE"/>
    <w:rsid w:val="00E55069"/>
    <w:rsid w:val="00E55C49"/>
    <w:rsid w:val="00E56716"/>
    <w:rsid w:val="00E57D63"/>
    <w:rsid w:val="00E6016B"/>
    <w:rsid w:val="00E6234C"/>
    <w:rsid w:val="00E633D9"/>
    <w:rsid w:val="00E63715"/>
    <w:rsid w:val="00E663FA"/>
    <w:rsid w:val="00E66617"/>
    <w:rsid w:val="00E701CA"/>
    <w:rsid w:val="00E74440"/>
    <w:rsid w:val="00E772D5"/>
    <w:rsid w:val="00E77632"/>
    <w:rsid w:val="00E8106C"/>
    <w:rsid w:val="00E853E3"/>
    <w:rsid w:val="00E87C2D"/>
    <w:rsid w:val="00E907C0"/>
    <w:rsid w:val="00E90D48"/>
    <w:rsid w:val="00E91A24"/>
    <w:rsid w:val="00EA16B2"/>
    <w:rsid w:val="00EA466F"/>
    <w:rsid w:val="00EA6322"/>
    <w:rsid w:val="00EA7032"/>
    <w:rsid w:val="00EB751C"/>
    <w:rsid w:val="00EC783D"/>
    <w:rsid w:val="00EC7975"/>
    <w:rsid w:val="00ED2B6D"/>
    <w:rsid w:val="00ED5C57"/>
    <w:rsid w:val="00EE070D"/>
    <w:rsid w:val="00EF093C"/>
    <w:rsid w:val="00EF3230"/>
    <w:rsid w:val="00EF418C"/>
    <w:rsid w:val="00EF5121"/>
    <w:rsid w:val="00EF62C1"/>
    <w:rsid w:val="00EF6B1D"/>
    <w:rsid w:val="00F01C8C"/>
    <w:rsid w:val="00F04AE3"/>
    <w:rsid w:val="00F068E4"/>
    <w:rsid w:val="00F077A3"/>
    <w:rsid w:val="00F146C0"/>
    <w:rsid w:val="00F229A6"/>
    <w:rsid w:val="00F253B5"/>
    <w:rsid w:val="00F25BEF"/>
    <w:rsid w:val="00F25F56"/>
    <w:rsid w:val="00F27CFB"/>
    <w:rsid w:val="00F27D11"/>
    <w:rsid w:val="00F30677"/>
    <w:rsid w:val="00F313BA"/>
    <w:rsid w:val="00F3376A"/>
    <w:rsid w:val="00F35420"/>
    <w:rsid w:val="00F44BC7"/>
    <w:rsid w:val="00F535C9"/>
    <w:rsid w:val="00F53E98"/>
    <w:rsid w:val="00F64E2E"/>
    <w:rsid w:val="00F66B05"/>
    <w:rsid w:val="00F67DED"/>
    <w:rsid w:val="00F7010D"/>
    <w:rsid w:val="00F720C1"/>
    <w:rsid w:val="00F72462"/>
    <w:rsid w:val="00F728AC"/>
    <w:rsid w:val="00F7300B"/>
    <w:rsid w:val="00F73565"/>
    <w:rsid w:val="00F77657"/>
    <w:rsid w:val="00F777EE"/>
    <w:rsid w:val="00F8160C"/>
    <w:rsid w:val="00F8293D"/>
    <w:rsid w:val="00F837B1"/>
    <w:rsid w:val="00F84D0C"/>
    <w:rsid w:val="00F90201"/>
    <w:rsid w:val="00F96F92"/>
    <w:rsid w:val="00FA026A"/>
    <w:rsid w:val="00FA10AF"/>
    <w:rsid w:val="00FA39C8"/>
    <w:rsid w:val="00FA4AC3"/>
    <w:rsid w:val="00FA5530"/>
    <w:rsid w:val="00FA6F6B"/>
    <w:rsid w:val="00FA7289"/>
    <w:rsid w:val="00FA7F97"/>
    <w:rsid w:val="00FB1D64"/>
    <w:rsid w:val="00FB2ACA"/>
    <w:rsid w:val="00FB3817"/>
    <w:rsid w:val="00FC32B6"/>
    <w:rsid w:val="00FC57C5"/>
    <w:rsid w:val="00FC60BE"/>
    <w:rsid w:val="00FC7666"/>
    <w:rsid w:val="00FC793E"/>
    <w:rsid w:val="00FD3ECE"/>
    <w:rsid w:val="00FD58D2"/>
    <w:rsid w:val="00FE28D2"/>
    <w:rsid w:val="00FE5ED6"/>
    <w:rsid w:val="00FE6276"/>
    <w:rsid w:val="00FE6341"/>
    <w:rsid w:val="00FF17C0"/>
    <w:rsid w:val="00FF1A7B"/>
    <w:rsid w:val="00FF4674"/>
    <w:rsid w:val="26502DBC"/>
    <w:rsid w:val="3F4E2FA5"/>
    <w:rsid w:val="6E623D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29"/>
        <o:r id="V:Rule2" type="connector" idref="#_x0000_s1031"/>
        <o:r id="V:Rule3" type="connector" idref="#_x0000_s1036"/>
        <o:r id="V:Rule4" type="connector" idref="#_x0000_s1041"/>
        <o:r id="V:Rule5" type="connector" idref="#_x0000_s1043"/>
        <o:r id="V:Rule6" type="connector" idref="#_x0000_s1045"/>
        <o:r id="V:Rule7" type="connector" idref="#_x0000_s1047"/>
        <o:r id="V:Rule8" type="connector" idref="#_x0000_s1049"/>
        <o:r id="V:Rule9" type="connector" idref="#_x0000_s1051"/>
        <o:r id="V:Rule10" type="connector" idref="#_x0000_s1053"/>
        <o:r id="V:Rule11" type="connector" idref="#_x0000_s1055"/>
        <o:r id="V:Rule12" type="connector" idref="#_x0000_s1057"/>
        <o:r id="V:Rule13" type="connector" idref="#_x0000_s1059"/>
        <o:r id="V:Rule14" type="connector" idref="#_x0000_s1060"/>
        <o:r id="V:Rule15" type="connector" idref="#_x0000_s1062"/>
        <o:r id="V:Rule16" type="connector" idref="#_x0000_s1064"/>
        <o:r id="V:Rule17" type="connector" idref="#_x0000_s1069"/>
        <o:r id="V:Rule18" type="connector" idref="#_x0000_s1070"/>
        <o:r id="V:Rule19" type="connector" idref="#_x0000_s1074"/>
        <o:r id="V:Rule20" type="connector" idref="#_x0000_s1076"/>
        <o:r id="V:Rule21" type="connector" idref="#_x0000_s1078"/>
        <o:r id="V:Rule22" type="connector" idref="#_x0000_s1080"/>
        <o:r id="V:Rule23" type="connector" idref="#_x0000_s1083"/>
        <o:r id="V:Rule24" type="connector" idref="#_x0000_s1084"/>
        <o:r id="V:Rule25" type="connector" idref="#_x0000_s1086"/>
        <o:r id="V:Rule26" type="connector" idref="#_x0000_s1088"/>
        <o:r id="V:Rule27" type="connector" idref="#_x0000_s1090"/>
        <o:r id="V:Rule28" type="connector" idref="#_x0000_s1092"/>
        <o:r id="V:Rule29" type="connector" idref="#_x0000_s1094"/>
        <o:r id="V:Rule30" type="connector" idref="#_x0000_s1097"/>
        <o:r id="V:Rule31" type="connector" idref="#_x0000_s1098"/>
        <o:r id="V:Rule32" type="connector" idref="#_x0000_s1101"/>
        <o:r id="V:Rule33" type="connector" idref="#_x0000_s1102"/>
        <o:r id="V:Rule34" type="connector" idref="#_x0000_s1104"/>
        <o:r id="V:Rule35" type="connector" idref="#_x0000_s1107"/>
        <o:r id="V:Rule36" type="connector" idref="#_x0000_s1109"/>
        <o:r id="V:Rule37" type="connector" idref="#_x0000_s1111"/>
        <o:r id="V:Rule38" type="connector" idref="#_x0000_s1113"/>
        <o:r id="V:Rule39" type="connector" idref="#_x0000_s1115"/>
        <o:r id="V:Rule40" type="connector" idref="#_x0000_s1117"/>
        <o:r id="V:Rule41" type="connector" idref="#_x0000_s1306"/>
        <o:r id="V:Rule42" type="connector" idref="#_x0000_s1307"/>
        <o:r id="V:Rule43" type="connector" idref="#_x0000_s1308"/>
        <o:r id="V:Rule44" type="connector" idref="#_x0000_s1310"/>
        <o:r id="V:Rule45" type="connector" idref="#_x0000_s1312"/>
        <o:r id="V:Rule46" type="connector" idref="#_x0000_s134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uiPriority="39" w:semiHidden="0" w:name="toc 9"/>
    <w:lsdException w:qFormat="1"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0" w:semiHidden="0" w:name="List"/>
    <w:lsdException w:uiPriority="99" w:name="List Bullet"/>
    <w:lsdException w:uiPriority="99" w:name="List Number"/>
    <w:lsdException w:uiPriority="0" w:name="List 2"/>
    <w:lsdException w:uiPriority="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name="Body Text"/>
    <w:lsdException w:qFormat="1"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0" w:name="Date"/>
    <w:lsdException w:uiPriority="0" w:semiHidden="0" w:name="Body Text First Indent"/>
    <w:lsdException w:uiPriority="0" w:name="Body Text First Indent 2"/>
    <w:lsdException w:uiPriority="99" w:name="Note Heading"/>
    <w:lsdException w:uiPriority="0" w:name="Body Text 2"/>
    <w:lsdException w:uiPriority="99" w:name="Body Text 3"/>
    <w:lsdException w:qFormat="1" w:uiPriority="0" w:name="Body Text Indent 2"/>
    <w:lsdException w:qFormat="1" w:uiPriority="0" w:name="Body Text Indent 3"/>
    <w:lsdException w:uiPriority="99" w:name="Block Text"/>
    <w:lsdException w:uiPriority="99" w:semiHidden="0" w:name="Hyperlink"/>
    <w:lsdException w:uiPriority="0" w:name="FollowedHyperlink"/>
    <w:lsdException w:unhideWhenUsed="0" w:uiPriority="22" w:semiHidden="0" w:name="Strong"/>
    <w:lsdException w:unhideWhenUsed="0" w:uiPriority="0" w:semiHidden="0" w:name="Emphasis"/>
    <w:lsdException w:qFormat="1" w:uiPriority="0" w:name="Document Map"/>
    <w:lsdException w:qFormat="1" w:uiPriority="0" w:name="Plain Text"/>
    <w:lsdException w:uiPriority="99" w:name="E-mail Signature"/>
    <w:lsdException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0" w:name="HTML Preformatted"/>
    <w:lsdException w:uiPriority="99" w:name="HTML Sample"/>
    <w:lsdException w:uiPriority="99" w:name="HTML Typewriter"/>
    <w:lsdException w:uiPriority="99" w:name="HTML Variable"/>
    <w:lsdException w:qFormat="1"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2">
    <w:name w:val="heading 1"/>
    <w:basedOn w:val="1"/>
    <w:next w:val="1"/>
    <w:link w:val="48"/>
    <w:qFormat/>
    <w:uiPriority w:val="0"/>
    <w:pPr>
      <w:spacing w:beforeLines="80" w:afterLines="80"/>
      <w:ind w:firstLine="0" w:firstLineChars="0"/>
      <w:outlineLvl w:val="0"/>
    </w:pPr>
    <w:rPr>
      <w:b/>
      <w:sz w:val="32"/>
    </w:rPr>
  </w:style>
  <w:style w:type="paragraph" w:styleId="3">
    <w:name w:val="heading 2"/>
    <w:basedOn w:val="1"/>
    <w:next w:val="1"/>
    <w:link w:val="49"/>
    <w:unhideWhenUsed/>
    <w:qFormat/>
    <w:uiPriority w:val="0"/>
    <w:pPr>
      <w:keepNext/>
      <w:keepLines/>
      <w:spacing w:before="160" w:after="160"/>
      <w:ind w:firstLine="0" w:firstLineChars="0"/>
      <w:outlineLvl w:val="1"/>
    </w:pPr>
    <w:rPr>
      <w:rFonts w:cstheme="majorBidi"/>
      <w:b/>
      <w:bCs/>
      <w:sz w:val="30"/>
      <w:szCs w:val="32"/>
    </w:rPr>
  </w:style>
  <w:style w:type="paragraph" w:styleId="4">
    <w:name w:val="heading 3"/>
    <w:basedOn w:val="1"/>
    <w:next w:val="1"/>
    <w:link w:val="50"/>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51"/>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77"/>
    <w:semiHidden/>
    <w:unhideWhenUsed/>
    <w:qFormat/>
    <w:uiPriority w:val="0"/>
    <w:pPr>
      <w:keepNext/>
      <w:keepLines/>
      <w:adjustRightInd w:val="0"/>
      <w:snapToGrid w:val="0"/>
      <w:spacing w:before="280" w:after="290" w:line="374" w:lineRule="auto"/>
      <w:ind w:firstLine="0" w:firstLineChars="0"/>
      <w:jc w:val="left"/>
      <w:outlineLvl w:val="4"/>
    </w:pPr>
    <w:rPr>
      <w:rFonts w:cs="Times New Roman"/>
      <w:b/>
      <w:bCs/>
      <w:sz w:val="28"/>
      <w:szCs w:val="28"/>
    </w:rPr>
  </w:style>
  <w:style w:type="paragraph" w:styleId="7">
    <w:name w:val="heading 6"/>
    <w:basedOn w:val="1"/>
    <w:next w:val="1"/>
    <w:link w:val="78"/>
    <w:semiHidden/>
    <w:unhideWhenUsed/>
    <w:qFormat/>
    <w:uiPriority w:val="0"/>
    <w:pPr>
      <w:keepNext/>
      <w:keepLines/>
      <w:adjustRightInd w:val="0"/>
      <w:snapToGrid w:val="0"/>
      <w:spacing w:before="240" w:after="64" w:line="319" w:lineRule="auto"/>
      <w:ind w:firstLine="0" w:firstLineChars="0"/>
      <w:jc w:val="left"/>
      <w:outlineLvl w:val="5"/>
    </w:pPr>
    <w:rPr>
      <w:rFonts w:ascii="Cambria" w:hAnsi="Cambria" w:cs="宋体"/>
      <w:b/>
      <w:bCs/>
      <w:szCs w:val="24"/>
    </w:rPr>
  </w:style>
  <w:style w:type="paragraph" w:styleId="8">
    <w:name w:val="heading 7"/>
    <w:basedOn w:val="1"/>
    <w:next w:val="1"/>
    <w:link w:val="79"/>
    <w:semiHidden/>
    <w:unhideWhenUsed/>
    <w:qFormat/>
    <w:uiPriority w:val="0"/>
    <w:pPr>
      <w:keepNext/>
      <w:keepLines/>
      <w:adjustRightInd w:val="0"/>
      <w:snapToGrid w:val="0"/>
      <w:spacing w:before="240" w:after="64" w:line="319" w:lineRule="auto"/>
      <w:ind w:firstLine="0" w:firstLineChars="0"/>
      <w:jc w:val="left"/>
      <w:outlineLvl w:val="6"/>
    </w:pPr>
    <w:rPr>
      <w:rFonts w:cs="Times New Roman"/>
      <w:b/>
      <w:bCs/>
      <w:szCs w:val="24"/>
    </w:rPr>
  </w:style>
  <w:style w:type="paragraph" w:styleId="9">
    <w:name w:val="heading 8"/>
    <w:basedOn w:val="1"/>
    <w:next w:val="1"/>
    <w:link w:val="80"/>
    <w:semiHidden/>
    <w:unhideWhenUsed/>
    <w:qFormat/>
    <w:uiPriority w:val="0"/>
    <w:pPr>
      <w:keepNext/>
      <w:keepLines/>
      <w:adjustRightInd w:val="0"/>
      <w:snapToGrid w:val="0"/>
      <w:spacing w:before="240" w:after="64" w:line="319" w:lineRule="auto"/>
      <w:ind w:firstLine="0" w:firstLineChars="0"/>
      <w:jc w:val="left"/>
      <w:outlineLvl w:val="7"/>
    </w:pPr>
    <w:rPr>
      <w:rFonts w:ascii="Cambria" w:hAnsi="Cambria" w:cs="Times New Roman"/>
      <w:szCs w:val="24"/>
    </w:rPr>
  </w:style>
  <w:style w:type="paragraph" w:styleId="10">
    <w:name w:val="heading 9"/>
    <w:basedOn w:val="1"/>
    <w:next w:val="1"/>
    <w:link w:val="81"/>
    <w:semiHidden/>
    <w:unhideWhenUsed/>
    <w:qFormat/>
    <w:uiPriority w:val="0"/>
    <w:pPr>
      <w:keepNext/>
      <w:keepLines/>
      <w:adjustRightInd w:val="0"/>
      <w:snapToGrid w:val="0"/>
      <w:spacing w:before="240" w:after="64" w:line="319" w:lineRule="auto"/>
      <w:ind w:firstLine="0" w:firstLineChars="0"/>
      <w:jc w:val="left"/>
      <w:outlineLvl w:val="8"/>
    </w:pPr>
    <w:rPr>
      <w:rFonts w:ascii="Cambria" w:hAnsi="Cambria" w:cs="Times New Roman"/>
      <w:sz w:val="21"/>
      <w:szCs w:val="21"/>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spacing w:line="240" w:lineRule="auto"/>
      <w:ind w:left="2520" w:leftChars="1200" w:firstLine="0" w:firstLineChars="0"/>
    </w:pPr>
    <w:rPr>
      <w:rFonts w:asciiTheme="minorHAnsi" w:hAnsiTheme="minorHAnsi" w:eastAsiaTheme="minorEastAsia"/>
      <w:sz w:val="21"/>
    </w:rPr>
  </w:style>
  <w:style w:type="paragraph" w:styleId="12">
    <w:name w:val="Normal Indent"/>
    <w:basedOn w:val="1"/>
    <w:link w:val="60"/>
    <w:unhideWhenUsed/>
    <w:qFormat/>
    <w:uiPriority w:val="0"/>
    <w:pPr>
      <w:spacing w:line="240" w:lineRule="auto"/>
      <w:ind w:firstLine="0" w:firstLineChars="0"/>
    </w:pPr>
    <w:rPr>
      <w:rFonts w:asciiTheme="minorHAnsi" w:hAnsiTheme="minorHAnsi" w:eastAsiaTheme="minorEastAsia"/>
      <w:kern w:val="21"/>
      <w:sz w:val="28"/>
    </w:rPr>
  </w:style>
  <w:style w:type="paragraph" w:styleId="13">
    <w:name w:val="caption"/>
    <w:basedOn w:val="1"/>
    <w:next w:val="1"/>
    <w:link w:val="64"/>
    <w:semiHidden/>
    <w:unhideWhenUsed/>
    <w:qFormat/>
    <w:uiPriority w:val="0"/>
    <w:pPr>
      <w:spacing w:line="440" w:lineRule="exact"/>
      <w:ind w:firstLine="480" w:firstLineChars="0"/>
      <w:jc w:val="left"/>
    </w:pPr>
    <w:rPr>
      <w:rFonts w:hAnsi="宋体" w:cs="Times New Roman" w:eastAsiaTheme="minorEastAsia"/>
      <w:color w:val="000000"/>
      <w:szCs w:val="24"/>
    </w:rPr>
  </w:style>
  <w:style w:type="paragraph" w:styleId="14">
    <w:name w:val="Document Map"/>
    <w:basedOn w:val="1"/>
    <w:link w:val="72"/>
    <w:semiHidden/>
    <w:unhideWhenUsed/>
    <w:qFormat/>
    <w:uiPriority w:val="0"/>
    <w:rPr>
      <w:rFonts w:ascii="宋体"/>
      <w:sz w:val="18"/>
      <w:szCs w:val="18"/>
    </w:rPr>
  </w:style>
  <w:style w:type="paragraph" w:styleId="15">
    <w:name w:val="annotation text"/>
    <w:basedOn w:val="1"/>
    <w:link w:val="84"/>
    <w:unhideWhenUsed/>
    <w:qFormat/>
    <w:uiPriority w:val="0"/>
    <w:pPr>
      <w:spacing w:line="240" w:lineRule="auto"/>
      <w:ind w:firstLine="0" w:firstLineChars="0"/>
      <w:jc w:val="left"/>
    </w:pPr>
    <w:rPr>
      <w:rFonts w:ascii="Calibri" w:hAnsi="Calibri" w:cs="Times New Roman"/>
      <w:sz w:val="21"/>
      <w:szCs w:val="24"/>
    </w:rPr>
  </w:style>
  <w:style w:type="paragraph" w:styleId="16">
    <w:name w:val="Body Text"/>
    <w:basedOn w:val="1"/>
    <w:link w:val="90"/>
    <w:semiHidden/>
    <w:unhideWhenUsed/>
    <w:qFormat/>
    <w:uiPriority w:val="0"/>
    <w:pPr>
      <w:spacing w:after="120" w:line="240" w:lineRule="auto"/>
      <w:ind w:firstLine="0" w:firstLineChars="0"/>
    </w:pPr>
    <w:rPr>
      <w:rFonts w:ascii="Calibri" w:hAnsi="Calibri" w:cs="Times New Roman"/>
      <w:sz w:val="21"/>
      <w:szCs w:val="20"/>
    </w:rPr>
  </w:style>
  <w:style w:type="paragraph" w:styleId="17">
    <w:name w:val="Body Text Indent"/>
    <w:basedOn w:val="1"/>
    <w:link w:val="91"/>
    <w:semiHidden/>
    <w:unhideWhenUsed/>
    <w:qFormat/>
    <w:uiPriority w:val="0"/>
    <w:pPr>
      <w:spacing w:after="120" w:line="240" w:lineRule="auto"/>
      <w:ind w:left="420" w:leftChars="200" w:firstLine="0" w:firstLineChars="0"/>
    </w:pPr>
    <w:rPr>
      <w:rFonts w:ascii="Calibri" w:hAnsi="Calibri" w:cs="Times New Roman"/>
      <w:sz w:val="21"/>
      <w:szCs w:val="24"/>
    </w:rPr>
  </w:style>
  <w:style w:type="paragraph" w:styleId="18">
    <w:name w:val="toc 5"/>
    <w:basedOn w:val="1"/>
    <w:next w:val="1"/>
    <w:unhideWhenUsed/>
    <w:qFormat/>
    <w:uiPriority w:val="39"/>
    <w:pPr>
      <w:spacing w:line="240" w:lineRule="auto"/>
      <w:ind w:left="1680" w:leftChars="800" w:firstLine="0" w:firstLineChars="0"/>
    </w:pPr>
    <w:rPr>
      <w:rFonts w:asciiTheme="minorHAnsi" w:hAnsiTheme="minorHAnsi" w:eastAsiaTheme="minorEastAsia"/>
      <w:sz w:val="21"/>
    </w:rPr>
  </w:style>
  <w:style w:type="paragraph" w:styleId="19">
    <w:name w:val="toc 3"/>
    <w:basedOn w:val="1"/>
    <w:next w:val="1"/>
    <w:unhideWhenUsed/>
    <w:qFormat/>
    <w:uiPriority w:val="39"/>
    <w:pPr>
      <w:ind w:left="840" w:leftChars="400"/>
    </w:pPr>
  </w:style>
  <w:style w:type="paragraph" w:styleId="20">
    <w:name w:val="Plain Text"/>
    <w:basedOn w:val="1"/>
    <w:link w:val="71"/>
    <w:semiHidden/>
    <w:unhideWhenUsed/>
    <w:qFormat/>
    <w:uiPriority w:val="0"/>
    <w:pPr>
      <w:spacing w:line="240" w:lineRule="auto"/>
      <w:ind w:firstLine="0" w:firstLineChars="0"/>
    </w:pPr>
    <w:rPr>
      <w:rFonts w:ascii="宋体" w:hAnsi="Courier New" w:cs="Courier New"/>
      <w:sz w:val="21"/>
      <w:szCs w:val="21"/>
    </w:rPr>
  </w:style>
  <w:style w:type="paragraph" w:styleId="21">
    <w:name w:val="toc 8"/>
    <w:basedOn w:val="1"/>
    <w:next w:val="1"/>
    <w:unhideWhenUsed/>
    <w:qFormat/>
    <w:uiPriority w:val="39"/>
    <w:pPr>
      <w:spacing w:line="240" w:lineRule="auto"/>
      <w:ind w:left="2940" w:leftChars="1400" w:firstLine="0" w:firstLineChars="0"/>
    </w:pPr>
    <w:rPr>
      <w:rFonts w:asciiTheme="minorHAnsi" w:hAnsiTheme="minorHAnsi" w:eastAsiaTheme="minorEastAsia"/>
      <w:sz w:val="21"/>
    </w:rPr>
  </w:style>
  <w:style w:type="paragraph" w:styleId="22">
    <w:name w:val="Date"/>
    <w:basedOn w:val="1"/>
    <w:next w:val="1"/>
    <w:link w:val="70"/>
    <w:semiHidden/>
    <w:unhideWhenUsed/>
    <w:qFormat/>
    <w:uiPriority w:val="0"/>
    <w:pPr>
      <w:ind w:left="100" w:leftChars="2500"/>
    </w:pPr>
  </w:style>
  <w:style w:type="paragraph" w:styleId="23">
    <w:name w:val="Body Text Indent 2"/>
    <w:basedOn w:val="1"/>
    <w:link w:val="96"/>
    <w:semiHidden/>
    <w:unhideWhenUsed/>
    <w:qFormat/>
    <w:uiPriority w:val="0"/>
    <w:pPr>
      <w:spacing w:after="120" w:line="480" w:lineRule="auto"/>
      <w:ind w:left="420" w:leftChars="200" w:firstLine="0" w:firstLineChars="0"/>
    </w:pPr>
    <w:rPr>
      <w:rFonts w:ascii="Calibri" w:hAnsi="Calibri" w:cs="Times New Roman"/>
      <w:sz w:val="21"/>
      <w:szCs w:val="20"/>
    </w:rPr>
  </w:style>
  <w:style w:type="paragraph" w:styleId="24">
    <w:name w:val="Balloon Text"/>
    <w:basedOn w:val="1"/>
    <w:link w:val="58"/>
    <w:semiHidden/>
    <w:unhideWhenUsed/>
    <w:qFormat/>
    <w:uiPriority w:val="0"/>
    <w:pPr>
      <w:spacing w:line="240" w:lineRule="auto"/>
    </w:pPr>
    <w:rPr>
      <w:sz w:val="18"/>
      <w:szCs w:val="18"/>
    </w:rPr>
  </w:style>
  <w:style w:type="paragraph" w:styleId="25">
    <w:name w:val="footer"/>
    <w:basedOn w:val="1"/>
    <w:link w:val="88"/>
    <w:unhideWhenUsed/>
    <w:qFormat/>
    <w:uiPriority w:val="99"/>
    <w:pPr>
      <w:tabs>
        <w:tab w:val="center" w:pos="4153"/>
        <w:tab w:val="right" w:pos="8306"/>
      </w:tabs>
      <w:snapToGrid w:val="0"/>
      <w:spacing w:line="240" w:lineRule="auto"/>
      <w:ind w:firstLine="0" w:firstLineChars="0"/>
      <w:jc w:val="left"/>
    </w:pPr>
    <w:rPr>
      <w:rFonts w:ascii="Calibri" w:hAnsi="Calibri" w:cs="Times New Roman"/>
      <w:sz w:val="18"/>
      <w:szCs w:val="18"/>
    </w:rPr>
  </w:style>
  <w:style w:type="paragraph" w:styleId="26">
    <w:name w:val="header"/>
    <w:basedOn w:val="1"/>
    <w:link w:val="86"/>
    <w:unhideWhenUsed/>
    <w:qFormat/>
    <w:uiPriority w:val="99"/>
    <w:pPr>
      <w:pBdr>
        <w:bottom w:val="single" w:color="auto" w:sz="6" w:space="1"/>
      </w:pBdr>
      <w:tabs>
        <w:tab w:val="center" w:pos="4153"/>
        <w:tab w:val="right" w:pos="8306"/>
      </w:tabs>
      <w:snapToGrid w:val="0"/>
      <w:spacing w:line="240" w:lineRule="auto"/>
      <w:ind w:firstLine="0" w:firstLineChars="0"/>
      <w:jc w:val="center"/>
    </w:pPr>
    <w:rPr>
      <w:rFonts w:ascii="Calibri" w:hAnsi="Calibri" w:cs="Times New Roman"/>
      <w:sz w:val="18"/>
      <w:szCs w:val="18"/>
    </w:rPr>
  </w:style>
  <w:style w:type="paragraph" w:styleId="27">
    <w:name w:val="toc 1"/>
    <w:basedOn w:val="1"/>
    <w:next w:val="1"/>
    <w:unhideWhenUsed/>
    <w:qFormat/>
    <w:uiPriority w:val="39"/>
  </w:style>
  <w:style w:type="paragraph" w:styleId="28">
    <w:name w:val="toc 4"/>
    <w:basedOn w:val="1"/>
    <w:next w:val="1"/>
    <w:unhideWhenUsed/>
    <w:qFormat/>
    <w:uiPriority w:val="39"/>
    <w:pPr>
      <w:spacing w:line="240" w:lineRule="auto"/>
      <w:ind w:left="1260" w:leftChars="600" w:firstLine="0" w:firstLineChars="0"/>
    </w:pPr>
    <w:rPr>
      <w:rFonts w:asciiTheme="minorHAnsi" w:hAnsiTheme="minorHAnsi" w:eastAsiaTheme="minorEastAsia"/>
      <w:sz w:val="21"/>
    </w:rPr>
  </w:style>
  <w:style w:type="paragraph" w:styleId="29">
    <w:name w:val="Subtitle"/>
    <w:basedOn w:val="1"/>
    <w:next w:val="1"/>
    <w:link w:val="63"/>
    <w:qFormat/>
    <w:uiPriority w:val="0"/>
    <w:pPr>
      <w:widowControl/>
      <w:spacing w:before="100" w:beforeAutospacing="1" w:after="100" w:afterAutospacing="1"/>
      <w:ind w:firstLine="0" w:firstLineChars="0"/>
      <w:jc w:val="center"/>
    </w:pPr>
    <w:rPr>
      <w:rFonts w:cs="Times New Roman"/>
      <w:b/>
      <w:bCs/>
      <w:kern w:val="28"/>
      <w:szCs w:val="32"/>
    </w:rPr>
  </w:style>
  <w:style w:type="paragraph" w:styleId="30">
    <w:name w:val="List"/>
    <w:basedOn w:val="1"/>
    <w:unhideWhenUsed/>
    <w:qFormat/>
    <w:uiPriority w:val="0"/>
    <w:pPr>
      <w:spacing w:line="300" w:lineRule="exact"/>
      <w:ind w:firstLine="0" w:firstLineChars="0"/>
      <w:jc w:val="center"/>
    </w:pPr>
    <w:rPr>
      <w:rFonts w:ascii="宋体" w:hAnsi="宋体" w:cs="Arial"/>
      <w:szCs w:val="24"/>
    </w:rPr>
  </w:style>
  <w:style w:type="paragraph" w:styleId="31">
    <w:name w:val="toc 6"/>
    <w:basedOn w:val="1"/>
    <w:next w:val="1"/>
    <w:unhideWhenUsed/>
    <w:qFormat/>
    <w:uiPriority w:val="39"/>
    <w:pPr>
      <w:spacing w:line="240" w:lineRule="auto"/>
      <w:ind w:left="2100" w:leftChars="1000" w:firstLine="0" w:firstLineChars="0"/>
    </w:pPr>
    <w:rPr>
      <w:rFonts w:asciiTheme="minorHAnsi" w:hAnsiTheme="minorHAnsi" w:eastAsiaTheme="minorEastAsia"/>
      <w:sz w:val="21"/>
    </w:rPr>
  </w:style>
  <w:style w:type="paragraph" w:styleId="32">
    <w:name w:val="Body Text Indent 3"/>
    <w:basedOn w:val="1"/>
    <w:link w:val="98"/>
    <w:semiHidden/>
    <w:unhideWhenUsed/>
    <w:qFormat/>
    <w:uiPriority w:val="0"/>
    <w:pPr>
      <w:spacing w:after="120" w:line="240" w:lineRule="auto"/>
      <w:ind w:left="420" w:leftChars="200" w:firstLine="0" w:firstLineChars="0"/>
    </w:pPr>
    <w:rPr>
      <w:rFonts w:ascii="Calibri" w:hAnsi="Calibri" w:cs="Times New Roman"/>
      <w:sz w:val="16"/>
      <w:szCs w:val="16"/>
    </w:rPr>
  </w:style>
  <w:style w:type="paragraph" w:styleId="33">
    <w:name w:val="toc 2"/>
    <w:basedOn w:val="1"/>
    <w:next w:val="1"/>
    <w:unhideWhenUsed/>
    <w:qFormat/>
    <w:uiPriority w:val="39"/>
    <w:pPr>
      <w:ind w:left="420" w:leftChars="200"/>
    </w:pPr>
  </w:style>
  <w:style w:type="paragraph" w:styleId="34">
    <w:name w:val="toc 9"/>
    <w:basedOn w:val="1"/>
    <w:next w:val="1"/>
    <w:unhideWhenUsed/>
    <w:uiPriority w:val="39"/>
    <w:pPr>
      <w:spacing w:line="240" w:lineRule="auto"/>
      <w:ind w:left="3360" w:leftChars="1600" w:firstLine="0" w:firstLineChars="0"/>
    </w:pPr>
    <w:rPr>
      <w:rFonts w:asciiTheme="minorHAnsi" w:hAnsiTheme="minorHAnsi" w:eastAsiaTheme="minorEastAsia"/>
      <w:sz w:val="21"/>
    </w:rPr>
  </w:style>
  <w:style w:type="paragraph" w:styleId="35">
    <w:name w:val="Body Text 2"/>
    <w:basedOn w:val="1"/>
    <w:link w:val="94"/>
    <w:semiHidden/>
    <w:unhideWhenUsed/>
    <w:uiPriority w:val="0"/>
    <w:pPr>
      <w:spacing w:after="120" w:line="480" w:lineRule="auto"/>
      <w:ind w:firstLine="0" w:firstLineChars="0"/>
    </w:pPr>
    <w:rPr>
      <w:rFonts w:cs="Times New Roman"/>
      <w:sz w:val="21"/>
      <w:szCs w:val="24"/>
    </w:rPr>
  </w:style>
  <w:style w:type="paragraph" w:styleId="36">
    <w:name w:val="HTML Preformatted"/>
    <w:basedOn w:val="1"/>
    <w:link w:val="82"/>
    <w:semiHidden/>
    <w:unhideWhenUs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黑体" w:hAnsi="Courier New" w:eastAsia="黑体" w:cs="Times New Roman"/>
      <w:color w:val="000000"/>
      <w:kern w:val="0"/>
      <w:sz w:val="20"/>
      <w:szCs w:val="20"/>
    </w:rPr>
  </w:style>
  <w:style w:type="paragraph" w:styleId="37">
    <w:name w:val="Normal (Web)"/>
    <w:basedOn w:val="1"/>
    <w:semiHidden/>
    <w:unhideWhenUsed/>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styleId="38">
    <w:name w:val="Title"/>
    <w:basedOn w:val="1"/>
    <w:next w:val="1"/>
    <w:link w:val="53"/>
    <w:qFormat/>
    <w:uiPriority w:val="0"/>
    <w:pPr>
      <w:spacing w:before="100" w:after="100"/>
      <w:ind w:firstLine="100" w:firstLineChars="100"/>
      <w:outlineLvl w:val="2"/>
    </w:pPr>
    <w:rPr>
      <w:rFonts w:cstheme="majorBidi"/>
      <w:b/>
      <w:bCs/>
      <w:sz w:val="28"/>
      <w:szCs w:val="32"/>
    </w:rPr>
  </w:style>
  <w:style w:type="paragraph" w:styleId="39">
    <w:name w:val="annotation subject"/>
    <w:basedOn w:val="15"/>
    <w:next w:val="15"/>
    <w:link w:val="100"/>
    <w:semiHidden/>
    <w:unhideWhenUsed/>
    <w:uiPriority w:val="0"/>
    <w:rPr>
      <w:b/>
      <w:bCs/>
    </w:rPr>
  </w:style>
  <w:style w:type="paragraph" w:styleId="40">
    <w:name w:val="Body Text First Indent"/>
    <w:basedOn w:val="16"/>
    <w:link w:val="92"/>
    <w:unhideWhenUsed/>
    <w:uiPriority w:val="0"/>
    <w:pPr>
      <w:ind w:firstLine="420" w:firstLineChars="100"/>
    </w:pPr>
    <w:rPr>
      <w:rFonts w:ascii="Times New Roman" w:hAnsi="Times New Roman"/>
      <w:szCs w:val="22"/>
    </w:rPr>
  </w:style>
  <w:style w:type="paragraph" w:styleId="41">
    <w:name w:val="Body Text First Indent 2"/>
    <w:basedOn w:val="1"/>
    <w:next w:val="1"/>
    <w:link w:val="93"/>
    <w:semiHidden/>
    <w:unhideWhenUsed/>
    <w:uiPriority w:val="0"/>
    <w:pPr>
      <w:tabs>
        <w:tab w:val="left" w:pos="4500"/>
        <w:tab w:val="left" w:pos="4680"/>
        <w:tab w:val="left" w:pos="5580"/>
      </w:tabs>
      <w:adjustRightInd w:val="0"/>
      <w:snapToGrid w:val="0"/>
      <w:ind w:firstLine="180" w:firstLineChars="75"/>
    </w:pPr>
    <w:rPr>
      <w:rFonts w:ascii="Calibri" w:hAnsi="Calibri" w:cs="Times New Roman"/>
      <w:szCs w:val="20"/>
    </w:rPr>
  </w:style>
  <w:style w:type="table" w:styleId="43">
    <w:name w:val="Table Grid"/>
    <w:basedOn w:val="42"/>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45">
    <w:name w:val="Strong"/>
    <w:basedOn w:val="44"/>
    <w:uiPriority w:val="22"/>
    <w:rPr>
      <w:b/>
      <w:bCs/>
    </w:rPr>
  </w:style>
  <w:style w:type="character" w:styleId="46">
    <w:name w:val="Hyperlink"/>
    <w:basedOn w:val="44"/>
    <w:unhideWhenUsed/>
    <w:uiPriority w:val="99"/>
    <w:rPr>
      <w:color w:val="0000FF"/>
      <w:u w:val="single"/>
    </w:rPr>
  </w:style>
  <w:style w:type="character" w:styleId="47">
    <w:name w:val="annotation reference"/>
    <w:semiHidden/>
    <w:unhideWhenUsed/>
    <w:uiPriority w:val="0"/>
    <w:rPr>
      <w:sz w:val="21"/>
      <w:szCs w:val="21"/>
    </w:rPr>
  </w:style>
  <w:style w:type="character" w:customStyle="1" w:styleId="48">
    <w:name w:val="标题 1 Char"/>
    <w:basedOn w:val="44"/>
    <w:link w:val="2"/>
    <w:uiPriority w:val="0"/>
    <w:rPr>
      <w:rFonts w:ascii="Times New Roman" w:hAnsi="Times New Roman" w:eastAsia="宋体"/>
      <w:b/>
      <w:sz w:val="32"/>
    </w:rPr>
  </w:style>
  <w:style w:type="character" w:customStyle="1" w:styleId="49">
    <w:name w:val="标题 2 Char"/>
    <w:basedOn w:val="44"/>
    <w:link w:val="3"/>
    <w:uiPriority w:val="0"/>
    <w:rPr>
      <w:rFonts w:ascii="Times New Roman" w:hAnsi="Times New Roman" w:eastAsia="宋体" w:cstheme="majorBidi"/>
      <w:b/>
      <w:bCs/>
      <w:sz w:val="30"/>
      <w:szCs w:val="32"/>
    </w:rPr>
  </w:style>
  <w:style w:type="character" w:customStyle="1" w:styleId="50">
    <w:name w:val="标题 3 Char"/>
    <w:basedOn w:val="44"/>
    <w:link w:val="4"/>
    <w:uiPriority w:val="0"/>
    <w:rPr>
      <w:rFonts w:ascii="Times New Roman" w:hAnsi="Times New Roman" w:eastAsia="宋体"/>
      <w:b/>
      <w:bCs/>
      <w:sz w:val="32"/>
      <w:szCs w:val="32"/>
    </w:rPr>
  </w:style>
  <w:style w:type="character" w:customStyle="1" w:styleId="51">
    <w:name w:val="标题 4 Char"/>
    <w:basedOn w:val="44"/>
    <w:link w:val="5"/>
    <w:uiPriority w:val="0"/>
    <w:rPr>
      <w:rFonts w:asciiTheme="majorHAnsi" w:hAnsiTheme="majorHAnsi" w:eastAsiaTheme="majorEastAsia" w:cstheme="majorBidi"/>
      <w:b/>
      <w:bCs/>
      <w:sz w:val="28"/>
      <w:szCs w:val="28"/>
    </w:rPr>
  </w:style>
  <w:style w:type="character" w:customStyle="1" w:styleId="52">
    <w:name w:val="Intense Emphasis"/>
    <w:basedOn w:val="44"/>
    <w:uiPriority w:val="21"/>
    <w:rPr>
      <w:b/>
      <w:bCs/>
      <w:i/>
      <w:iCs/>
      <w:color w:val="4F81BD" w:themeColor="accent1"/>
    </w:rPr>
  </w:style>
  <w:style w:type="character" w:customStyle="1" w:styleId="53">
    <w:name w:val="标题 Char"/>
    <w:basedOn w:val="44"/>
    <w:link w:val="38"/>
    <w:qFormat/>
    <w:uiPriority w:val="0"/>
    <w:rPr>
      <w:rFonts w:ascii="Times New Roman" w:hAnsi="Times New Roman" w:eastAsia="宋体" w:cstheme="majorBidi"/>
      <w:b/>
      <w:bCs/>
      <w:sz w:val="28"/>
      <w:szCs w:val="32"/>
    </w:rPr>
  </w:style>
  <w:style w:type="paragraph" w:customStyle="1" w:styleId="54">
    <w:name w:val="表头"/>
    <w:next w:val="1"/>
    <w:qFormat/>
    <w:uiPriority w:val="0"/>
    <w:pPr>
      <w:jc w:val="center"/>
    </w:pPr>
    <w:rPr>
      <w:rFonts w:ascii="Times New Roman" w:hAnsi="Times New Roman" w:eastAsia="宋体" w:cstheme="minorBidi"/>
      <w:b/>
      <w:kern w:val="2"/>
      <w:sz w:val="21"/>
      <w:szCs w:val="22"/>
      <w:lang w:val="en-US" w:eastAsia="zh-CN" w:bidi="ar-SA"/>
    </w:rPr>
  </w:style>
  <w:style w:type="paragraph" w:customStyle="1" w:styleId="55">
    <w:name w:val="表格内容"/>
    <w:qFormat/>
    <w:uiPriority w:val="0"/>
    <w:pPr>
      <w:jc w:val="center"/>
    </w:pPr>
    <w:rPr>
      <w:rFonts w:ascii="Times New Roman" w:hAnsi="Times New Roman" w:eastAsia="宋体" w:cstheme="minorBidi"/>
      <w:kern w:val="2"/>
      <w:sz w:val="21"/>
      <w:szCs w:val="22"/>
      <w:lang w:val="en-US" w:eastAsia="zh-CN" w:bidi="ar-SA"/>
    </w:rPr>
  </w:style>
  <w:style w:type="paragraph" w:customStyle="1" w:styleId="56">
    <w:name w:val="重点"/>
    <w:next w:val="1"/>
    <w:qFormat/>
    <w:uiPriority w:val="0"/>
    <w:pPr>
      <w:spacing w:line="360" w:lineRule="auto"/>
      <w:ind w:firstLine="200" w:firstLineChars="200"/>
      <w:jc w:val="both"/>
    </w:pPr>
    <w:rPr>
      <w:rFonts w:ascii="Times New Roman" w:hAnsi="Times New Roman" w:eastAsia="宋体" w:cstheme="minorBidi"/>
      <w:b/>
      <w:kern w:val="2"/>
      <w:sz w:val="24"/>
      <w:szCs w:val="22"/>
      <w:lang w:val="en-US" w:eastAsia="zh-CN" w:bidi="ar-SA"/>
    </w:rPr>
  </w:style>
  <w:style w:type="paragraph" w:customStyle="1" w:styleId="57">
    <w:name w:val="标题4"/>
    <w:basedOn w:val="56"/>
    <w:qFormat/>
    <w:uiPriority w:val="0"/>
    <w:pPr>
      <w:outlineLvl w:val="3"/>
    </w:pPr>
  </w:style>
  <w:style w:type="character" w:customStyle="1" w:styleId="58">
    <w:name w:val="批注框文本 Char"/>
    <w:basedOn w:val="44"/>
    <w:link w:val="24"/>
    <w:semiHidden/>
    <w:qFormat/>
    <w:uiPriority w:val="0"/>
    <w:rPr>
      <w:rFonts w:ascii="Times New Roman" w:hAnsi="Times New Roman" w:eastAsia="宋体"/>
      <w:sz w:val="18"/>
      <w:szCs w:val="18"/>
    </w:rPr>
  </w:style>
  <w:style w:type="character" w:customStyle="1" w:styleId="59">
    <w:name w:val="lanmu_title1"/>
    <w:qFormat/>
    <w:uiPriority w:val="0"/>
    <w:rPr>
      <w:b/>
      <w:bCs/>
      <w:color w:val="000000"/>
      <w:sz w:val="24"/>
      <w:szCs w:val="24"/>
    </w:rPr>
  </w:style>
  <w:style w:type="character" w:customStyle="1" w:styleId="60">
    <w:name w:val="正文缩进 Char"/>
    <w:link w:val="12"/>
    <w:qFormat/>
    <w:locked/>
    <w:uiPriority w:val="0"/>
    <w:rPr>
      <w:kern w:val="21"/>
      <w:sz w:val="28"/>
    </w:rPr>
  </w:style>
  <w:style w:type="paragraph" w:customStyle="1" w:styleId="61">
    <w:name w:val="表格文字1"/>
    <w:basedOn w:val="1"/>
    <w:qFormat/>
    <w:uiPriority w:val="0"/>
    <w:pPr>
      <w:adjustRightInd w:val="0"/>
      <w:snapToGrid w:val="0"/>
      <w:spacing w:line="360" w:lineRule="atLeast"/>
      <w:ind w:firstLine="0" w:firstLineChars="0"/>
      <w:jc w:val="center"/>
    </w:pPr>
    <w:rPr>
      <w:rFonts w:ascii="宋体" w:hAnsi="宋体" w:cs="Times New Roman"/>
      <w:sz w:val="21"/>
    </w:rPr>
  </w:style>
  <w:style w:type="character" w:customStyle="1" w:styleId="62">
    <w:name w:val="副标题 Char1"/>
    <w:basedOn w:val="44"/>
    <w:link w:val="29"/>
    <w:qFormat/>
    <w:locked/>
    <w:uiPriority w:val="0"/>
    <w:rPr>
      <w:rFonts w:ascii="Times New Roman" w:hAnsi="Times New Roman" w:eastAsia="宋体" w:cs="Times New Roman"/>
      <w:b/>
      <w:bCs/>
      <w:kern w:val="28"/>
      <w:sz w:val="24"/>
      <w:szCs w:val="32"/>
    </w:rPr>
  </w:style>
  <w:style w:type="character" w:customStyle="1" w:styleId="63">
    <w:name w:val="副标题 Char"/>
    <w:basedOn w:val="44"/>
    <w:link w:val="29"/>
    <w:qFormat/>
    <w:uiPriority w:val="11"/>
    <w:rPr>
      <w:rFonts w:eastAsia="宋体" w:asciiTheme="majorHAnsi" w:hAnsiTheme="majorHAnsi" w:cstheme="majorBidi"/>
      <w:b/>
      <w:bCs/>
      <w:kern w:val="28"/>
      <w:sz w:val="32"/>
      <w:szCs w:val="32"/>
    </w:rPr>
  </w:style>
  <w:style w:type="character" w:customStyle="1" w:styleId="64">
    <w:name w:val="题注 Char"/>
    <w:link w:val="13"/>
    <w:semiHidden/>
    <w:qFormat/>
    <w:locked/>
    <w:uiPriority w:val="0"/>
    <w:rPr>
      <w:rFonts w:ascii="Times New Roman" w:hAnsi="宋体" w:cs="Times New Roman"/>
      <w:color w:val="000000"/>
      <w:sz w:val="24"/>
      <w:szCs w:val="24"/>
    </w:rPr>
  </w:style>
  <w:style w:type="character" w:customStyle="1" w:styleId="65">
    <w:name w:val="我的表格 Char"/>
    <w:link w:val="66"/>
    <w:qFormat/>
    <w:locked/>
    <w:uiPriority w:val="0"/>
    <w:rPr>
      <w:szCs w:val="21"/>
    </w:rPr>
  </w:style>
  <w:style w:type="paragraph" w:customStyle="1" w:styleId="66">
    <w:name w:val="我的表格"/>
    <w:basedOn w:val="1"/>
    <w:link w:val="65"/>
    <w:uiPriority w:val="0"/>
    <w:pPr>
      <w:autoSpaceDE w:val="0"/>
      <w:autoSpaceDN w:val="0"/>
      <w:adjustRightInd w:val="0"/>
      <w:spacing w:line="240" w:lineRule="auto"/>
      <w:ind w:firstLine="0" w:firstLineChars="0"/>
      <w:jc w:val="center"/>
    </w:pPr>
    <w:rPr>
      <w:rFonts w:asciiTheme="minorHAnsi" w:hAnsiTheme="minorHAnsi" w:eastAsiaTheme="minorEastAsia"/>
      <w:sz w:val="21"/>
      <w:szCs w:val="21"/>
    </w:rPr>
  </w:style>
  <w:style w:type="paragraph" w:customStyle="1" w:styleId="67">
    <w:name w:val="表格"/>
    <w:basedOn w:val="1"/>
    <w:link w:val="68"/>
    <w:uiPriority w:val="0"/>
    <w:pPr>
      <w:tabs>
        <w:tab w:val="left" w:pos="1257"/>
      </w:tabs>
      <w:snapToGrid w:val="0"/>
      <w:spacing w:line="240" w:lineRule="auto"/>
      <w:ind w:firstLine="0" w:firstLineChars="0"/>
      <w:jc w:val="center"/>
    </w:pPr>
    <w:rPr>
      <w:rFonts w:ascii="宋体" w:hAnsi="Arial" w:cs="Times New Roman"/>
      <w:bCs/>
      <w:sz w:val="21"/>
      <w:szCs w:val="21"/>
    </w:rPr>
  </w:style>
  <w:style w:type="character" w:customStyle="1" w:styleId="68">
    <w:name w:val="表格 Char"/>
    <w:link w:val="67"/>
    <w:locked/>
    <w:uiPriority w:val="0"/>
    <w:rPr>
      <w:rFonts w:ascii="宋体" w:hAnsi="Arial" w:eastAsia="宋体" w:cs="Times New Roman"/>
      <w:bCs/>
      <w:szCs w:val="21"/>
    </w:rPr>
  </w:style>
  <w:style w:type="paragraph" w:customStyle="1" w:styleId="69">
    <w:name w:val="p15"/>
    <w:basedOn w:val="1"/>
    <w:uiPriority w:val="0"/>
    <w:pPr>
      <w:widowControl/>
      <w:spacing w:line="240" w:lineRule="auto"/>
      <w:ind w:firstLine="0" w:firstLineChars="0"/>
    </w:pPr>
    <w:rPr>
      <w:rFonts w:cs="Times New Roman"/>
      <w:kern w:val="0"/>
      <w:sz w:val="21"/>
      <w:szCs w:val="21"/>
    </w:rPr>
  </w:style>
  <w:style w:type="character" w:customStyle="1" w:styleId="70">
    <w:name w:val="日期 Char"/>
    <w:basedOn w:val="44"/>
    <w:link w:val="22"/>
    <w:semiHidden/>
    <w:uiPriority w:val="0"/>
    <w:rPr>
      <w:rFonts w:ascii="Times New Roman" w:hAnsi="Times New Roman" w:eastAsia="宋体"/>
      <w:sz w:val="24"/>
    </w:rPr>
  </w:style>
  <w:style w:type="character" w:customStyle="1" w:styleId="71">
    <w:name w:val="纯文本 Char"/>
    <w:basedOn w:val="44"/>
    <w:link w:val="20"/>
    <w:semiHidden/>
    <w:qFormat/>
    <w:uiPriority w:val="0"/>
    <w:rPr>
      <w:rFonts w:ascii="宋体" w:hAnsi="Courier New" w:eastAsia="宋体" w:cs="Courier New"/>
      <w:szCs w:val="21"/>
    </w:rPr>
  </w:style>
  <w:style w:type="character" w:customStyle="1" w:styleId="72">
    <w:name w:val="文档结构图 Char"/>
    <w:basedOn w:val="44"/>
    <w:link w:val="14"/>
    <w:semiHidden/>
    <w:uiPriority w:val="0"/>
    <w:rPr>
      <w:rFonts w:ascii="宋体" w:hAnsi="Times New Roman" w:eastAsia="宋体"/>
      <w:sz w:val="18"/>
      <w:szCs w:val="18"/>
    </w:rPr>
  </w:style>
  <w:style w:type="paragraph" w:customStyle="1" w:styleId="73">
    <w:name w:val="方案正文样式"/>
    <w:uiPriority w:val="0"/>
    <w:pPr>
      <w:adjustRightInd w:val="0"/>
      <w:snapToGrid w:val="0"/>
      <w:spacing w:line="360" w:lineRule="auto"/>
      <w:ind w:firstLine="454"/>
    </w:pPr>
    <w:rPr>
      <w:rFonts w:ascii="Times New Roman" w:hAnsi="Times New Roman" w:eastAsia="宋体" w:cs="Times New Roman"/>
      <w:kern w:val="0"/>
      <w:sz w:val="24"/>
      <w:szCs w:val="24"/>
      <w:lang w:val="en-US" w:eastAsia="zh-CN" w:bidi="ar-SA"/>
    </w:rPr>
  </w:style>
  <w:style w:type="character" w:customStyle="1" w:styleId="74">
    <w:name w:val="style54"/>
    <w:basedOn w:val="44"/>
    <w:uiPriority w:val="0"/>
  </w:style>
  <w:style w:type="paragraph" w:customStyle="1" w:styleId="75">
    <w:name w:val="表格文字"/>
    <w:basedOn w:val="1"/>
    <w:link w:val="76"/>
    <w:qFormat/>
    <w:uiPriority w:val="0"/>
    <w:pPr>
      <w:adjustRightInd w:val="0"/>
      <w:snapToGrid w:val="0"/>
      <w:spacing w:line="240" w:lineRule="auto"/>
      <w:ind w:firstLine="0" w:firstLineChars="0"/>
      <w:jc w:val="center"/>
    </w:pPr>
    <w:rPr>
      <w:rFonts w:cs="Times New Roman"/>
      <w:sz w:val="21"/>
    </w:rPr>
  </w:style>
  <w:style w:type="character" w:customStyle="1" w:styleId="76">
    <w:name w:val="表格文字 Char"/>
    <w:link w:val="75"/>
    <w:locked/>
    <w:uiPriority w:val="0"/>
    <w:rPr>
      <w:rFonts w:ascii="Times New Roman" w:hAnsi="Times New Roman" w:eastAsia="宋体" w:cs="Times New Roman"/>
    </w:rPr>
  </w:style>
  <w:style w:type="character" w:customStyle="1" w:styleId="77">
    <w:name w:val="标题 5 Char"/>
    <w:basedOn w:val="44"/>
    <w:link w:val="6"/>
    <w:semiHidden/>
    <w:uiPriority w:val="0"/>
    <w:rPr>
      <w:rFonts w:ascii="Times New Roman" w:hAnsi="Times New Roman" w:eastAsia="宋体" w:cs="Times New Roman"/>
      <w:b/>
      <w:bCs/>
      <w:sz w:val="28"/>
      <w:szCs w:val="28"/>
    </w:rPr>
  </w:style>
  <w:style w:type="character" w:customStyle="1" w:styleId="78">
    <w:name w:val="标题 6 Char"/>
    <w:basedOn w:val="44"/>
    <w:link w:val="7"/>
    <w:semiHidden/>
    <w:uiPriority w:val="0"/>
    <w:rPr>
      <w:rFonts w:ascii="Cambria" w:hAnsi="Cambria" w:eastAsia="宋体" w:cs="宋体"/>
      <w:b/>
      <w:bCs/>
      <w:sz w:val="24"/>
      <w:szCs w:val="24"/>
    </w:rPr>
  </w:style>
  <w:style w:type="character" w:customStyle="1" w:styleId="79">
    <w:name w:val="标题 7 Char"/>
    <w:basedOn w:val="44"/>
    <w:link w:val="8"/>
    <w:semiHidden/>
    <w:uiPriority w:val="0"/>
    <w:rPr>
      <w:rFonts w:ascii="Times New Roman" w:hAnsi="Times New Roman" w:eastAsia="宋体" w:cs="Times New Roman"/>
      <w:b/>
      <w:bCs/>
      <w:sz w:val="24"/>
      <w:szCs w:val="24"/>
    </w:rPr>
  </w:style>
  <w:style w:type="character" w:customStyle="1" w:styleId="80">
    <w:name w:val="标题 8 Char"/>
    <w:basedOn w:val="44"/>
    <w:link w:val="9"/>
    <w:semiHidden/>
    <w:uiPriority w:val="0"/>
    <w:rPr>
      <w:rFonts w:ascii="Cambria" w:hAnsi="Cambria" w:eastAsia="宋体" w:cs="Times New Roman"/>
      <w:sz w:val="24"/>
      <w:szCs w:val="24"/>
    </w:rPr>
  </w:style>
  <w:style w:type="character" w:customStyle="1" w:styleId="81">
    <w:name w:val="标题 9 Char"/>
    <w:basedOn w:val="44"/>
    <w:link w:val="10"/>
    <w:semiHidden/>
    <w:uiPriority w:val="0"/>
    <w:rPr>
      <w:rFonts w:ascii="Cambria" w:hAnsi="Cambria" w:eastAsia="宋体" w:cs="Times New Roman"/>
      <w:szCs w:val="21"/>
    </w:rPr>
  </w:style>
  <w:style w:type="character" w:customStyle="1" w:styleId="82">
    <w:name w:val="HTML 预设格式 Char"/>
    <w:basedOn w:val="44"/>
    <w:link w:val="36"/>
    <w:semiHidden/>
    <w:uiPriority w:val="0"/>
    <w:rPr>
      <w:rFonts w:ascii="黑体" w:hAnsi="Courier New" w:eastAsia="黑体" w:cs="Times New Roman"/>
      <w:color w:val="000000"/>
      <w:kern w:val="0"/>
      <w:sz w:val="20"/>
      <w:szCs w:val="20"/>
    </w:rPr>
  </w:style>
  <w:style w:type="character" w:customStyle="1" w:styleId="83">
    <w:name w:val="批注文字 Char1"/>
    <w:basedOn w:val="44"/>
    <w:link w:val="15"/>
    <w:locked/>
    <w:uiPriority w:val="0"/>
    <w:rPr>
      <w:rFonts w:ascii="Calibri" w:hAnsi="Calibri" w:eastAsia="宋体" w:cs="Times New Roman"/>
      <w:szCs w:val="24"/>
    </w:rPr>
  </w:style>
  <w:style w:type="character" w:customStyle="1" w:styleId="84">
    <w:name w:val="批注文字 Char"/>
    <w:basedOn w:val="44"/>
    <w:link w:val="15"/>
    <w:semiHidden/>
    <w:uiPriority w:val="0"/>
    <w:rPr>
      <w:rFonts w:ascii="Times New Roman" w:hAnsi="Times New Roman" w:eastAsia="宋体"/>
      <w:sz w:val="24"/>
    </w:rPr>
  </w:style>
  <w:style w:type="character" w:customStyle="1" w:styleId="85">
    <w:name w:val="页眉 Char1"/>
    <w:basedOn w:val="44"/>
    <w:link w:val="26"/>
    <w:semiHidden/>
    <w:locked/>
    <w:uiPriority w:val="99"/>
    <w:rPr>
      <w:rFonts w:ascii="Calibri" w:hAnsi="Calibri" w:eastAsia="宋体" w:cs="Times New Roman"/>
      <w:sz w:val="18"/>
      <w:szCs w:val="18"/>
    </w:rPr>
  </w:style>
  <w:style w:type="character" w:customStyle="1" w:styleId="86">
    <w:name w:val="页眉 Char"/>
    <w:basedOn w:val="44"/>
    <w:link w:val="26"/>
    <w:uiPriority w:val="99"/>
    <w:rPr>
      <w:rFonts w:ascii="Times New Roman" w:hAnsi="Times New Roman" w:eastAsia="宋体"/>
      <w:sz w:val="18"/>
      <w:szCs w:val="18"/>
    </w:rPr>
  </w:style>
  <w:style w:type="character" w:customStyle="1" w:styleId="87">
    <w:name w:val="页脚 Char1"/>
    <w:basedOn w:val="44"/>
    <w:link w:val="25"/>
    <w:semiHidden/>
    <w:locked/>
    <w:uiPriority w:val="99"/>
    <w:rPr>
      <w:rFonts w:ascii="Calibri" w:hAnsi="Calibri" w:eastAsia="宋体" w:cs="Times New Roman"/>
      <w:sz w:val="18"/>
      <w:szCs w:val="18"/>
    </w:rPr>
  </w:style>
  <w:style w:type="character" w:customStyle="1" w:styleId="88">
    <w:name w:val="页脚 Char"/>
    <w:basedOn w:val="44"/>
    <w:link w:val="25"/>
    <w:uiPriority w:val="99"/>
    <w:rPr>
      <w:rFonts w:ascii="Times New Roman" w:hAnsi="Times New Roman" w:eastAsia="宋体"/>
      <w:sz w:val="18"/>
      <w:szCs w:val="18"/>
    </w:rPr>
  </w:style>
  <w:style w:type="character" w:customStyle="1" w:styleId="89">
    <w:name w:val="正文文本 Char1"/>
    <w:basedOn w:val="44"/>
    <w:link w:val="16"/>
    <w:semiHidden/>
    <w:locked/>
    <w:uiPriority w:val="0"/>
    <w:rPr>
      <w:rFonts w:ascii="Calibri" w:hAnsi="Calibri" w:eastAsia="宋体" w:cs="Times New Roman"/>
      <w:szCs w:val="20"/>
    </w:rPr>
  </w:style>
  <w:style w:type="character" w:customStyle="1" w:styleId="90">
    <w:name w:val="正文文本 Char"/>
    <w:basedOn w:val="44"/>
    <w:link w:val="16"/>
    <w:semiHidden/>
    <w:uiPriority w:val="0"/>
    <w:rPr>
      <w:rFonts w:ascii="Times New Roman" w:hAnsi="Times New Roman" w:eastAsia="宋体"/>
      <w:sz w:val="24"/>
    </w:rPr>
  </w:style>
  <w:style w:type="character" w:customStyle="1" w:styleId="91">
    <w:name w:val="正文文本缩进 Char"/>
    <w:basedOn w:val="44"/>
    <w:link w:val="17"/>
    <w:semiHidden/>
    <w:uiPriority w:val="0"/>
    <w:rPr>
      <w:rFonts w:ascii="Calibri" w:hAnsi="Calibri" w:eastAsia="宋体" w:cs="Times New Roman"/>
      <w:szCs w:val="24"/>
    </w:rPr>
  </w:style>
  <w:style w:type="character" w:customStyle="1" w:styleId="92">
    <w:name w:val="正文首行缩进 Char"/>
    <w:basedOn w:val="90"/>
    <w:link w:val="40"/>
    <w:uiPriority w:val="0"/>
    <w:rPr>
      <w:rFonts w:cs="Times New Roman"/>
    </w:rPr>
  </w:style>
  <w:style w:type="character" w:customStyle="1" w:styleId="93">
    <w:name w:val="正文首行缩进 2 Char"/>
    <w:basedOn w:val="91"/>
    <w:link w:val="41"/>
    <w:semiHidden/>
    <w:uiPriority w:val="0"/>
    <w:rPr>
      <w:sz w:val="24"/>
      <w:szCs w:val="20"/>
    </w:rPr>
  </w:style>
  <w:style w:type="character" w:customStyle="1" w:styleId="94">
    <w:name w:val="正文文本 2 Char"/>
    <w:basedOn w:val="44"/>
    <w:link w:val="35"/>
    <w:semiHidden/>
    <w:uiPriority w:val="0"/>
    <w:rPr>
      <w:rFonts w:ascii="Times New Roman" w:hAnsi="Times New Roman" w:eastAsia="宋体" w:cs="Times New Roman"/>
      <w:szCs w:val="24"/>
    </w:rPr>
  </w:style>
  <w:style w:type="character" w:customStyle="1" w:styleId="95">
    <w:name w:val="正文文本缩进 2 Char1"/>
    <w:basedOn w:val="44"/>
    <w:link w:val="23"/>
    <w:semiHidden/>
    <w:locked/>
    <w:uiPriority w:val="0"/>
    <w:rPr>
      <w:rFonts w:ascii="Calibri" w:hAnsi="Calibri" w:eastAsia="宋体" w:cs="Times New Roman"/>
      <w:szCs w:val="20"/>
    </w:rPr>
  </w:style>
  <w:style w:type="character" w:customStyle="1" w:styleId="96">
    <w:name w:val="正文文本缩进 2 Char"/>
    <w:basedOn w:val="44"/>
    <w:link w:val="23"/>
    <w:semiHidden/>
    <w:uiPriority w:val="0"/>
    <w:rPr>
      <w:rFonts w:ascii="Times New Roman" w:hAnsi="Times New Roman" w:eastAsia="宋体"/>
      <w:sz w:val="24"/>
    </w:rPr>
  </w:style>
  <w:style w:type="character" w:customStyle="1" w:styleId="97">
    <w:name w:val="正文文本缩进 3 Char1"/>
    <w:basedOn w:val="44"/>
    <w:link w:val="32"/>
    <w:semiHidden/>
    <w:locked/>
    <w:uiPriority w:val="0"/>
    <w:rPr>
      <w:rFonts w:ascii="Calibri" w:hAnsi="Calibri" w:eastAsia="宋体" w:cs="Times New Roman"/>
      <w:sz w:val="16"/>
      <w:szCs w:val="16"/>
    </w:rPr>
  </w:style>
  <w:style w:type="character" w:customStyle="1" w:styleId="98">
    <w:name w:val="正文文本缩进 3 Char"/>
    <w:basedOn w:val="44"/>
    <w:link w:val="32"/>
    <w:semiHidden/>
    <w:uiPriority w:val="0"/>
    <w:rPr>
      <w:rFonts w:ascii="Times New Roman" w:hAnsi="Times New Roman" w:eastAsia="宋体"/>
      <w:sz w:val="16"/>
      <w:szCs w:val="16"/>
    </w:rPr>
  </w:style>
  <w:style w:type="character" w:customStyle="1" w:styleId="99">
    <w:name w:val="批注主题 Char1"/>
    <w:basedOn w:val="83"/>
    <w:link w:val="39"/>
    <w:semiHidden/>
    <w:locked/>
    <w:uiPriority w:val="0"/>
    <w:rPr>
      <w:b/>
      <w:bCs/>
    </w:rPr>
  </w:style>
  <w:style w:type="character" w:customStyle="1" w:styleId="100">
    <w:name w:val="批注主题 Char"/>
    <w:basedOn w:val="84"/>
    <w:link w:val="39"/>
    <w:semiHidden/>
    <w:uiPriority w:val="0"/>
    <w:rPr>
      <w:b/>
      <w:bCs/>
    </w:rPr>
  </w:style>
  <w:style w:type="character" w:customStyle="1" w:styleId="101">
    <w:name w:val="表格表头 Char Char"/>
    <w:link w:val="102"/>
    <w:locked/>
    <w:uiPriority w:val="0"/>
    <w:rPr>
      <w:rFonts w:ascii="宋体" w:hAnsi="宋体" w:eastAsia="宋体"/>
      <w:b/>
      <w:snapToGrid w:val="0"/>
      <w:kern w:val="28"/>
      <w:sz w:val="24"/>
      <w:szCs w:val="24"/>
      <w:lang w:val="sq-AL"/>
    </w:rPr>
  </w:style>
  <w:style w:type="paragraph" w:customStyle="1" w:styleId="102">
    <w:name w:val="表格表头"/>
    <w:basedOn w:val="1"/>
    <w:link w:val="101"/>
    <w:uiPriority w:val="0"/>
    <w:pPr>
      <w:snapToGrid w:val="0"/>
      <w:ind w:firstLine="0" w:firstLineChars="0"/>
      <w:jc w:val="center"/>
    </w:pPr>
    <w:rPr>
      <w:rFonts w:ascii="宋体" w:hAnsi="宋体"/>
      <w:b/>
      <w:snapToGrid w:val="0"/>
      <w:kern w:val="28"/>
      <w:szCs w:val="24"/>
      <w:lang w:val="sq-AL"/>
    </w:rPr>
  </w:style>
  <w:style w:type="character" w:customStyle="1" w:styleId="103">
    <w:name w:val="Char Char Char Char Char Char"/>
    <w:link w:val="104"/>
    <w:locked/>
    <w:uiPriority w:val="0"/>
    <w:rPr>
      <w:rFonts w:ascii="宋体" w:hAnsi="宋体" w:eastAsia="宋体"/>
      <w:szCs w:val="24"/>
    </w:rPr>
  </w:style>
  <w:style w:type="paragraph" w:customStyle="1" w:styleId="104">
    <w:name w:val="Char"/>
    <w:basedOn w:val="1"/>
    <w:link w:val="103"/>
    <w:uiPriority w:val="0"/>
    <w:pPr>
      <w:spacing w:line="240" w:lineRule="auto"/>
      <w:ind w:firstLine="0" w:firstLineChars="0"/>
    </w:pPr>
    <w:rPr>
      <w:rFonts w:ascii="宋体" w:hAnsi="宋体"/>
      <w:sz w:val="21"/>
      <w:szCs w:val="24"/>
    </w:rPr>
  </w:style>
  <w:style w:type="character" w:customStyle="1" w:styleId="105">
    <w:name w:val="正文文字 Char Char"/>
    <w:link w:val="106"/>
    <w:locked/>
    <w:uiPriority w:val="0"/>
    <w:rPr>
      <w:sz w:val="24"/>
      <w:szCs w:val="24"/>
      <w:lang w:val="zh-CN"/>
    </w:rPr>
  </w:style>
  <w:style w:type="paragraph" w:customStyle="1" w:styleId="106">
    <w:name w:val="正文文字"/>
    <w:basedOn w:val="1"/>
    <w:link w:val="105"/>
    <w:uiPriority w:val="0"/>
    <w:pPr>
      <w:ind w:firstLine="480"/>
    </w:pPr>
    <w:rPr>
      <w:rFonts w:asciiTheme="minorHAnsi" w:hAnsiTheme="minorHAnsi" w:eastAsiaTheme="minorEastAsia"/>
      <w:szCs w:val="24"/>
      <w:lang w:val="zh-CN"/>
    </w:rPr>
  </w:style>
  <w:style w:type="character" w:customStyle="1" w:styleId="107">
    <w:name w:val="Char Char Char Char Char Char3"/>
    <w:link w:val="108"/>
    <w:locked/>
    <w:uiPriority w:val="0"/>
    <w:rPr>
      <w:rFonts w:ascii="宋体" w:hAnsi="宋体" w:eastAsia="宋体"/>
      <w:szCs w:val="24"/>
    </w:rPr>
  </w:style>
  <w:style w:type="paragraph" w:customStyle="1" w:styleId="108">
    <w:name w:val="Char4"/>
    <w:basedOn w:val="1"/>
    <w:link w:val="107"/>
    <w:uiPriority w:val="0"/>
    <w:pPr>
      <w:spacing w:line="240" w:lineRule="auto"/>
      <w:ind w:firstLine="0" w:firstLineChars="0"/>
    </w:pPr>
    <w:rPr>
      <w:rFonts w:ascii="宋体" w:hAnsi="宋体"/>
      <w:sz w:val="21"/>
      <w:szCs w:val="24"/>
    </w:rPr>
  </w:style>
  <w:style w:type="character" w:customStyle="1" w:styleId="109">
    <w:name w:val="表格式 Char Char"/>
    <w:link w:val="110"/>
    <w:locked/>
    <w:uiPriority w:val="0"/>
    <w:rPr>
      <w:rFonts w:ascii="宋体" w:hAnsi="宋体" w:eastAsia="宋体"/>
      <w:szCs w:val="24"/>
    </w:rPr>
  </w:style>
  <w:style w:type="paragraph" w:customStyle="1" w:styleId="110">
    <w:name w:val="表格式"/>
    <w:basedOn w:val="1"/>
    <w:link w:val="109"/>
    <w:uiPriority w:val="0"/>
    <w:pPr>
      <w:spacing w:line="400" w:lineRule="exact"/>
      <w:ind w:firstLine="0" w:firstLineChars="0"/>
      <w:jc w:val="center"/>
    </w:pPr>
    <w:rPr>
      <w:rFonts w:ascii="宋体" w:hAnsi="宋体"/>
      <w:sz w:val="21"/>
      <w:szCs w:val="24"/>
    </w:rPr>
  </w:style>
  <w:style w:type="character" w:customStyle="1" w:styleId="111">
    <w:name w:val="君邦正文 Char1"/>
    <w:link w:val="112"/>
    <w:locked/>
    <w:uiPriority w:val="0"/>
    <w:rPr>
      <w:rFonts w:ascii="宋体" w:hAnsi="宋体" w:eastAsia="Times New Roman"/>
      <w:bCs/>
      <w:snapToGrid w:val="0"/>
      <w:sz w:val="24"/>
      <w:szCs w:val="24"/>
    </w:rPr>
  </w:style>
  <w:style w:type="paragraph" w:customStyle="1" w:styleId="112">
    <w:name w:val="君邦正文"/>
    <w:link w:val="111"/>
    <w:uiPriority w:val="0"/>
    <w:pPr>
      <w:snapToGrid w:val="0"/>
      <w:spacing w:after="60" w:line="360" w:lineRule="auto"/>
      <w:ind w:firstLine="480" w:firstLineChars="200"/>
      <w:jc w:val="both"/>
    </w:pPr>
    <w:rPr>
      <w:rFonts w:ascii="宋体" w:hAnsi="宋体" w:eastAsia="Times New Roman" w:cstheme="minorBidi"/>
      <w:bCs/>
      <w:snapToGrid w:val="0"/>
      <w:kern w:val="2"/>
      <w:sz w:val="24"/>
      <w:szCs w:val="24"/>
      <w:lang w:val="en-US" w:eastAsia="zh-CN" w:bidi="ar-SA"/>
    </w:rPr>
  </w:style>
  <w:style w:type="character" w:customStyle="1" w:styleId="113">
    <w:name w:val="Char Char Char Char Char Char1"/>
    <w:link w:val="114"/>
    <w:locked/>
    <w:uiPriority w:val="0"/>
    <w:rPr>
      <w:rFonts w:ascii="宋体" w:hAnsi="宋体" w:eastAsia="宋体"/>
      <w:szCs w:val="24"/>
    </w:rPr>
  </w:style>
  <w:style w:type="paragraph" w:customStyle="1" w:styleId="114">
    <w:name w:val="Char2"/>
    <w:basedOn w:val="1"/>
    <w:link w:val="113"/>
    <w:uiPriority w:val="0"/>
    <w:pPr>
      <w:spacing w:line="240" w:lineRule="auto"/>
      <w:ind w:firstLine="0" w:firstLineChars="0"/>
    </w:pPr>
    <w:rPr>
      <w:rFonts w:ascii="宋体" w:hAnsi="宋体"/>
      <w:sz w:val="21"/>
      <w:szCs w:val="24"/>
    </w:rPr>
  </w:style>
  <w:style w:type="character" w:customStyle="1" w:styleId="115">
    <w:name w:val="Char Char Char Char Char Char2"/>
    <w:link w:val="116"/>
    <w:locked/>
    <w:uiPriority w:val="0"/>
    <w:rPr>
      <w:rFonts w:ascii="宋体" w:hAnsi="宋体" w:eastAsia="宋体"/>
      <w:szCs w:val="24"/>
    </w:rPr>
  </w:style>
  <w:style w:type="paragraph" w:customStyle="1" w:styleId="116">
    <w:name w:val="Char3"/>
    <w:basedOn w:val="1"/>
    <w:link w:val="115"/>
    <w:uiPriority w:val="0"/>
    <w:pPr>
      <w:spacing w:line="240" w:lineRule="auto"/>
      <w:ind w:firstLine="0" w:firstLineChars="0"/>
    </w:pPr>
    <w:rPr>
      <w:rFonts w:ascii="宋体" w:hAnsi="宋体"/>
      <w:sz w:val="21"/>
      <w:szCs w:val="24"/>
    </w:rPr>
  </w:style>
  <w:style w:type="character" w:customStyle="1" w:styleId="117">
    <w:name w:val="表内格式 Char Char"/>
    <w:link w:val="118"/>
    <w:locked/>
    <w:uiPriority w:val="0"/>
    <w:rPr>
      <w:rFonts w:ascii="宋体" w:hAnsi="宋体" w:eastAsia="宋体"/>
      <w:sz w:val="18"/>
      <w:szCs w:val="24"/>
    </w:rPr>
  </w:style>
  <w:style w:type="paragraph" w:customStyle="1" w:styleId="118">
    <w:name w:val="表内格式"/>
    <w:basedOn w:val="1"/>
    <w:link w:val="117"/>
    <w:uiPriority w:val="0"/>
    <w:pPr>
      <w:spacing w:line="240" w:lineRule="auto"/>
      <w:ind w:firstLine="0" w:firstLineChars="0"/>
      <w:jc w:val="center"/>
    </w:pPr>
    <w:rPr>
      <w:rFonts w:ascii="宋体" w:hAnsi="宋体"/>
      <w:sz w:val="18"/>
      <w:szCs w:val="24"/>
    </w:rPr>
  </w:style>
  <w:style w:type="character" w:customStyle="1" w:styleId="119">
    <w:name w:val="Char Char Char Char Char Char4"/>
    <w:link w:val="120"/>
    <w:locked/>
    <w:uiPriority w:val="0"/>
    <w:rPr>
      <w:rFonts w:ascii="宋体" w:hAnsi="宋体" w:eastAsia="宋体"/>
      <w:szCs w:val="24"/>
    </w:rPr>
  </w:style>
  <w:style w:type="paragraph" w:customStyle="1" w:styleId="120">
    <w:name w:val="Char5"/>
    <w:basedOn w:val="1"/>
    <w:link w:val="119"/>
    <w:uiPriority w:val="0"/>
    <w:pPr>
      <w:spacing w:line="240" w:lineRule="auto"/>
      <w:ind w:firstLine="0" w:firstLineChars="0"/>
    </w:pPr>
    <w:rPr>
      <w:rFonts w:ascii="宋体" w:hAnsi="宋体"/>
      <w:sz w:val="21"/>
      <w:szCs w:val="24"/>
    </w:rPr>
  </w:style>
  <w:style w:type="character" w:customStyle="1" w:styleId="121">
    <w:name w:val="表头样式1 Char Char"/>
    <w:link w:val="122"/>
    <w:locked/>
    <w:uiPriority w:val="0"/>
    <w:rPr>
      <w:rFonts w:ascii="宋体" w:hAnsi="宋体" w:eastAsia="黑体"/>
      <w:b/>
      <w:sz w:val="24"/>
      <w:szCs w:val="24"/>
    </w:rPr>
  </w:style>
  <w:style w:type="paragraph" w:customStyle="1" w:styleId="122">
    <w:name w:val="表头样式1"/>
    <w:basedOn w:val="1"/>
    <w:link w:val="121"/>
    <w:uiPriority w:val="0"/>
    <w:pPr>
      <w:spacing w:line="240" w:lineRule="auto"/>
      <w:ind w:firstLine="0" w:firstLineChars="0"/>
      <w:jc w:val="center"/>
    </w:pPr>
    <w:rPr>
      <w:rFonts w:ascii="宋体" w:hAnsi="宋体" w:eastAsia="黑体"/>
      <w:b/>
      <w:szCs w:val="24"/>
    </w:rPr>
  </w:style>
  <w:style w:type="character" w:customStyle="1" w:styleId="123">
    <w:name w:val="Char Char Char Char Char Char5"/>
    <w:link w:val="124"/>
    <w:locked/>
    <w:uiPriority w:val="0"/>
    <w:rPr>
      <w:rFonts w:ascii="宋体" w:hAnsi="宋体" w:eastAsia="宋体"/>
      <w:szCs w:val="24"/>
    </w:rPr>
  </w:style>
  <w:style w:type="paragraph" w:customStyle="1" w:styleId="124">
    <w:name w:val="Char6"/>
    <w:basedOn w:val="1"/>
    <w:link w:val="123"/>
    <w:uiPriority w:val="0"/>
    <w:pPr>
      <w:spacing w:line="240" w:lineRule="auto"/>
      <w:ind w:firstLine="0" w:firstLineChars="0"/>
    </w:pPr>
    <w:rPr>
      <w:rFonts w:ascii="宋体" w:hAnsi="宋体"/>
      <w:sz w:val="21"/>
      <w:szCs w:val="24"/>
    </w:rPr>
  </w:style>
  <w:style w:type="character" w:customStyle="1" w:styleId="125">
    <w:name w:val="表格居中 Char"/>
    <w:link w:val="126"/>
    <w:qFormat/>
    <w:locked/>
    <w:uiPriority w:val="0"/>
    <w:rPr>
      <w:szCs w:val="21"/>
    </w:rPr>
  </w:style>
  <w:style w:type="paragraph" w:customStyle="1" w:styleId="126">
    <w:name w:val="表格居中"/>
    <w:basedOn w:val="1"/>
    <w:link w:val="125"/>
    <w:uiPriority w:val="0"/>
    <w:pPr>
      <w:spacing w:line="0" w:lineRule="atLeast"/>
      <w:ind w:firstLine="0" w:firstLineChars="0"/>
      <w:jc w:val="center"/>
    </w:pPr>
    <w:rPr>
      <w:rFonts w:asciiTheme="minorHAnsi" w:hAnsiTheme="minorHAnsi" w:eastAsiaTheme="minorEastAsia"/>
      <w:sz w:val="21"/>
      <w:szCs w:val="21"/>
    </w:rPr>
  </w:style>
  <w:style w:type="character" w:customStyle="1" w:styleId="127">
    <w:name w:val="正文马 Char"/>
    <w:link w:val="128"/>
    <w:qFormat/>
    <w:locked/>
    <w:uiPriority w:val="0"/>
    <w:rPr>
      <w:rFonts w:ascii="宋体" w:hAnsi="宋体" w:eastAsia="宋体"/>
      <w:sz w:val="24"/>
      <w:szCs w:val="24"/>
    </w:rPr>
  </w:style>
  <w:style w:type="paragraph" w:customStyle="1" w:styleId="128">
    <w:name w:val="正文马"/>
    <w:basedOn w:val="1"/>
    <w:link w:val="127"/>
    <w:uiPriority w:val="0"/>
    <w:pPr>
      <w:widowControl/>
      <w:spacing w:line="480" w:lineRule="exact"/>
      <w:ind w:firstLine="480"/>
      <w:jc w:val="left"/>
    </w:pPr>
    <w:rPr>
      <w:rFonts w:ascii="宋体" w:hAnsi="宋体"/>
      <w:szCs w:val="24"/>
    </w:rPr>
  </w:style>
  <w:style w:type="character" w:customStyle="1" w:styleId="129">
    <w:name w:val="正文(首行缩进) Char"/>
    <w:link w:val="130"/>
    <w:locked/>
    <w:uiPriority w:val="0"/>
    <w:rPr>
      <w:color w:val="000000"/>
      <w:sz w:val="24"/>
      <w:szCs w:val="24"/>
    </w:rPr>
  </w:style>
  <w:style w:type="paragraph" w:customStyle="1" w:styleId="130">
    <w:name w:val="正文(首行缩进)"/>
    <w:basedOn w:val="1"/>
    <w:link w:val="129"/>
    <w:uiPriority w:val="0"/>
    <w:pPr>
      <w:ind w:firstLine="540" w:firstLineChars="225"/>
    </w:pPr>
    <w:rPr>
      <w:rFonts w:asciiTheme="minorHAnsi" w:hAnsiTheme="minorHAnsi" w:eastAsiaTheme="minorEastAsia"/>
      <w:color w:val="000000"/>
      <w:szCs w:val="24"/>
    </w:rPr>
  </w:style>
  <w:style w:type="character" w:customStyle="1" w:styleId="131">
    <w:name w:val="自定义2 Char Char"/>
    <w:link w:val="132"/>
    <w:locked/>
    <w:uiPriority w:val="0"/>
    <w:rPr>
      <w:rFonts w:ascii="宋体" w:hAnsi="宋体" w:eastAsia="宋体"/>
      <w:sz w:val="24"/>
    </w:rPr>
  </w:style>
  <w:style w:type="paragraph" w:customStyle="1" w:styleId="132">
    <w:name w:val="自定义2"/>
    <w:basedOn w:val="1"/>
    <w:link w:val="131"/>
    <w:uiPriority w:val="0"/>
    <w:pPr>
      <w:ind w:firstLine="480"/>
    </w:pPr>
    <w:rPr>
      <w:rFonts w:ascii="宋体" w:hAnsi="宋体"/>
    </w:rPr>
  </w:style>
  <w:style w:type="character" w:customStyle="1" w:styleId="133">
    <w:name w:val="版式1-标题 3 Char Char"/>
    <w:link w:val="134"/>
    <w:locked/>
    <w:uiPriority w:val="0"/>
    <w:rPr>
      <w:rFonts w:ascii="华文细黑" w:hAnsi="华文细黑" w:eastAsia="华文细黑"/>
      <w:sz w:val="28"/>
      <w:szCs w:val="28"/>
    </w:rPr>
  </w:style>
  <w:style w:type="paragraph" w:customStyle="1" w:styleId="134">
    <w:name w:val="版式1-标题 3 Char"/>
    <w:basedOn w:val="1"/>
    <w:next w:val="1"/>
    <w:link w:val="133"/>
    <w:uiPriority w:val="0"/>
    <w:pPr>
      <w:keepNext/>
      <w:keepLines/>
      <w:overflowPunct w:val="0"/>
      <w:snapToGrid w:val="0"/>
      <w:spacing w:before="156" w:line="440" w:lineRule="exact"/>
      <w:ind w:firstLine="358" w:firstLineChars="128"/>
      <w:outlineLvl w:val="2"/>
    </w:pPr>
    <w:rPr>
      <w:rFonts w:ascii="华文细黑" w:hAnsi="华文细黑" w:eastAsia="华文细黑"/>
      <w:sz w:val="28"/>
      <w:szCs w:val="28"/>
    </w:rPr>
  </w:style>
  <w:style w:type="character" w:customStyle="1" w:styleId="135">
    <w:name w:val="cucd-TB Char"/>
    <w:link w:val="136"/>
    <w:locked/>
    <w:uiPriority w:val="0"/>
    <w:rPr>
      <w:szCs w:val="24"/>
    </w:rPr>
  </w:style>
  <w:style w:type="paragraph" w:customStyle="1" w:styleId="136">
    <w:name w:val="cucd-TB"/>
    <w:link w:val="135"/>
    <w:uiPriority w:val="0"/>
    <w:pPr>
      <w:spacing w:line="360" w:lineRule="auto"/>
      <w:jc w:val="center"/>
    </w:pPr>
    <w:rPr>
      <w:rFonts w:asciiTheme="minorHAnsi" w:hAnsiTheme="minorHAnsi" w:eastAsiaTheme="minorEastAsia" w:cstheme="minorBidi"/>
      <w:kern w:val="2"/>
      <w:sz w:val="21"/>
      <w:szCs w:val="24"/>
      <w:lang w:val="en-US" w:eastAsia="zh-CN" w:bidi="ar-SA"/>
    </w:rPr>
  </w:style>
  <w:style w:type="character" w:customStyle="1" w:styleId="137">
    <w:name w:val="表格内文字 Char"/>
    <w:link w:val="138"/>
    <w:locked/>
    <w:uiPriority w:val="0"/>
    <w:rPr>
      <w:rFonts w:ascii="仿宋_GB2312" w:eastAsia="仿宋_GB2312"/>
      <w:sz w:val="24"/>
      <w:szCs w:val="28"/>
    </w:rPr>
  </w:style>
  <w:style w:type="paragraph" w:customStyle="1" w:styleId="138">
    <w:name w:val="表格内文字"/>
    <w:basedOn w:val="1"/>
    <w:link w:val="137"/>
    <w:uiPriority w:val="0"/>
    <w:pPr>
      <w:tabs>
        <w:tab w:val="left" w:pos="0"/>
      </w:tabs>
      <w:adjustRightInd w:val="0"/>
      <w:snapToGrid w:val="0"/>
      <w:ind w:firstLine="0" w:firstLineChars="0"/>
      <w:jc w:val="center"/>
    </w:pPr>
    <w:rPr>
      <w:rFonts w:ascii="仿宋_GB2312" w:eastAsia="仿宋_GB2312" w:hAnsiTheme="minorHAnsi"/>
      <w:szCs w:val="28"/>
    </w:rPr>
  </w:style>
  <w:style w:type="character" w:customStyle="1" w:styleId="139">
    <w:name w:val="正文（首行缩进两字）m Char"/>
    <w:link w:val="140"/>
    <w:locked/>
    <w:uiPriority w:val="0"/>
    <w:rPr>
      <w:color w:val="339966"/>
      <w:sz w:val="24"/>
    </w:rPr>
  </w:style>
  <w:style w:type="paragraph" w:customStyle="1" w:styleId="140">
    <w:name w:val="正文（首行缩进两字）m"/>
    <w:basedOn w:val="12"/>
    <w:link w:val="139"/>
    <w:uiPriority w:val="0"/>
    <w:pPr>
      <w:tabs>
        <w:tab w:val="left" w:pos="1848"/>
        <w:tab w:val="left" w:pos="6061"/>
        <w:tab w:val="left" w:pos="8665"/>
      </w:tabs>
      <w:adjustRightInd w:val="0"/>
      <w:snapToGrid w:val="0"/>
      <w:spacing w:beforeLines="50" w:line="460" w:lineRule="exact"/>
      <w:ind w:firstLine="480" w:firstLineChars="200"/>
    </w:pPr>
    <w:rPr>
      <w:color w:val="339966"/>
      <w:kern w:val="2"/>
      <w:sz w:val="24"/>
    </w:rPr>
  </w:style>
  <w:style w:type="character" w:customStyle="1" w:styleId="141">
    <w:name w:val="神华正文 Char"/>
    <w:link w:val="142"/>
    <w:locked/>
    <w:uiPriority w:val="0"/>
    <w:rPr>
      <w:rFonts w:ascii="Book Antiqua" w:hAnsi="Book Antiqua"/>
      <w:sz w:val="24"/>
      <w:szCs w:val="24"/>
    </w:rPr>
  </w:style>
  <w:style w:type="paragraph" w:customStyle="1" w:styleId="142">
    <w:name w:val="神华正文"/>
    <w:basedOn w:val="1"/>
    <w:link w:val="141"/>
    <w:uiPriority w:val="0"/>
    <w:pPr>
      <w:spacing w:line="440" w:lineRule="exact"/>
    </w:pPr>
    <w:rPr>
      <w:rFonts w:ascii="Book Antiqua" w:hAnsi="Book Antiqua" w:eastAsiaTheme="minorEastAsia"/>
      <w:szCs w:val="24"/>
    </w:rPr>
  </w:style>
  <w:style w:type="character" w:customStyle="1" w:styleId="143">
    <w:name w:val="正文格式 Char"/>
    <w:link w:val="144"/>
    <w:locked/>
    <w:uiPriority w:val="0"/>
    <w:rPr>
      <w:rFonts w:ascii="宋体" w:hAnsi="宋体" w:eastAsia="宋体"/>
      <w:sz w:val="24"/>
      <w:szCs w:val="24"/>
    </w:rPr>
  </w:style>
  <w:style w:type="paragraph" w:customStyle="1" w:styleId="144">
    <w:name w:val="正文格式"/>
    <w:basedOn w:val="1"/>
    <w:link w:val="143"/>
    <w:uiPriority w:val="0"/>
    <w:pPr>
      <w:ind w:firstLine="482" w:firstLineChars="0"/>
    </w:pPr>
    <w:rPr>
      <w:rFonts w:ascii="宋体" w:hAnsi="宋体"/>
      <w:szCs w:val="24"/>
    </w:rPr>
  </w:style>
  <w:style w:type="character" w:customStyle="1" w:styleId="145">
    <w:name w:val="00 Char"/>
    <w:link w:val="146"/>
    <w:qFormat/>
    <w:locked/>
    <w:uiPriority w:val="0"/>
    <w:rPr>
      <w:rFonts w:ascii="宋体" w:hAnsi="宋体" w:eastAsia="宋体"/>
      <w:sz w:val="24"/>
      <w:szCs w:val="24"/>
    </w:rPr>
  </w:style>
  <w:style w:type="paragraph" w:customStyle="1" w:styleId="146">
    <w:name w:val="00"/>
    <w:basedOn w:val="1"/>
    <w:link w:val="145"/>
    <w:uiPriority w:val="0"/>
    <w:pPr>
      <w:spacing w:line="520" w:lineRule="exact"/>
      <w:ind w:firstLine="480" w:firstLineChars="0"/>
    </w:pPr>
    <w:rPr>
      <w:rFonts w:ascii="宋体" w:hAnsi="宋体"/>
      <w:szCs w:val="24"/>
    </w:rPr>
  </w:style>
  <w:style w:type="paragraph" w:styleId="147">
    <w:name w:val="List Paragraph"/>
    <w:basedOn w:val="1"/>
    <w:uiPriority w:val="0"/>
    <w:pPr>
      <w:ind w:firstLine="420"/>
    </w:pPr>
  </w:style>
  <w:style w:type="paragraph" w:customStyle="1" w:styleId="148">
    <w:name w:val="A-文本格式"/>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character" w:customStyle="1" w:styleId="149">
    <w:name w:val="纯文本 Char1"/>
    <w:basedOn w:val="44"/>
    <w:semiHidden/>
    <w:locked/>
    <w:uiPriority w:val="0"/>
    <w:rPr>
      <w:rFonts w:ascii="宋体" w:hAnsi="Courier New" w:eastAsia="宋体" w:cs="Times New Roman"/>
      <w:kern w:val="0"/>
      <w:sz w:val="20"/>
      <w:szCs w:val="21"/>
    </w:rPr>
  </w:style>
  <w:style w:type="paragraph" w:customStyle="1" w:styleId="150">
    <w:name w:val="文本框"/>
    <w:basedOn w:val="1"/>
    <w:next w:val="1"/>
    <w:uiPriority w:val="0"/>
    <w:pPr>
      <w:tabs>
        <w:tab w:val="left" w:pos="0"/>
      </w:tabs>
      <w:spacing w:line="300" w:lineRule="exact"/>
      <w:ind w:firstLine="0" w:firstLineChars="0"/>
      <w:jc w:val="center"/>
    </w:pPr>
    <w:rPr>
      <w:rFonts w:hAnsi="宋体" w:eastAsia="仿宋_GB2312" w:cs="Times New Roman"/>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0.png"/><Relationship Id="rId4" Type="http://schemas.openxmlformats.org/officeDocument/2006/relationships/header" Target="header2.xml"/><Relationship Id="rId39" Type="http://schemas.openxmlformats.org/officeDocument/2006/relationships/image" Target="file:///D:\My%25252520Documents\Tencent%25252520Files\452074256\Image\%25252525MQIO@P3Z4AZC@~%25252560(($516C.jpg" TargetMode="External"/><Relationship Id="rId38" Type="http://schemas.openxmlformats.org/officeDocument/2006/relationships/image" Target="media/image19.jpeg"/><Relationship Id="rId37" Type="http://schemas.openxmlformats.org/officeDocument/2006/relationships/chart" Target="charts/chart6.xml"/><Relationship Id="rId36" Type="http://schemas.openxmlformats.org/officeDocument/2006/relationships/chart" Target="charts/chart5.xml"/><Relationship Id="rId35" Type="http://schemas.openxmlformats.org/officeDocument/2006/relationships/chart" Target="charts/chart4.xml"/><Relationship Id="rId34" Type="http://schemas.openxmlformats.org/officeDocument/2006/relationships/chart" Target="charts/chart3.xml"/><Relationship Id="rId33" Type="http://schemas.openxmlformats.org/officeDocument/2006/relationships/chart" Target="charts/chart2.xml"/><Relationship Id="rId32" Type="http://schemas.openxmlformats.org/officeDocument/2006/relationships/chart" Target="charts/chart1.xml"/><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emf"/><Relationship Id="rId27" Type="http://schemas.openxmlformats.org/officeDocument/2006/relationships/image" Target="media/image14.emf"/><Relationship Id="rId26" Type="http://schemas.openxmlformats.org/officeDocument/2006/relationships/image" Target="media/image13.emf"/><Relationship Id="rId25" Type="http://schemas.openxmlformats.org/officeDocument/2006/relationships/image" Target="media/image12.emf"/><Relationship Id="rId24" Type="http://schemas.openxmlformats.org/officeDocument/2006/relationships/image" Target="media/image11.jpe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3.bin"/><Relationship Id="rId17" Type="http://schemas.openxmlformats.org/officeDocument/2006/relationships/image" Target="media/image6.emf"/><Relationship Id="rId16" Type="http://schemas.openxmlformats.org/officeDocument/2006/relationships/oleObject" Target="embeddings/oleObject2.bin"/><Relationship Id="rId15" Type="http://schemas.openxmlformats.org/officeDocument/2006/relationships/image" Target="media/image5.emf"/><Relationship Id="rId14" Type="http://schemas.openxmlformats.org/officeDocument/2006/relationships/oleObject" Target="embeddings/oleObject1.bin"/><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esktop\&#22320;&#19979;&#27700;&#26354;&#3244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ll\Desktop\&#22320;&#19979;&#27700;&#26354;&#3244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ell\Desktop\&#22320;&#19979;&#27700;&#26354;&#3244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ell\Desktop\&#22320;&#19979;&#27700;&#26354;&#3244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ell\Desktop\&#22320;&#19979;&#27700;&#26354;&#3244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ell\Desktop\&#22320;&#19979;&#27700;&#26354;&#3244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altLang="zh-CN" sz="1200" b="0">
                <a:latin typeface="Times New Roman" panose="02020603050405020304" charset="0"/>
                <a:ea typeface="+mn-ea"/>
                <a:cs typeface="Times New Roman" panose="02020603050405020304" charset="0"/>
              </a:rPr>
              <a:t>30d</a:t>
            </a:r>
            <a:r>
              <a:rPr lang="zh-CN" altLang="en-US" sz="1200" b="0">
                <a:latin typeface="Times New Roman" panose="02020603050405020304" charset="0"/>
                <a:ea typeface="+mn-ea"/>
                <a:cs typeface="Times New Roman" panose="02020603050405020304" charset="0"/>
              </a:rPr>
              <a:t>泄漏点下游地下水耗氧量浓度</a:t>
            </a:r>
            <a:r>
              <a:rPr lang="en-US" altLang="zh-CN" sz="1200" b="0">
                <a:latin typeface="Times New Roman" panose="02020603050405020304" charset="0"/>
                <a:ea typeface="+mn-ea"/>
                <a:cs typeface="Times New Roman" panose="02020603050405020304" charset="0"/>
              </a:rPr>
              <a:t>-</a:t>
            </a:r>
            <a:r>
              <a:rPr lang="zh-CN" altLang="en-US" sz="1200" b="0">
                <a:latin typeface="Times New Roman" panose="02020603050405020304" charset="0"/>
                <a:ea typeface="+mn-ea"/>
                <a:cs typeface="Times New Roman" panose="02020603050405020304" charset="0"/>
              </a:rPr>
              <a:t>距离关系图</a:t>
            </a:r>
            <a:endParaRPr lang="zh-CN" altLang="en-US" sz="1200" b="0">
              <a:latin typeface="Times New Roman" panose="02020603050405020304" charset="0"/>
              <a:ea typeface="+mn-ea"/>
              <a:cs typeface="Times New Roman" panose="02020603050405020304" charset="0"/>
            </a:endParaRPr>
          </a:p>
        </c:rich>
      </c:tx>
      <c:layout>
        <c:manualLayout>
          <c:xMode val="edge"/>
          <c:yMode val="edge"/>
          <c:x val="0.2"/>
          <c:y val="0.0277777777777779"/>
        </c:manualLayout>
      </c:layout>
      <c:overlay val="0"/>
    </c:title>
    <c:autoTitleDeleted val="0"/>
    <c:plotArea>
      <c:layout/>
      <c:lineChart>
        <c:grouping val="standard"/>
        <c:varyColors val="0"/>
        <c:ser>
          <c:idx val="0"/>
          <c:order val="0"/>
          <c:dLbls>
            <c:delete val="1"/>
          </c:dLbls>
          <c:cat>
            <c:numRef>
              <c:f>Sheet1!$A$1:$A$21</c:f>
              <c:numCache>
                <c:formatCode>General</c:formatCode>
                <c:ptCount val="2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numCache>
            </c:numRef>
          </c:cat>
          <c:val>
            <c:numRef>
              <c:f>Sheet1!$B$1:$B$21</c:f>
              <c:numCache>
                <c:formatCode>General</c:formatCode>
                <c:ptCount val="21"/>
                <c:pt idx="0">
                  <c:v>544</c:v>
                </c:pt>
                <c:pt idx="1">
                  <c:v>519</c:v>
                </c:pt>
                <c:pt idx="2">
                  <c:v>223</c:v>
                </c:pt>
                <c:pt idx="3">
                  <c:v>7.74</c:v>
                </c:pt>
                <c:pt idx="4">
                  <c:v>0.0016</c:v>
                </c:pt>
                <c:pt idx="5">
                  <c:v>1.4e-6</c:v>
                </c:pt>
                <c:pt idx="6">
                  <c:v>5.10000000000003e-12</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smooth val="0"/>
        </c:ser>
        <c:dLbls>
          <c:showLegendKey val="0"/>
          <c:showVal val="0"/>
          <c:showCatName val="0"/>
          <c:showSerName val="0"/>
          <c:showPercent val="0"/>
          <c:showBubbleSize val="0"/>
        </c:dLbls>
        <c:hiLowLines/>
        <c:marker val="1"/>
        <c:smooth val="0"/>
        <c:axId val="258326528"/>
        <c:axId val="258328448"/>
      </c:lineChart>
      <c:catAx>
        <c:axId val="258326528"/>
        <c:scaling>
          <c:orientation val="minMax"/>
        </c:scaling>
        <c:delete val="0"/>
        <c:axPos val="b"/>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距离（</a:t>
                </a:r>
                <a:r>
                  <a:rPr lang="en-US" altLang="zh-CN"/>
                  <a:t>m</a:t>
                </a:r>
                <a:r>
                  <a:rPr lang="zh-CN" altLang="en-US"/>
                  <a:t>）</a:t>
                </a:r>
                <a:endParaRPr lang="zh-CN" altLang="en-US"/>
              </a:p>
            </c:rich>
          </c:tx>
          <c:layout>
            <c:manualLayout>
              <c:xMode val="edge"/>
              <c:yMode val="edge"/>
              <c:x val="0.704334426946632"/>
              <c:y val="0.865740740740741"/>
            </c:manualLayout>
          </c:layout>
          <c:overlay val="0"/>
        </c:title>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58328448"/>
        <c:crosses val="autoZero"/>
        <c:auto val="1"/>
        <c:lblAlgn val="ctr"/>
        <c:lblOffset val="100"/>
        <c:noMultiLvlLbl val="0"/>
      </c:catAx>
      <c:valAx>
        <c:axId val="258328448"/>
        <c:scaling>
          <c:orientation val="minMax"/>
        </c:scaling>
        <c:delete val="0"/>
        <c:axPos val="l"/>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浓度（</a:t>
                </a:r>
                <a:r>
                  <a:rPr lang="en-US" altLang="zh-CN"/>
                  <a:t>mg/L</a:t>
                </a:r>
                <a:r>
                  <a:rPr lang="zh-CN" altLang="en-US"/>
                  <a:t>）</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58326528"/>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sz="1200" b="0" i="0" baseline="0"/>
              <a:t>100d</a:t>
            </a:r>
            <a:r>
              <a:rPr lang="zh-CN" sz="1200" b="0" i="0" baseline="0"/>
              <a:t>泄漏点下游地下水耗氧量浓度</a:t>
            </a:r>
            <a:r>
              <a:rPr lang="en-US" sz="1200" b="0" i="0" baseline="0"/>
              <a:t>-</a:t>
            </a:r>
            <a:r>
              <a:rPr lang="zh-CN" sz="1200" b="0" i="0" baseline="0"/>
              <a:t>距离关系图</a:t>
            </a:r>
            <a:endParaRPr lang="zh-CN" sz="1200"/>
          </a:p>
        </c:rich>
      </c:tx>
      <c:layout/>
      <c:overlay val="0"/>
    </c:title>
    <c:autoTitleDeleted val="0"/>
    <c:plotArea>
      <c:layout/>
      <c:lineChart>
        <c:grouping val="standard"/>
        <c:varyColors val="0"/>
        <c:ser>
          <c:idx val="0"/>
          <c:order val="0"/>
          <c:dLbls>
            <c:delete val="1"/>
          </c:dLbls>
          <c:cat>
            <c:numRef>
              <c:f>Sheet1!$A$24:$A$44</c:f>
              <c:numCache>
                <c:formatCode>General</c:formatCode>
                <c:ptCount val="21"/>
                <c:pt idx="0">
                  <c:v>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pt idx="14">
                  <c:v>280</c:v>
                </c:pt>
                <c:pt idx="15">
                  <c:v>300</c:v>
                </c:pt>
                <c:pt idx="16">
                  <c:v>320</c:v>
                </c:pt>
                <c:pt idx="17">
                  <c:v>340</c:v>
                </c:pt>
                <c:pt idx="18">
                  <c:v>360</c:v>
                </c:pt>
                <c:pt idx="19">
                  <c:v>380</c:v>
                </c:pt>
                <c:pt idx="20">
                  <c:v>400</c:v>
                </c:pt>
              </c:numCache>
            </c:numRef>
          </c:cat>
          <c:val>
            <c:numRef>
              <c:f>Sheet1!$B$24:$B$44</c:f>
              <c:numCache>
                <c:formatCode>General</c:formatCode>
                <c:ptCount val="21"/>
                <c:pt idx="0">
                  <c:v>0.00014</c:v>
                </c:pt>
                <c:pt idx="1">
                  <c:v>2.31</c:v>
                </c:pt>
                <c:pt idx="2">
                  <c:v>208</c:v>
                </c:pt>
                <c:pt idx="3">
                  <c:v>263</c:v>
                </c:pt>
                <c:pt idx="4">
                  <c:v>12.4</c:v>
                </c:pt>
                <c:pt idx="5">
                  <c:v>0.0172</c:v>
                </c:pt>
                <c:pt idx="6">
                  <c:v>5.39000000000002e-7</c:v>
                </c:pt>
                <c:pt idx="7">
                  <c:v>3.62000000000003e-13</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smooth val="0"/>
        </c:ser>
        <c:dLbls>
          <c:showLegendKey val="0"/>
          <c:showVal val="0"/>
          <c:showCatName val="0"/>
          <c:showSerName val="0"/>
          <c:showPercent val="0"/>
          <c:showBubbleSize val="0"/>
        </c:dLbls>
        <c:hiLowLines/>
        <c:marker val="1"/>
        <c:smooth val="0"/>
        <c:axId val="338855808"/>
        <c:axId val="221515776"/>
      </c:lineChart>
      <c:catAx>
        <c:axId val="338855808"/>
        <c:scaling>
          <c:orientation val="minMax"/>
        </c:scaling>
        <c:delete val="0"/>
        <c:axPos val="b"/>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sz="1000" b="1" i="0" baseline="0"/>
                  <a:t>距离（</a:t>
                </a:r>
                <a:r>
                  <a:rPr lang="en-US" sz="1000" b="1" i="0" baseline="0"/>
                  <a:t>m</a:t>
                </a:r>
                <a:r>
                  <a:rPr lang="zh-CN" sz="1000" b="1" i="0" baseline="0"/>
                  <a:t>）</a:t>
                </a:r>
                <a:endParaRPr lang="zh-CN" sz="1000"/>
              </a:p>
            </c:rich>
          </c:tx>
          <c:layout>
            <c:manualLayout>
              <c:xMode val="edge"/>
              <c:yMode val="edge"/>
              <c:x val="0.729334426946632"/>
              <c:y val="0.851851851851853"/>
            </c:manualLayout>
          </c:layout>
          <c:overlay val="0"/>
        </c:title>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21515776"/>
        <c:crosses val="autoZero"/>
        <c:auto val="1"/>
        <c:lblAlgn val="ctr"/>
        <c:lblOffset val="100"/>
        <c:noMultiLvlLbl val="0"/>
      </c:catAx>
      <c:valAx>
        <c:axId val="221515776"/>
        <c:scaling>
          <c:orientation val="minMax"/>
        </c:scaling>
        <c:delete val="0"/>
        <c:axPos val="l"/>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sz="1000" b="1" i="0" baseline="0"/>
                  <a:t>浓度（</a:t>
                </a:r>
                <a:r>
                  <a:rPr lang="en-US" sz="1000" b="1" i="0" baseline="0"/>
                  <a:t>mg/L</a:t>
                </a:r>
                <a:r>
                  <a:rPr lang="zh-CN" sz="1000" b="1" i="0" baseline="0"/>
                  <a:t>）</a:t>
                </a:r>
                <a:endParaRPr lang="zh-CN" sz="1000"/>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38855808"/>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sz="1200" b="0" i="0" baseline="0"/>
              <a:t>1000d</a:t>
            </a:r>
            <a:r>
              <a:rPr lang="zh-CN" sz="1200" b="0" i="0" baseline="0"/>
              <a:t>泄漏点下游地下水耗氧量浓度</a:t>
            </a:r>
            <a:r>
              <a:rPr lang="en-US" sz="1200" b="0" i="0" baseline="0"/>
              <a:t>-</a:t>
            </a:r>
            <a:r>
              <a:rPr lang="zh-CN" sz="1200" b="0" i="0" baseline="0"/>
              <a:t>距离关系图</a:t>
            </a:r>
            <a:endParaRPr lang="zh-CN" sz="1200" b="1" i="0" baseline="0"/>
          </a:p>
        </c:rich>
      </c:tx>
      <c:layout/>
      <c:overlay val="0"/>
    </c:title>
    <c:autoTitleDeleted val="0"/>
    <c:plotArea>
      <c:layout/>
      <c:lineChart>
        <c:grouping val="standard"/>
        <c:varyColors val="0"/>
        <c:ser>
          <c:idx val="0"/>
          <c:order val="0"/>
          <c:dLbls>
            <c:delete val="1"/>
          </c:dLbls>
          <c:cat>
            <c:numRef>
              <c:f>Sheet1!$A$47:$A$67</c:f>
              <c:numCache>
                <c:formatCode>General</c:formatCode>
                <c:ptCount val="2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numCache>
            </c:numRef>
          </c:cat>
          <c:val>
            <c:numRef>
              <c:f>Sheet1!$B$47:$B$67</c:f>
              <c:numCache>
                <c:formatCode>General</c:formatCode>
                <c:ptCount val="21"/>
                <c:pt idx="0">
                  <c:v>0</c:v>
                </c:pt>
                <c:pt idx="1">
                  <c:v>0</c:v>
                </c:pt>
                <c:pt idx="2">
                  <c:v>0</c:v>
                </c:pt>
                <c:pt idx="3">
                  <c:v>0</c:v>
                </c:pt>
                <c:pt idx="4">
                  <c:v>0</c:v>
                </c:pt>
                <c:pt idx="5">
                  <c:v>0</c:v>
                </c:pt>
                <c:pt idx="6">
                  <c:v>0</c:v>
                </c:pt>
                <c:pt idx="7" c:formatCode="0.00E+00">
                  <c:v>2.68000000000002e-11</c:v>
                </c:pt>
                <c:pt idx="8" c:formatCode="0.00E+00">
                  <c:v>1.32000000000001e-6</c:v>
                </c:pt>
                <c:pt idx="9" c:formatCode="0.00E+00">
                  <c:v>0.00556</c:v>
                </c:pt>
                <c:pt idx="10">
                  <c:v>1.88</c:v>
                </c:pt>
                <c:pt idx="11">
                  <c:v>51.8</c:v>
                </c:pt>
                <c:pt idx="12">
                  <c:v>119</c:v>
                </c:pt>
                <c:pt idx="13">
                  <c:v>23.1</c:v>
                </c:pt>
                <c:pt idx="14">
                  <c:v>0.385000000000001</c:v>
                </c:pt>
                <c:pt idx="15" c:formatCode="0.00E+00">
                  <c:v>0.000554000000000001</c:v>
                </c:pt>
                <c:pt idx="16" c:formatCode="0.00E+00">
                  <c:v>6.87000000000003e-8</c:v>
                </c:pt>
                <c:pt idx="17" c:formatCode="0.00E+00">
                  <c:v>7.85000000000006e-13</c:v>
                </c:pt>
                <c:pt idx="18">
                  <c:v>0</c:v>
                </c:pt>
                <c:pt idx="19">
                  <c:v>0</c:v>
                </c:pt>
                <c:pt idx="20">
                  <c:v>0</c:v>
                </c:pt>
              </c:numCache>
            </c:numRef>
          </c:val>
          <c:smooth val="0"/>
        </c:ser>
        <c:dLbls>
          <c:showLegendKey val="0"/>
          <c:showVal val="0"/>
          <c:showCatName val="0"/>
          <c:showSerName val="0"/>
          <c:showPercent val="0"/>
          <c:showBubbleSize val="0"/>
        </c:dLbls>
        <c:hiLowLines/>
        <c:marker val="1"/>
        <c:smooth val="0"/>
        <c:axId val="221544448"/>
        <c:axId val="221546368"/>
      </c:lineChart>
      <c:catAx>
        <c:axId val="221544448"/>
        <c:scaling>
          <c:orientation val="minMax"/>
        </c:scaling>
        <c:delete val="0"/>
        <c:axPos val="b"/>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sz="1000" b="1" i="0" baseline="0"/>
                  <a:t>距离（</a:t>
                </a:r>
                <a:r>
                  <a:rPr lang="en-US" sz="1000" b="1" i="0" baseline="0"/>
                  <a:t>m</a:t>
                </a:r>
                <a:r>
                  <a:rPr lang="zh-CN" sz="1000" b="1" i="0" baseline="0"/>
                  <a:t>）</a:t>
                </a:r>
                <a:endParaRPr lang="zh-CN" sz="1000" b="1" i="0" baseline="0"/>
              </a:p>
            </c:rich>
          </c:tx>
          <c:layout>
            <c:manualLayout>
              <c:xMode val="edge"/>
              <c:yMode val="edge"/>
              <c:x val="0.740445538057743"/>
              <c:y val="0.861111111111112"/>
            </c:manualLayout>
          </c:layout>
          <c:overlay val="0"/>
        </c:title>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21546368"/>
        <c:crosses val="autoZero"/>
        <c:auto val="1"/>
        <c:lblAlgn val="ctr"/>
        <c:lblOffset val="100"/>
        <c:noMultiLvlLbl val="0"/>
      </c:catAx>
      <c:valAx>
        <c:axId val="221546368"/>
        <c:scaling>
          <c:orientation val="minMax"/>
        </c:scaling>
        <c:delete val="0"/>
        <c:axPos val="l"/>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sz="1000" b="1" i="0" baseline="0"/>
                  <a:t>浓度（</a:t>
                </a:r>
                <a:r>
                  <a:rPr lang="en-US" sz="1000" b="1" i="0" baseline="0"/>
                  <a:t>mg/L</a:t>
                </a:r>
                <a:r>
                  <a:rPr lang="zh-CN" sz="1000" b="1" i="0" baseline="0"/>
                  <a:t>）</a:t>
                </a:r>
                <a:endParaRPr lang="zh-CN" sz="1000" b="1" i="0" baseline="0"/>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21544448"/>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sz="1200" b="0" i="0" baseline="0"/>
              <a:t>30d</a:t>
            </a:r>
            <a:r>
              <a:rPr lang="zh-CN" sz="1200" b="0" i="0" baseline="0"/>
              <a:t>泄漏点下游地下水</a:t>
            </a:r>
            <a:r>
              <a:rPr lang="zh-CN" altLang="en-US" sz="1200" b="0" i="0" baseline="0"/>
              <a:t>氨氮</a:t>
            </a:r>
            <a:r>
              <a:rPr lang="zh-CN" sz="1200" b="0" i="0" baseline="0"/>
              <a:t>浓度</a:t>
            </a:r>
            <a:r>
              <a:rPr lang="en-US" sz="1200" b="0" i="0" baseline="0"/>
              <a:t>-</a:t>
            </a:r>
            <a:r>
              <a:rPr lang="zh-CN" sz="1200" b="0" i="0" baseline="0"/>
              <a:t>距离关系图</a:t>
            </a:r>
            <a:endParaRPr lang="zh-CN" sz="1200" b="1" i="0" baseline="0"/>
          </a:p>
        </c:rich>
      </c:tx>
      <c:layout/>
      <c:overlay val="0"/>
    </c:title>
    <c:autoTitleDeleted val="0"/>
    <c:plotArea>
      <c:layout/>
      <c:lineChart>
        <c:grouping val="standard"/>
        <c:varyColors val="0"/>
        <c:ser>
          <c:idx val="0"/>
          <c:order val="0"/>
          <c:dLbls>
            <c:delete val="1"/>
          </c:dLbls>
          <c:cat>
            <c:numRef>
              <c:f>Sheet1!$A$69:$A$89</c:f>
              <c:numCache>
                <c:formatCode>General</c:formatCode>
                <c:ptCount val="2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numCache>
            </c:numRef>
          </c:cat>
          <c:val>
            <c:numRef>
              <c:f>Sheet1!$B$69:$B$89</c:f>
              <c:numCache>
                <c:formatCode>General</c:formatCode>
                <c:ptCount val="21"/>
                <c:pt idx="0">
                  <c:v>50</c:v>
                </c:pt>
                <c:pt idx="1">
                  <c:v>47.7</c:v>
                </c:pt>
                <c:pt idx="2">
                  <c:v>20.5</c:v>
                </c:pt>
                <c:pt idx="3">
                  <c:v>0.711000000000001</c:v>
                </c:pt>
                <c:pt idx="4" c:formatCode="0.00E+00">
                  <c:v>0.00148</c:v>
                </c:pt>
                <c:pt idx="5" c:formatCode="0.00E+00">
                  <c:v>1.29000000000001e-7</c:v>
                </c:pt>
                <c:pt idx="6" c:formatCode="0.00E+00">
                  <c:v>4.69000000000003e-13</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smooth val="0"/>
        </c:ser>
        <c:dLbls>
          <c:showLegendKey val="0"/>
          <c:showVal val="0"/>
          <c:showCatName val="0"/>
          <c:showSerName val="0"/>
          <c:showPercent val="0"/>
          <c:showBubbleSize val="0"/>
        </c:dLbls>
        <c:hiLowLines/>
        <c:marker val="1"/>
        <c:smooth val="0"/>
        <c:axId val="221562752"/>
        <c:axId val="223268864"/>
      </c:lineChart>
      <c:catAx>
        <c:axId val="221562752"/>
        <c:scaling>
          <c:orientation val="minMax"/>
        </c:scaling>
        <c:delete val="0"/>
        <c:axPos val="b"/>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sz="1000" b="1" i="0" baseline="0"/>
                  <a:t>距离（</a:t>
                </a:r>
                <a:r>
                  <a:rPr lang="en-US" sz="1000" b="1" i="0" baseline="0"/>
                  <a:t>m</a:t>
                </a:r>
                <a:r>
                  <a:rPr lang="zh-CN" sz="1000" b="1" i="0" baseline="0"/>
                  <a:t>）</a:t>
                </a:r>
                <a:endParaRPr lang="zh-CN" sz="1000"/>
              </a:p>
            </c:rich>
          </c:tx>
          <c:layout>
            <c:manualLayout>
              <c:xMode val="edge"/>
              <c:yMode val="edge"/>
              <c:x val="0.700070428696415"/>
              <c:y val="0.854014598540146"/>
            </c:manualLayout>
          </c:layout>
          <c:overlay val="0"/>
        </c:title>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23268864"/>
        <c:crosses val="autoZero"/>
        <c:auto val="1"/>
        <c:lblAlgn val="ctr"/>
        <c:lblOffset val="100"/>
        <c:noMultiLvlLbl val="0"/>
      </c:catAx>
      <c:valAx>
        <c:axId val="223268864"/>
        <c:scaling>
          <c:orientation val="minMax"/>
        </c:scaling>
        <c:delete val="0"/>
        <c:axPos val="l"/>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sz="1000" b="1" i="0" baseline="0"/>
                  <a:t>浓度（</a:t>
                </a:r>
                <a:r>
                  <a:rPr lang="en-US" sz="1000" b="1" i="0" baseline="0"/>
                  <a:t>mg/L</a:t>
                </a:r>
                <a:r>
                  <a:rPr lang="zh-CN" sz="1000" b="1" i="0" baseline="0"/>
                  <a:t>）</a:t>
                </a:r>
                <a:endParaRPr lang="zh-CN" sz="1000"/>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21562752"/>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sz="1200" b="0" i="0" baseline="0"/>
              <a:t>100d</a:t>
            </a:r>
            <a:r>
              <a:rPr lang="zh-CN" sz="1200" b="0" i="0" baseline="0"/>
              <a:t>泄漏点下游地下水氨氮浓度</a:t>
            </a:r>
            <a:r>
              <a:rPr lang="en-US" sz="1200" b="0" i="0" baseline="0"/>
              <a:t>-</a:t>
            </a:r>
            <a:r>
              <a:rPr lang="zh-CN" sz="1200" b="0" i="0" baseline="0"/>
              <a:t>距离关系图</a:t>
            </a:r>
            <a:endParaRPr lang="zh-CN" sz="1200" b="1" i="0" baseline="0"/>
          </a:p>
        </c:rich>
      </c:tx>
      <c:layout/>
      <c:overlay val="0"/>
    </c:title>
    <c:autoTitleDeleted val="0"/>
    <c:plotArea>
      <c:layout/>
      <c:lineChart>
        <c:grouping val="standard"/>
        <c:varyColors val="0"/>
        <c:ser>
          <c:idx val="1"/>
          <c:order val="1"/>
          <c:dLbls>
            <c:delete val="1"/>
          </c:dLbls>
          <c:cat>
            <c:numRef>
              <c:f>Sheet1!$A$92:$A$112</c:f>
              <c:numCache>
                <c:formatCode>General</c:formatCode>
                <c:ptCount val="21"/>
                <c:pt idx="0">
                  <c:v>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pt idx="14">
                  <c:v>280</c:v>
                </c:pt>
                <c:pt idx="15">
                  <c:v>300</c:v>
                </c:pt>
                <c:pt idx="16">
                  <c:v>320</c:v>
                </c:pt>
                <c:pt idx="17">
                  <c:v>340</c:v>
                </c:pt>
                <c:pt idx="18">
                  <c:v>360</c:v>
                </c:pt>
                <c:pt idx="19">
                  <c:v>380</c:v>
                </c:pt>
                <c:pt idx="20">
                  <c:v>400</c:v>
                </c:pt>
              </c:numCache>
            </c:numRef>
          </c:cat>
          <c:val>
            <c:numRef>
              <c:f>Sheet1!$B$92:$B$112</c:f>
            </c:numRef>
          </c:val>
          <c:smooth val="0"/>
        </c:ser>
        <c:ser>
          <c:idx val="0"/>
          <c:order val="0"/>
          <c:dLbls>
            <c:delete val="1"/>
          </c:dLbls>
          <c:cat>
            <c:numRef>
              <c:f>[地下水曲线.xlsx]Sheet1!$A$92:$A$112</c:f>
              <c:numCache>
                <c:formatCode>General</c:formatCode>
                <c:ptCount val="21"/>
                <c:pt idx="0">
                  <c:v>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pt idx="14">
                  <c:v>280</c:v>
                </c:pt>
                <c:pt idx="15">
                  <c:v>300</c:v>
                </c:pt>
                <c:pt idx="16">
                  <c:v>320</c:v>
                </c:pt>
                <c:pt idx="17">
                  <c:v>340</c:v>
                </c:pt>
                <c:pt idx="18">
                  <c:v>360</c:v>
                </c:pt>
                <c:pt idx="19">
                  <c:v>380</c:v>
                </c:pt>
                <c:pt idx="20">
                  <c:v>400</c:v>
                </c:pt>
              </c:numCache>
            </c:numRef>
          </c:cat>
          <c:val>
            <c:numRef>
              <c:f>[地下水曲线.xlsx]Sheet1!$B$92:$B$112</c:f>
              <c:numCache>
                <c:formatCode>0.00E+00</c:formatCode>
                <c:ptCount val="21"/>
                <c:pt idx="0">
                  <c:v>1.29000000000001e-5</c:v>
                </c:pt>
                <c:pt idx="1" c:formatCode="General">
                  <c:v>0.212</c:v>
                </c:pt>
                <c:pt idx="2" c:formatCode="General">
                  <c:v>19.1</c:v>
                </c:pt>
                <c:pt idx="3" c:formatCode="General">
                  <c:v>24.2</c:v>
                </c:pt>
                <c:pt idx="4" c:formatCode="General">
                  <c:v>1.14</c:v>
                </c:pt>
                <c:pt idx="5">
                  <c:v>0.00158</c:v>
                </c:pt>
                <c:pt idx="6">
                  <c:v>4.95000000000003e-8</c:v>
                </c:pt>
                <c:pt idx="7">
                  <c:v>3.33000000000003e-14</c:v>
                </c:pt>
                <c:pt idx="8" c:formatCode="General">
                  <c:v>0</c:v>
                </c:pt>
                <c:pt idx="9" c:formatCode="General">
                  <c:v>0</c:v>
                </c:pt>
                <c:pt idx="10" c:formatCode="General">
                  <c:v>0</c:v>
                </c:pt>
                <c:pt idx="11" c:formatCode="General">
                  <c:v>0</c:v>
                </c:pt>
                <c:pt idx="12" c:formatCode="General">
                  <c:v>0</c:v>
                </c:pt>
                <c:pt idx="13" c:formatCode="General">
                  <c:v>0</c:v>
                </c:pt>
                <c:pt idx="14" c:formatCode="General">
                  <c:v>0</c:v>
                </c:pt>
                <c:pt idx="15" c:formatCode="General">
                  <c:v>0</c:v>
                </c:pt>
                <c:pt idx="16" c:formatCode="General">
                  <c:v>0</c:v>
                </c:pt>
                <c:pt idx="17" c:formatCode="General">
                  <c:v>0</c:v>
                </c:pt>
                <c:pt idx="18" c:formatCode="General">
                  <c:v>0</c:v>
                </c:pt>
                <c:pt idx="19" c:formatCode="General">
                  <c:v>0</c:v>
                </c:pt>
                <c:pt idx="20" c:formatCode="General">
                  <c:v>0</c:v>
                </c:pt>
              </c:numCache>
            </c:numRef>
          </c:val>
          <c:smooth val="0"/>
        </c:ser>
        <c:dLbls>
          <c:showLegendKey val="0"/>
          <c:showVal val="0"/>
          <c:showCatName val="0"/>
          <c:showSerName val="0"/>
          <c:showPercent val="0"/>
          <c:showBubbleSize val="0"/>
        </c:dLbls>
        <c:hiLowLines/>
        <c:marker val="1"/>
        <c:smooth val="0"/>
        <c:axId val="222364416"/>
        <c:axId val="222366336"/>
      </c:lineChart>
      <c:catAx>
        <c:axId val="222364416"/>
        <c:scaling>
          <c:orientation val="minMax"/>
        </c:scaling>
        <c:delete val="0"/>
        <c:axPos val="b"/>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sz="1000" b="1" i="0" baseline="0"/>
                  <a:t>距离（</a:t>
                </a:r>
                <a:r>
                  <a:rPr lang="en-US" sz="1000" b="1" i="0" baseline="0"/>
                  <a:t>m</a:t>
                </a:r>
                <a:r>
                  <a:rPr lang="zh-CN" sz="1000" b="1" i="0" baseline="0"/>
                  <a:t>）</a:t>
                </a:r>
                <a:endParaRPr lang="zh-CN" sz="1000" b="1" i="0" baseline="0"/>
              </a:p>
            </c:rich>
          </c:tx>
          <c:layout>
            <c:manualLayout>
              <c:xMode val="edge"/>
              <c:yMode val="edge"/>
              <c:x val="0.732848206474195"/>
              <c:y val="0.888888888888889"/>
            </c:manualLayout>
          </c:layout>
          <c:overlay val="0"/>
        </c:title>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22366336"/>
        <c:crosses val="autoZero"/>
        <c:auto val="1"/>
        <c:lblAlgn val="ctr"/>
        <c:lblOffset val="100"/>
        <c:noMultiLvlLbl val="0"/>
      </c:catAx>
      <c:valAx>
        <c:axId val="222366336"/>
        <c:scaling>
          <c:orientation val="minMax"/>
        </c:scaling>
        <c:delete val="0"/>
        <c:axPos val="l"/>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sz="1000" b="1" i="0" baseline="0"/>
                  <a:t>浓度（</a:t>
                </a:r>
                <a:r>
                  <a:rPr lang="en-US" sz="1000" b="1" i="0" baseline="0"/>
                  <a:t>mg/L</a:t>
                </a:r>
                <a:r>
                  <a:rPr lang="zh-CN" sz="1000" b="1" i="0" baseline="0"/>
                  <a:t>）</a:t>
                </a:r>
                <a:endParaRPr lang="zh-CN" sz="1000" b="1" i="0" baseline="0"/>
              </a:p>
            </c:rich>
          </c:tx>
          <c:layout/>
          <c:overlay val="0"/>
        </c:title>
        <c:numFmt formatCode="#,##0;[Red]\-#,##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22364416"/>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sz="1200" b="0" i="0" u="none" strike="noStrike" baseline="0"/>
              <a:t>1000d</a:t>
            </a:r>
            <a:r>
              <a:rPr lang="zh-CN" altLang="en-US" sz="1200" b="0" i="0" u="none" strike="noStrike" baseline="0"/>
              <a:t>泄漏点下游地下水氨氮浓度</a:t>
            </a:r>
            <a:r>
              <a:rPr lang="en-US" sz="1200" b="0" i="0" u="none" strike="noStrike" baseline="0"/>
              <a:t>-</a:t>
            </a:r>
            <a:r>
              <a:rPr lang="zh-CN" altLang="en-US" sz="1200" b="0" i="0" u="none" strike="noStrike" baseline="0"/>
              <a:t>距离关系图</a:t>
            </a:r>
            <a:endParaRPr lang="zh-CN" altLang="en-US" sz="1200"/>
          </a:p>
        </c:rich>
      </c:tx>
      <c:layout/>
      <c:overlay val="0"/>
    </c:title>
    <c:autoTitleDeleted val="0"/>
    <c:plotArea>
      <c:layout/>
      <c:lineChart>
        <c:grouping val="standard"/>
        <c:varyColors val="0"/>
        <c:ser>
          <c:idx val="0"/>
          <c:order val="0"/>
          <c:dLbls>
            <c:delete val="1"/>
          </c:dLbls>
          <c:cat>
            <c:numRef>
              <c:f>Sheet1!$A$115:$A$135</c:f>
              <c:numCache>
                <c:formatCode>General</c:formatCode>
                <c:ptCount val="2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numCache>
            </c:numRef>
          </c:cat>
          <c:val>
            <c:numRef>
              <c:f>Sheet1!$B$115:$B$135</c:f>
              <c:numCache>
                <c:formatCode>General</c:formatCode>
                <c:ptCount val="21"/>
                <c:pt idx="0">
                  <c:v>0</c:v>
                </c:pt>
                <c:pt idx="1">
                  <c:v>0</c:v>
                </c:pt>
                <c:pt idx="2">
                  <c:v>0</c:v>
                </c:pt>
                <c:pt idx="3">
                  <c:v>0</c:v>
                </c:pt>
                <c:pt idx="4">
                  <c:v>0</c:v>
                </c:pt>
                <c:pt idx="5">
                  <c:v>0</c:v>
                </c:pt>
                <c:pt idx="6">
                  <c:v>0</c:v>
                </c:pt>
                <c:pt idx="7" c:formatCode="0.00E+00">
                  <c:v>2.46000000000002e-12</c:v>
                </c:pt>
                <c:pt idx="8" c:formatCode="0.00E+00">
                  <c:v>1.22000000000001e-7</c:v>
                </c:pt>
                <c:pt idx="9" c:formatCode="0.00E+00">
                  <c:v>0.000511</c:v>
                </c:pt>
                <c:pt idx="10">
                  <c:v>0.173</c:v>
                </c:pt>
                <c:pt idx="11">
                  <c:v>4.76</c:v>
                </c:pt>
                <c:pt idx="12">
                  <c:v>10.9</c:v>
                </c:pt>
                <c:pt idx="13">
                  <c:v>2.12</c:v>
                </c:pt>
                <c:pt idx="14">
                  <c:v>0.0354</c:v>
                </c:pt>
                <c:pt idx="15" c:formatCode="0.00E+00">
                  <c:v>5.09000000000001e-5</c:v>
                </c:pt>
                <c:pt idx="16" c:formatCode="0.00E+00">
                  <c:v>6.31000000000003e-9</c:v>
                </c:pt>
                <c:pt idx="17" c:formatCode="0.00E+00">
                  <c:v>7.22000000000006e-14</c:v>
                </c:pt>
                <c:pt idx="18">
                  <c:v>0</c:v>
                </c:pt>
                <c:pt idx="19">
                  <c:v>0</c:v>
                </c:pt>
                <c:pt idx="20">
                  <c:v>0</c:v>
                </c:pt>
              </c:numCache>
            </c:numRef>
          </c:val>
          <c:smooth val="0"/>
        </c:ser>
        <c:dLbls>
          <c:showLegendKey val="0"/>
          <c:showVal val="0"/>
          <c:showCatName val="0"/>
          <c:showSerName val="0"/>
          <c:showPercent val="0"/>
          <c:showBubbleSize val="0"/>
        </c:dLbls>
        <c:hiLowLines/>
        <c:marker val="1"/>
        <c:smooth val="0"/>
        <c:axId val="222378624"/>
        <c:axId val="222388992"/>
      </c:lineChart>
      <c:catAx>
        <c:axId val="222378624"/>
        <c:scaling>
          <c:orientation val="minMax"/>
        </c:scaling>
        <c:delete val="0"/>
        <c:axPos val="b"/>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sz="1000" b="1" i="0" baseline="0"/>
                  <a:t>距离（</a:t>
                </a:r>
                <a:r>
                  <a:rPr lang="en-US" sz="1000" b="1" i="0" baseline="0"/>
                  <a:t>m</a:t>
                </a:r>
                <a:r>
                  <a:rPr lang="zh-CN" sz="1000" b="1" i="0" baseline="0"/>
                  <a:t>）</a:t>
                </a:r>
                <a:endParaRPr lang="zh-CN" sz="1000"/>
              </a:p>
            </c:rich>
          </c:tx>
          <c:layout>
            <c:manualLayout>
              <c:xMode val="edge"/>
              <c:yMode val="edge"/>
              <c:x val="0.738959317585305"/>
              <c:y val="0.875000000000002"/>
            </c:manualLayout>
          </c:layout>
          <c:overlay val="0"/>
        </c:title>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22388992"/>
        <c:crosses val="autoZero"/>
        <c:auto val="1"/>
        <c:lblAlgn val="ctr"/>
        <c:lblOffset val="100"/>
        <c:noMultiLvlLbl val="0"/>
      </c:catAx>
      <c:valAx>
        <c:axId val="222388992"/>
        <c:scaling>
          <c:orientation val="minMax"/>
        </c:scaling>
        <c:delete val="0"/>
        <c:axPos val="l"/>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sz="1000" b="1" i="0" baseline="0"/>
                  <a:t>浓度（</a:t>
                </a:r>
                <a:r>
                  <a:rPr lang="en-US" sz="1000" b="1" i="0" baseline="0"/>
                  <a:t>mg/L</a:t>
                </a:r>
                <a:r>
                  <a:rPr lang="zh-CN" sz="1000" b="1" i="0" baseline="0"/>
                  <a:t>）</a:t>
                </a:r>
                <a:endParaRPr lang="zh-CN" sz="1000"/>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22378624"/>
        <c:crosses val="autoZero"/>
        <c:crossBetween val="between"/>
      </c:valAx>
    </c:plotArea>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355"/>
    <customShpInfo spid="_x0000_s1027"/>
    <customShpInfo spid="_x0000_s1028"/>
    <customShpInfo spid="_x0000_s1029"/>
    <customShpInfo spid="_x0000_s1030"/>
    <customShpInfo spid="_x0000_s1031"/>
    <customShpInfo spid="_x0000_s1036"/>
    <customShpInfo spid="_x0000_s1037"/>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7"/>
    <customShpInfo spid="_x0000_s1068"/>
    <customShpInfo spid="_x0000_s1069"/>
    <customShpInfo spid="_x0000_s1070"/>
    <customShpInfo spid="_x0000_s1071"/>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306"/>
    <customShpInfo spid="_x0000_s1307"/>
    <customShpInfo spid="_x0000_s1308"/>
    <customShpInfo spid="_x0000_s1309"/>
    <customShpInfo spid="_x0000_s1310"/>
    <customShpInfo spid="_x0000_s1311"/>
    <customShpInfo spid="_x0000_s1312"/>
    <customShpInfo spid="_x0000_s1313"/>
    <customShpInfo spid="_x0000_s1026"/>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5"/>
    <customShpInfo spid="_x0000_s1266"/>
    <customShpInfo spid="_x0000_s1267"/>
    <customShpInfo spid="_x0000_s1268"/>
    <customShpInfo spid="_x0000_s1269"/>
    <customShpInfo spid="_x0000_s1270"/>
    <customShpInfo spid="_x0000_s1279"/>
    <customShpInfo spid="_x0000_s1280"/>
    <customShpInfo spid="_x0000_s1281"/>
    <customShpInfo spid="_x0000_s1282"/>
    <customShpInfo spid="_x0000_s1284"/>
    <customShpInfo spid="_x0000_s1285"/>
    <customShpInfo spid="_x0000_s1288"/>
    <customShpInfo spid="_x0000_s1291"/>
    <customShpInfo spid="_x0000_s1294"/>
    <customShpInfo spid="_x0000_s1299"/>
    <customShpInfo spid="_x0000_s1300"/>
    <customShpInfo spid="_x0000_s1301"/>
    <customShpInfo spid="_x0000_s1302"/>
    <customShpInfo spid="_x0000_s1303"/>
    <customShpInfo spid="_x0000_s1304"/>
    <customShpInfo spid="_x0000_s1305"/>
    <customShpInfo spid="_x0000_s1314"/>
    <customShpInfo spid="_x0000_s1315"/>
    <customShpInfo spid="_x0000_s1248"/>
    <customShpInfo spid="_x0000_s1348"/>
    <customShpInfo spid="_x0000_s1347"/>
    <customShpInfo spid="_x0000_s1346"/>
    <customShpInfo spid="_x0000_s134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E2083D-CAB4-4EFF-8EAE-741F57B9146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208</Pages>
  <Words>26622</Words>
  <Characters>151751</Characters>
  <Lines>1264</Lines>
  <Paragraphs>356</Paragraphs>
  <TotalTime>9627</TotalTime>
  <ScaleCrop>false</ScaleCrop>
  <LinksUpToDate>false</LinksUpToDate>
  <CharactersWithSpaces>178017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2020-06-11T03:20:00Z</dcterms:created>
  <dc:creator>jhon</dc:creator>
  <cp:lastModifiedBy>theFates丿</cp:lastModifiedBy>
  <dcterms:modified xsi:type="dcterms:W3CDTF">2023-07-18T13:54:59Z</dcterms:modified>
  <cp:revision>289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